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0"/>
      </w:pPr>
      <w:r>
        <w:rPr>
          <w:rFonts w:ascii="Arial" w:cs="Arial" w:eastAsia="Arial" w:hAnsi="Arial"/>
          <w:b w:val="false"/>
          <w:bCs w:val="false"/>
          <w:i w:val="false"/>
          <w:iCs w:val="false"/>
          <w:color w:val="000000"/>
          <w:sz w:val="22"/>
          <w:szCs w:val="22"/>
        </w:rPr>
        <w:t xml:space="preserve"/>
      </w:r>
    </w:p>
    <w:p>
      <w:pPr>
        <w:spacing w:before="0" w:after="20"/>
        <w:ind/>
        <w:jc w:val="center"/>
      </w:pPr>
      <w:r>
        <w:rPr>
          <w:rFonts w:ascii="Arial" w:cs="Arial" w:eastAsia="Arial" w:hAnsi="Arial"/>
          <w:b/>
          <w:bCs/>
          <w:i w:val="false"/>
          <w:iCs w:val="false"/>
          <w:color w:val="0D2B4E"/>
          <w:sz w:val="28"/>
          <w:szCs w:val="28"/>
        </w:rPr>
        <w:t xml:space="preserve">CONVENIO DE VALIDACIÓN OPERATIVA</w:t>
      </w:r>
    </w:p>
    <w:p>
      <w:pPr>
        <w:spacing w:before="0" w:after="20"/>
        <w:ind/>
        <w:jc w:val="center"/>
      </w:pPr>
      <w:r>
        <w:rPr>
          <w:rFonts w:ascii="Arial" w:cs="Arial" w:eastAsia="Arial" w:hAnsi="Arial"/>
          <w:b/>
          <w:bCs/>
          <w:i w:val="false"/>
          <w:iCs w:val="false"/>
          <w:color w:val="0D2B4E"/>
          <w:sz w:val="28"/>
          <w:szCs w:val="28"/>
        </w:rPr>
        <w:t xml:space="preserve">Y LISTA DE ESPERA</w:t>
      </w:r>
    </w:p>
    <w:p>
      <w:pPr>
        <w:spacing w:before="0" w:after="20"/>
        <w:ind/>
        <w:jc w:val="center"/>
      </w:pPr>
      <w:r>
        <w:rPr>
          <w:rFonts w:ascii="Arial" w:cs="Arial" w:eastAsia="Arial" w:hAnsi="Arial"/>
          <w:b w:val="false"/>
          <w:bCs w:val="false"/>
          <w:i w:val="false"/>
          <w:iCs w:val="false"/>
          <w:color w:val="555555"/>
          <w:sz w:val="20"/>
          <w:szCs w:val="20"/>
        </w:rPr>
        <w:t xml:space="preserve">Programa Renovación Taxi  ·  Conductores del Mundo, S.A.P.I. de C.V.</w:t>
      </w:r>
    </w:p>
    <w:p>
      <w:pPr>
        <w:spacing w:before="0" w:after="200"/>
        <w:ind/>
        <w:jc w:val="center"/>
      </w:pPr>
      <w:r>
        <w:rPr>
          <w:rFonts w:ascii="Arial" w:cs="Arial" w:eastAsia="Arial" w:hAnsi="Arial"/>
          <w:b w:val="false"/>
          <w:bCs w:val="false"/>
          <w:i w:val="false"/>
          <w:iCs w:val="false"/>
          <w:color w:val="555555"/>
          <w:sz w:val="20"/>
          <w:szCs w:val="20"/>
        </w:rPr>
        <w:t xml:space="preserve">Folio: CMU-VAL-______</w:t>
      </w:r>
    </w:p>
    <w:p>
      <w:pPr>
        <w:spacing w:before="0" w:after="200"/>
        <w:ind/>
        <w:jc w:val="both"/>
      </w:pPr>
      <w:r>
        <w:rPr>
          <w:rFonts w:ascii="Arial" w:cs="Arial" w:eastAsia="Arial" w:hAnsi="Arial"/>
          <w:b/>
          <w:bCs/>
          <w:i w:val="false"/>
          <w:iCs w:val="false"/>
          <w:color w:val="000000"/>
          <w:sz w:val="22"/>
          <w:szCs w:val="22"/>
        </w:rPr>
        <w:t xml:space="preserve">CONVENIO QUE CELEBRAN: </w:t>
      </w:r>
      <w:r>
        <w:rPr>
          <w:rFonts w:ascii="Arial" w:cs="Arial" w:eastAsia="Arial" w:hAnsi="Arial"/>
          <w:b w:val="false"/>
          <w:bCs w:val="false"/>
          <w:i w:val="false"/>
          <w:iCs w:val="false"/>
          <w:color w:val="000000"/>
          <w:sz w:val="22"/>
          <w:szCs w:val="22"/>
        </w:rPr>
        <w:t xml:space="preserve">"CMU" (CONDUCTORES DEL MUNDO, S.A.P.I. DE C.V., RFC: CMU201119DD6, representada por el C. JUAN JOSUÉ HERNÁNDEZ TAPIA en su carácter de Apoderado para Actos de Administración, domicilio en Lago de Chapultepec 6 Int. 40, Cañadas del Lago, Corregidora, Qro.) y "EL OPERADOR" (___________________________________), al tenor de las siguientes:</w:t>
      </w:r>
    </w:p>
    <w:p>
      <w:pPr>
        <w:pBdr>
          <w:bottom w:val="single" w:color="00AEEF" w:sz="6" w:space="1"/>
        </w:pBdr>
        <w:spacing w:before="240" w:after="80"/>
      </w:pPr>
      <w:r>
        <w:rPr>
          <w:rFonts w:ascii="Arial" w:cs="Arial" w:eastAsia="Arial" w:hAnsi="Arial"/>
          <w:b/>
          <w:bCs/>
          <w:i w:val="false"/>
          <w:iCs w:val="false"/>
          <w:color w:val="0D2B4E"/>
          <w:sz w:val="26"/>
          <w:szCs w:val="26"/>
        </w:rPr>
        <w:t xml:space="preserve">DECLARACIONES</w:t>
      </w:r>
    </w:p>
    <w:p>
      <w:pPr>
        <w:spacing w:before="120" w:after="40"/>
      </w:pPr>
      <w:r>
        <w:rPr>
          <w:rFonts w:ascii="Arial" w:cs="Arial" w:eastAsia="Arial" w:hAnsi="Arial"/>
          <w:b/>
          <w:bCs/>
          <w:i w:val="false"/>
          <w:iCs w:val="false"/>
          <w:color w:val="0D2B4E"/>
          <w:sz w:val="22"/>
          <w:szCs w:val="22"/>
        </w:rPr>
        <w:t xml:space="preserve">Declara CMU:</w:t>
      </w:r>
    </w:p>
    <w:p>
      <w:pPr>
        <w:spacing w:before="0" w:after="40"/>
        <w:ind w:left="720" w:hanging="360"/>
        <w:jc w:val="both"/>
      </w:pPr>
      <w:r>
        <w:rPr>
          <w:rFonts w:ascii="Arial" w:cs="Arial" w:eastAsia="Arial" w:hAnsi="Arial"/>
          <w:b/>
          <w:bCs/>
          <w:i w:val="false"/>
          <w:iCs w:val="false"/>
          <w:color w:val="000000"/>
          <w:sz w:val="22"/>
          <w:szCs w:val="22"/>
        </w:rPr>
        <w:t xml:space="preserve">I. </w:t>
      </w:r>
      <w:r>
        <w:rPr>
          <w:rFonts w:ascii="Arial" w:cs="Arial" w:eastAsia="Arial" w:hAnsi="Arial"/>
          <w:b w:val="false"/>
          <w:bCs w:val="false"/>
          <w:i w:val="false"/>
          <w:iCs w:val="false"/>
          <w:color w:val="000000"/>
          <w:sz w:val="22"/>
          <w:szCs w:val="22"/>
        </w:rPr>
        <w:t xml:space="preserve">Que opera el Programa de Renovación Taxi (TSR), mediante el cual adquiere vehículos a aseguradoras, los repara en taller aliado y los vende a plazos a taxistas calificados, con kit de conversión GNV instalado. CMU es la única modalidad del programa — no existe modalidad de financiamiento de vehículo propio del Operador.</w:t>
      </w:r>
    </w:p>
    <w:p>
      <w:pPr>
        <w:spacing w:before="0" w:after="40"/>
        <w:ind w:left="720" w:hanging="360"/>
        <w:jc w:val="both"/>
      </w:pPr>
      <w:r>
        <w:rPr>
          <w:rFonts w:ascii="Arial" w:cs="Arial" w:eastAsia="Arial" w:hAnsi="Arial"/>
          <w:b/>
          <w:bCs/>
          <w:i w:val="false"/>
          <w:iCs w:val="false"/>
          <w:color w:val="000000"/>
          <w:sz w:val="22"/>
          <w:szCs w:val="22"/>
        </w:rPr>
        <w:t xml:space="preserve">II. </w:t>
      </w:r>
      <w:r>
        <w:rPr>
          <w:rFonts w:ascii="Arial" w:cs="Arial" w:eastAsia="Arial" w:hAnsi="Arial"/>
          <w:b w:val="false"/>
          <w:bCs w:val="false"/>
          <w:i w:val="false"/>
          <w:iCs w:val="false"/>
          <w:color w:val="000000"/>
          <w:sz w:val="22"/>
          <w:szCs w:val="22"/>
        </w:rPr>
        <w:t xml:space="preserve">Que el presente Convenio es condición previa e indispensable para acceder al Programa TSR. Su propósito es verificar la capacidad operativa real del Operador como taxista activo antes de asignarle una unidad del inventario.</w:t>
      </w:r>
    </w:p>
    <w:p>
      <w:pPr>
        <w:spacing w:before="0" w:after="40"/>
        <w:ind w:left="720" w:hanging="360"/>
        <w:jc w:val="both"/>
      </w:pPr>
      <w:r>
        <w:rPr>
          <w:rFonts w:ascii="Arial" w:cs="Arial" w:eastAsia="Arial" w:hAnsi="Arial"/>
          <w:b/>
          <w:bCs/>
          <w:i w:val="false"/>
          <w:iCs w:val="false"/>
          <w:color w:val="000000"/>
          <w:sz w:val="22"/>
          <w:szCs w:val="22"/>
        </w:rPr>
        <w:t xml:space="preserve">III. </w:t>
      </w:r>
      <w:r>
        <w:rPr>
          <w:rFonts w:ascii="Arial" w:cs="Arial" w:eastAsia="Arial" w:hAnsi="Arial"/>
          <w:b w:val="false"/>
          <w:bCs w:val="false"/>
          <w:i w:val="false"/>
          <w:iCs w:val="false"/>
          <w:color w:val="000000"/>
          <w:sz w:val="22"/>
          <w:szCs w:val="22"/>
        </w:rPr>
        <w:t xml:space="preserve">Que la calificación del Operador se realiza bajo alguno de los dos perfiles siguientes: Perfil A (usuario GNV activo con historial NATGAS verificable) o Perfil B (operador de gasolina con historial de tickets comprobable). CMU determinará el perfil aplicable según los documentos presentados.</w:t>
      </w:r>
    </w:p>
    <w:p>
      <w:pPr>
        <w:spacing w:before="0" w:after="40"/>
        <w:ind w:left="720" w:hanging="360"/>
        <w:jc w:val="both"/>
      </w:pPr>
      <w:r>
        <w:rPr>
          <w:rFonts w:ascii="Arial" w:cs="Arial" w:eastAsia="Arial" w:hAnsi="Arial"/>
          <w:b/>
          <w:bCs/>
          <w:i w:val="false"/>
          <w:iCs w:val="false"/>
          <w:color w:val="000000"/>
          <w:sz w:val="22"/>
          <w:szCs w:val="22"/>
        </w:rPr>
        <w:t xml:space="preserve">IV. </w:t>
      </w:r>
      <w:r>
        <w:rPr>
          <w:rFonts w:ascii="Arial" w:cs="Arial" w:eastAsia="Arial" w:hAnsi="Arial"/>
          <w:b w:val="false"/>
          <w:bCs w:val="false"/>
          <w:i w:val="false"/>
          <w:iCs w:val="false"/>
          <w:color w:val="000000"/>
          <w:sz w:val="22"/>
          <w:szCs w:val="22"/>
        </w:rPr>
        <w:t xml:space="preserve">Que señala domicilio en Lago de Chapultepec 6 Int. 40, Cañadas del Lago, Corregidora, Querétaro, C.P. 76922.</w:t>
      </w:r>
    </w:p>
    <w:p>
      <w:pPr>
        <w:spacing w:before="120" w:after="40"/>
      </w:pPr>
      <w:r>
        <w:rPr>
          <w:rFonts w:ascii="Arial" w:cs="Arial" w:eastAsia="Arial" w:hAnsi="Arial"/>
          <w:b/>
          <w:bCs/>
          <w:i w:val="false"/>
          <w:iCs w:val="false"/>
          <w:color w:val="0D2B4E"/>
          <w:sz w:val="22"/>
          <w:szCs w:val="22"/>
        </w:rPr>
        <w:t xml:space="preserve">Declara el Operador:</w:t>
      </w:r>
    </w:p>
    <w:p>
      <w:pPr>
        <w:spacing w:before="0" w:after="40"/>
        <w:ind w:left="720" w:hanging="360"/>
        <w:jc w:val="both"/>
      </w:pPr>
      <w:r>
        <w:rPr>
          <w:rFonts w:ascii="Arial" w:cs="Arial" w:eastAsia="Arial" w:hAnsi="Arial"/>
          <w:b/>
          <w:bCs/>
          <w:i w:val="false"/>
          <w:iCs w:val="false"/>
          <w:color w:val="000000"/>
          <w:sz w:val="22"/>
          <w:szCs w:val="22"/>
        </w:rPr>
        <w:t xml:space="preserve">I. </w:t>
      </w:r>
      <w:r>
        <w:rPr>
          <w:rFonts w:ascii="Arial" w:cs="Arial" w:eastAsia="Arial" w:hAnsi="Arial"/>
          <w:b w:val="false"/>
          <w:bCs w:val="false"/>
          <w:i w:val="false"/>
          <w:iCs w:val="false"/>
          <w:color w:val="000000"/>
          <w:sz w:val="22"/>
          <w:szCs w:val="22"/>
        </w:rPr>
        <w:t xml:space="preserve">Que es titular de la Concesión de transporte público No. _______ vigente en el municipio de Aguascalientes, Ags., y que mantendrá dicha concesión activa durante la vigencia del presente Convenio y del Contrato que en su caso se derive.</w:t>
      </w:r>
    </w:p>
    <w:p>
      <w:pPr>
        <w:spacing w:before="0" w:after="40"/>
        <w:ind w:left="720" w:hanging="360"/>
        <w:jc w:val="both"/>
      </w:pPr>
      <w:r>
        <w:rPr>
          <w:rFonts w:ascii="Arial" w:cs="Arial" w:eastAsia="Arial" w:hAnsi="Arial"/>
          <w:b/>
          <w:bCs/>
          <w:i w:val="false"/>
          <w:iCs w:val="false"/>
          <w:color w:val="000000"/>
          <w:sz w:val="22"/>
          <w:szCs w:val="22"/>
        </w:rPr>
        <w:t xml:space="preserve">II. </w:t>
      </w:r>
      <w:r>
        <w:rPr>
          <w:rFonts w:ascii="Arial" w:cs="Arial" w:eastAsia="Arial" w:hAnsi="Arial"/>
          <w:b w:val="false"/>
          <w:bCs w:val="false"/>
          <w:i w:val="false"/>
          <w:iCs w:val="false"/>
          <w:color w:val="000000"/>
          <w:sz w:val="22"/>
          <w:szCs w:val="22"/>
        </w:rPr>
        <w:t xml:space="preserve">Que se identifica con INE número (_______________), CURP (_______________) y señala domicilio en ___________________________________, Aguascalientes, Ags.</w:t>
      </w:r>
    </w:p>
    <w:p>
      <w:pPr>
        <w:spacing w:before="0" w:after="40"/>
        <w:ind w:left="720" w:hanging="360"/>
        <w:jc w:val="both"/>
      </w:pPr>
      <w:r>
        <w:rPr>
          <w:rFonts w:ascii="Arial" w:cs="Arial" w:eastAsia="Arial" w:hAnsi="Arial"/>
          <w:b/>
          <w:bCs/>
          <w:i w:val="false"/>
          <w:iCs w:val="false"/>
          <w:color w:val="000000"/>
          <w:sz w:val="22"/>
          <w:szCs w:val="22"/>
        </w:rPr>
        <w:t xml:space="preserve">III. </w:t>
      </w:r>
      <w:r>
        <w:rPr>
          <w:rFonts w:ascii="Arial" w:cs="Arial" w:eastAsia="Arial" w:hAnsi="Arial"/>
          <w:b w:val="false"/>
          <w:bCs w:val="false"/>
          <w:i w:val="false"/>
          <w:iCs w:val="false"/>
          <w:color w:val="000000"/>
          <w:sz w:val="22"/>
          <w:szCs w:val="22"/>
        </w:rPr>
        <w:t xml:space="preserve">Que es operador activo de taxi y que conoce y acepta las condiciones del Programa Renovación Taxi, incluyendo las reglas de lista de espera establecidas en el presente Convenio.</w:t>
      </w:r>
    </w:p>
    <w:p>
      <w:pPr>
        <w:spacing w:before="0" w:after="40"/>
        <w:ind w:left="720" w:hanging="360"/>
        <w:jc w:val="both"/>
      </w:pPr>
      <w:r>
        <w:rPr>
          <w:rFonts w:ascii="Arial" w:cs="Arial" w:eastAsia="Arial" w:hAnsi="Arial"/>
          <w:b/>
          <w:bCs/>
          <w:i w:val="false"/>
          <w:iCs w:val="false"/>
          <w:color w:val="000000"/>
          <w:sz w:val="22"/>
          <w:szCs w:val="22"/>
        </w:rPr>
        <w:t xml:space="preserve">IV. </w:t>
      </w:r>
      <w:r>
        <w:rPr>
          <w:rFonts w:ascii="Arial" w:cs="Arial" w:eastAsia="Arial" w:hAnsi="Arial"/>
          <w:b w:val="false"/>
          <w:bCs w:val="false"/>
          <w:i w:val="false"/>
          <w:iCs w:val="false"/>
          <w:color w:val="000000"/>
          <w:sz w:val="22"/>
          <w:szCs w:val="22"/>
        </w:rPr>
        <w:t xml:space="preserve">Que la información y documentos que proporcione a CMU son verídicos y que cualquier falsedad u omisión relevante será causa suficiente para su exclusión del programa.</w:t>
      </w:r>
    </w:p>
    <w:p>
      <w:pPr>
        <w:spacing w:before="80" w:after="0"/>
      </w:pPr>
      <w:r>
        <w:rPr>
          <w:rFonts w:ascii="Arial" w:cs="Arial" w:eastAsia="Arial" w:hAnsi="Arial"/>
          <w:b w:val="false"/>
          <w:bCs w:val="false"/>
          <w:i w:val="false"/>
          <w:iCs w:val="false"/>
          <w:color w:val="000000"/>
          <w:sz w:val="22"/>
          <w:szCs w:val="22"/>
        </w:rPr>
        <w:t xml:space="preserve"/>
      </w:r>
    </w:p>
    <w:p>
      <w:pPr>
        <w:pBdr>
          <w:bottom w:val="single" w:color="00AEEF" w:sz="6" w:space="1"/>
        </w:pBdr>
        <w:spacing w:before="240" w:after="80"/>
      </w:pPr>
      <w:r>
        <w:rPr>
          <w:rFonts w:ascii="Arial" w:cs="Arial" w:eastAsia="Arial" w:hAnsi="Arial"/>
          <w:b/>
          <w:bCs/>
          <w:i w:val="false"/>
          <w:iCs w:val="false"/>
          <w:color w:val="0D2B4E"/>
          <w:sz w:val="26"/>
          <w:szCs w:val="26"/>
        </w:rPr>
        <w:t xml:space="preserve">CLÁUSULAS</w:t>
      </w:r>
    </w:p>
    <w:p>
      <w:pPr>
        <w:spacing w:before="160" w:after="60"/>
        <w:jc w:val="both"/>
      </w:pPr>
      <w:r>
        <w:rPr>
          <w:rFonts w:ascii="Arial" w:cs="Arial" w:eastAsia="Arial" w:hAnsi="Arial"/>
          <w:b/>
          <w:bCs/>
          <w:i w:val="false"/>
          <w:iCs w:val="false"/>
          <w:color w:val="0D2B4E"/>
          <w:sz w:val="22"/>
          <w:szCs w:val="22"/>
        </w:rPr>
        <w:t xml:space="preserve">CLÁUSULA PRIMERA. — </w:t>
      </w:r>
      <w:r>
        <w:rPr>
          <w:rFonts w:ascii="Arial" w:cs="Arial" w:eastAsia="Arial" w:hAnsi="Arial"/>
          <w:b/>
          <w:bCs/>
          <w:i w:val="false"/>
          <w:iCs w:val="false"/>
          <w:color w:val="000000"/>
          <w:sz w:val="22"/>
          <w:szCs w:val="22"/>
        </w:rPr>
        <w:t xml:space="preserve">OBJETO. </w:t>
      </w:r>
      <w:r>
        <w:rPr>
          <w:rFonts w:ascii="Arial" w:cs="Arial" w:eastAsia="Arial" w:hAnsi="Arial"/>
          <w:b w:val="false"/>
          <w:bCs w:val="false"/>
          <w:i w:val="false"/>
          <w:iCs w:val="false"/>
          <w:color w:val="000000"/>
          <w:sz w:val="22"/>
          <w:szCs w:val="22"/>
        </w:rPr>
        <w:t xml:space="preserve">El presente Convenio tiene por objeto: (i) establecer el período de Validación Operativa como condición previa para acceder al Programa TSR; (ii) registrar al Operador en la Lista de Espera del inventario de vehículos; y (iii) definir las reglas de asignación, rechazos y baja de la lista. Este Convenio no genera obligación de CMU de asignar una unidad en plazo determinado — la asignación está sujeta a disponibilidad de inventario.</w:t>
      </w:r>
    </w:p>
    <w:p>
      <w:pPr>
        <w:spacing w:before="160" w:after="40"/>
        <w:jc w:val="both"/>
      </w:pPr>
      <w:r>
        <w:rPr>
          <w:rFonts w:ascii="Arial" w:cs="Arial" w:eastAsia="Arial" w:hAnsi="Arial"/>
          <w:b/>
          <w:bCs/>
          <w:i w:val="false"/>
          <w:iCs w:val="false"/>
          <w:color w:val="0D2B4E"/>
          <w:sz w:val="22"/>
          <w:szCs w:val="22"/>
        </w:rPr>
        <w:t xml:space="preserve">CLÁUSULA SEGUNDA. — </w:t>
      </w:r>
      <w:r>
        <w:rPr>
          <w:rFonts w:ascii="Arial" w:cs="Arial" w:eastAsia="Arial" w:hAnsi="Arial"/>
          <w:b/>
          <w:bCs/>
          <w:i w:val="false"/>
          <w:iCs w:val="false"/>
          <w:color w:val="000000"/>
          <w:sz w:val="22"/>
          <w:szCs w:val="22"/>
        </w:rPr>
        <w:t xml:space="preserve">PERFILES DE CALIFICACIÓN. </w:t>
      </w:r>
      <w:r>
        <w:rPr>
          <w:rFonts w:ascii="Arial" w:cs="Arial" w:eastAsia="Arial" w:hAnsi="Arial"/>
          <w:b w:val="false"/>
          <w:bCs w:val="false"/>
          <w:i w:val="false"/>
          <w:iCs w:val="false"/>
          <w:color w:val="000000"/>
          <w:sz w:val="22"/>
          <w:szCs w:val="22"/>
        </w:rPr>
        <w:t xml:space="preserve">La validación del Operador se realizará bajo uno de los siguientes perfiles, según su historial de combustible:</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Perfil A — Usuario GNV Activo: el Operador tiene historial de consumo en la red NATGAS de Aguascalientes con un mínimo de 2 años de antigüedad y consumo promedio de 400 LEQ/mes o más. CMU verifica directamente en el sistema OASIS de NATGAS. Si el historial cumple, el Operador queda calificado de forma inmediata — sin período de espera.</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Perfil B — Operador de Gasolina / New Entrant: el Operador opera actualmente con gasolina o es nuevo en la red GNV. Debe presentar tickets o facturas de gasolina de los últimos 3 meses con un gasto total mínimo de $9,600 por mes y un mínimo de 10 tickets en el último mes. CMU valida los documentos mediante OCR. Si el perfil B es aprobado, el Operador inicia en la lista de espera en posición normal.</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Rechazo de perfil: si el Operador no cumple los requisitos de ningún perfil, CMU notificará el motivo específico. El Operador podrá volver a solicitar su registro cuando regularice la causa del rechazo.</w:t>
      </w:r>
    </w:p>
    <w:p>
      <w:pPr>
        <w:spacing w:before="160" w:after="40"/>
        <w:jc w:val="both"/>
      </w:pPr>
      <w:r>
        <w:rPr>
          <w:rFonts w:ascii="Arial" w:cs="Arial" w:eastAsia="Arial" w:hAnsi="Arial"/>
          <w:b/>
          <w:bCs/>
          <w:i w:val="false"/>
          <w:iCs w:val="false"/>
          <w:color w:val="0D2B4E"/>
          <w:sz w:val="22"/>
          <w:szCs w:val="22"/>
        </w:rPr>
        <w:t xml:space="preserve">CLÁUSULA TERCERA. — </w:t>
      </w:r>
      <w:r>
        <w:rPr>
          <w:rFonts w:ascii="Arial" w:cs="Arial" w:eastAsia="Arial" w:hAnsi="Arial"/>
          <w:b/>
          <w:bCs/>
          <w:i w:val="false"/>
          <w:iCs w:val="false"/>
          <w:color w:val="000000"/>
          <w:sz w:val="22"/>
          <w:szCs w:val="22"/>
        </w:rPr>
        <w:t xml:space="preserve">LISTA DE ESPERA — REGISTRO Y POSICIÓN. </w:t>
      </w:r>
      <w:r>
        <w:rPr>
          <w:rFonts w:ascii="Arial" w:cs="Arial" w:eastAsia="Arial" w:hAnsi="Arial"/>
          <w:b w:val="false"/>
          <w:bCs w:val="false"/>
          <w:i w:val="false"/>
          <w:iCs w:val="false"/>
          <w:color w:val="000000"/>
          <w:sz w:val="22"/>
          <w:szCs w:val="22"/>
        </w:rPr>
        <w:t xml:space="preserve">El registro en la Lista de Espera opera conforme a las siguientes reglas:</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El registro es gratuito. No existe costo alguno para ingresar ni para mantenerse en la lista de espera.</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La posición en la lista es por orden de llegada (folio CMU-VAL). A mayor antigüedad del folio, mayor prioridad en la asignación.</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Para mantenerse en lista activa, el Operador Perfil A debe mantener un consumo mínimo de 400 LEQ/mes en la red NATGAS. Si su consumo cae por debajo del mínimo durante 2 meses consecutivos, su posición se suspende temporalmente y se reactiva al regularizar su consumo.</w:t>
      </w:r>
    </w:p>
    <w:p>
      <w:pPr>
        <w:spacing w:before="0" w:after="40"/>
        <w:ind w:left="720" w:hanging="360"/>
        <w:jc w:val="both"/>
      </w:pPr>
      <w:r>
        <w:rPr>
          <w:rFonts w:ascii="Arial" w:cs="Arial" w:eastAsia="Arial" w:hAnsi="Arial"/>
          <w:b/>
          <w:bCs/>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El Operador Perfil B no tiene requisito de consumo durante la espera — su posición se mantiene activa mientras no incurra en causa de baja.</w:t>
      </w:r>
    </w:p>
    <w:p>
      <w:pPr>
        <w:spacing w:before="0" w:after="40"/>
        <w:ind w:left="720" w:hanging="360"/>
        <w:jc w:val="both"/>
      </w:pPr>
      <w:r>
        <w:rPr>
          <w:rFonts w:ascii="Arial" w:cs="Arial" w:eastAsia="Arial" w:hAnsi="Arial"/>
          <w:b/>
          <w:bCs/>
          <w:i w:val="false"/>
          <w:iCs w:val="false"/>
          <w:color w:val="000000"/>
          <w:sz w:val="22"/>
          <w:szCs w:val="22"/>
        </w:rPr>
        <w:t xml:space="preserve">e) </w:t>
      </w:r>
      <w:r>
        <w:rPr>
          <w:rFonts w:ascii="Arial" w:cs="Arial" w:eastAsia="Arial" w:hAnsi="Arial"/>
          <w:b w:val="false"/>
          <w:bCs w:val="false"/>
          <w:i w:val="false"/>
          <w:iCs w:val="false"/>
          <w:color w:val="000000"/>
          <w:sz w:val="22"/>
          <w:szCs w:val="22"/>
        </w:rPr>
        <w:t xml:space="preserve">CMU notificará al Operador por WhatsApp cuando haya una unidad disponible compatible con su calificación, con un plazo de 5 días hábiles para confirmar su interés.</w:t>
      </w:r>
    </w:p>
    <w:p>
      <w:pPr>
        <w:spacing w:before="160" w:after="40"/>
        <w:jc w:val="both"/>
      </w:pPr>
      <w:r>
        <w:rPr>
          <w:rFonts w:ascii="Arial" w:cs="Arial" w:eastAsia="Arial" w:hAnsi="Arial"/>
          <w:b/>
          <w:bCs/>
          <w:i w:val="false"/>
          <w:iCs w:val="false"/>
          <w:color w:val="0D2B4E"/>
          <w:sz w:val="22"/>
          <w:szCs w:val="22"/>
        </w:rPr>
        <w:t xml:space="preserve">CLÁUSULA CUARTA. — </w:t>
      </w:r>
      <w:r>
        <w:rPr>
          <w:rFonts w:ascii="Arial" w:cs="Arial" w:eastAsia="Arial" w:hAnsi="Arial"/>
          <w:b/>
          <w:bCs/>
          <w:i w:val="false"/>
          <w:iCs w:val="false"/>
          <w:color w:val="000000"/>
          <w:sz w:val="22"/>
          <w:szCs w:val="22"/>
        </w:rPr>
        <w:t xml:space="preserve">REGLAS DE OFERTA Y RECHAZO DE UNIDAD. </w:t>
      </w:r>
      <w:r>
        <w:rPr>
          <w:rFonts w:ascii="Arial" w:cs="Arial" w:eastAsia="Arial" w:hAnsi="Arial"/>
          <w:b w:val="false"/>
          <w:bCs w:val="false"/>
          <w:i w:val="false"/>
          <w:iCs w:val="false"/>
          <w:color w:val="000000"/>
          <w:sz w:val="22"/>
          <w:szCs w:val="22"/>
        </w:rPr>
        <w:t xml:space="preserve">Cuando CMU ofrezca una unidad disponible al Operador, aplican las siguientes reglas:</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Si el Operador acepta la unidad ofrecida en el plazo de 5 días hábiles, procede a la firma del Contrato de Compraventa a Plazos folio CMU-TSR-______ en los términos del Programa.</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Primer rechazo: si el Operador rechaza la unidad ofrecida, pierde su prioridad y pasa al final de la lista de espera. CMU le asignará el siguiente folio disponible en la posición más baja de la lista activa.</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Segundo rechazo: si el Operador rechaza una segunda unidad ofrecida, queda dado de baja de la lista. Podrá volver a registrarse desde cero, con un nuevo folio CMU-VAL y posición al final de la lista vigente al momento del nuevo registro.</w:t>
      </w:r>
    </w:p>
    <w:p>
      <w:pPr>
        <w:spacing w:before="0" w:after="40"/>
        <w:ind w:left="720" w:hanging="360"/>
        <w:jc w:val="both"/>
      </w:pPr>
      <w:r>
        <w:rPr>
          <w:rFonts w:ascii="Arial" w:cs="Arial" w:eastAsia="Arial" w:hAnsi="Arial"/>
          <w:b/>
          <w:bCs/>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No responder en el plazo de 5 días hábiles equivale a rechazo para efectos del presente Convenio.</w:t>
      </w:r>
    </w:p>
    <w:p>
      <w:pPr>
        <w:spacing w:before="160" w:after="40"/>
        <w:jc w:val="both"/>
      </w:pPr>
      <w:r>
        <w:rPr>
          <w:rFonts w:ascii="Arial" w:cs="Arial" w:eastAsia="Arial" w:hAnsi="Arial"/>
          <w:b/>
          <w:bCs/>
          <w:i w:val="false"/>
          <w:iCs w:val="false"/>
          <w:color w:val="0D2B4E"/>
          <w:sz w:val="22"/>
          <w:szCs w:val="22"/>
        </w:rPr>
        <w:t xml:space="preserve">CLÁUSULA QUINTA. — </w:t>
      </w:r>
      <w:r>
        <w:rPr>
          <w:rFonts w:ascii="Arial" w:cs="Arial" w:eastAsia="Arial" w:hAnsi="Arial"/>
          <w:b/>
          <w:bCs/>
          <w:i w:val="false"/>
          <w:iCs w:val="false"/>
          <w:color w:val="000000"/>
          <w:sz w:val="22"/>
          <w:szCs w:val="22"/>
        </w:rPr>
        <w:t xml:space="preserve">INSPECCIÓN DEL KIT GNV — PRECIO DEFINITIVO. </w:t>
      </w:r>
      <w:r>
        <w:rPr>
          <w:rFonts w:ascii="Arial" w:cs="Arial" w:eastAsia="Arial" w:hAnsi="Arial"/>
          <w:b w:val="false"/>
          <w:bCs w:val="false"/>
          <w:i w:val="false"/>
          <w:iCs w:val="false"/>
          <w:color w:val="000000"/>
          <w:sz w:val="22"/>
          <w:szCs w:val="22"/>
        </w:rPr>
        <w:t xml:space="preserve">Previo a la firma del Contrato de Compraventa, y como parte del proceso de asignación:</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El taller autorizado por CMU inspeccionará el tanque GNV de la unidad anterior del Operador (si la tiene). El resultado determinará el precio del kit a aplicar en el Contrato.</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Tanque propio dictaminado apto: el kit se instala con el tanque del Operador. Precio del kit: $18,000.00. El Operador firma la Carta de Entrega de Tanque GNV folio CMU-CTK-______.</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Sin tanque o tanque dictaminado no apto: se instala tanque nuevo. El precio del kit es de $27,400.00 y se suma al precio del vehículo, salvo que CMU tenga activa la campaña de Kit Gratis (flag promo_kit_activa), en cuyo caso CMU absorbe la diferencia y el precio al Operador no varía.</w:t>
      </w:r>
    </w:p>
    <w:p>
      <w:pPr>
        <w:spacing w:before="0" w:after="40"/>
        <w:ind w:left="720" w:hanging="360"/>
        <w:jc w:val="both"/>
      </w:pPr>
      <w:r>
        <w:rPr>
          <w:rFonts w:ascii="Arial" w:cs="Arial" w:eastAsia="Arial" w:hAnsi="Arial"/>
          <w:b/>
          <w:bCs/>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El precio queda fijo en el Anexo A del Contrato al momento de la firma, sin ajustes posteriores.</w:t>
      </w:r>
    </w:p>
    <w:p>
      <w:pPr>
        <w:spacing w:before="160" w:after="40"/>
        <w:jc w:val="both"/>
      </w:pPr>
      <w:r>
        <w:rPr>
          <w:rFonts w:ascii="Arial" w:cs="Arial" w:eastAsia="Arial" w:hAnsi="Arial"/>
          <w:b/>
          <w:bCs/>
          <w:i w:val="false"/>
          <w:iCs w:val="false"/>
          <w:color w:val="0D2B4E"/>
          <w:sz w:val="22"/>
          <w:szCs w:val="22"/>
        </w:rPr>
        <w:t xml:space="preserve">CLÁUSULA SEXTA. — </w:t>
      </w:r>
      <w:r>
        <w:rPr>
          <w:rFonts w:ascii="Arial" w:cs="Arial" w:eastAsia="Arial" w:hAnsi="Arial"/>
          <w:b/>
          <w:bCs/>
          <w:i w:val="false"/>
          <w:iCs w:val="false"/>
          <w:color w:val="000000"/>
          <w:sz w:val="22"/>
          <w:szCs w:val="22"/>
        </w:rPr>
        <w:t xml:space="preserve">DOCUMENTOS REQUERIDOS PARA FIRMAR EL CONTRATO. </w:t>
      </w:r>
      <w:r>
        <w:rPr>
          <w:rFonts w:ascii="Arial" w:cs="Arial" w:eastAsia="Arial" w:hAnsi="Arial"/>
          <w:b w:val="false"/>
          <w:bCs w:val="false"/>
          <w:i w:val="false"/>
          <w:iCs w:val="false"/>
          <w:color w:val="000000"/>
          <w:sz w:val="22"/>
          <w:szCs w:val="22"/>
        </w:rPr>
        <w:t xml:space="preserve">Para proceder a la firma del Contrato de Compraventa, el Operador deberá tener capturados en el sistema de originación CMU (PWA) los siguientes documentos, todos vigentes a la fecha de firma:</w:t>
      </w:r>
    </w:p>
    <w:p>
      <w:pPr>
        <w:spacing w:before="0" w:after="40"/>
        <w:ind w:left="720" w:hanging="360"/>
        <w:jc w:val="both"/>
      </w:pPr>
      <w:r>
        <w:rPr>
          <w:rFonts w:ascii="Arial" w:cs="Arial" w:eastAsia="Arial" w:hAnsi="Arial"/>
          <w:b/>
          <w:bCs/>
          <w:i w:val="false"/>
          <w:iCs w:val="false"/>
          <w:color w:val="000000"/>
          <w:sz w:val="22"/>
          <w:szCs w:val="22"/>
        </w:rPr>
        <w:t xml:space="preserve">01) </w:t>
      </w:r>
      <w:r>
        <w:rPr>
          <w:rFonts w:ascii="Arial" w:cs="Arial" w:eastAsia="Arial" w:hAnsi="Arial"/>
          <w:b w:val="false"/>
          <w:bCs w:val="false"/>
          <w:i w:val="false"/>
          <w:iCs w:val="false"/>
          <w:color w:val="000000"/>
          <w:sz w:val="22"/>
          <w:szCs w:val="22"/>
        </w:rPr>
        <w:t xml:space="preserve">INE frente y reverso — titular de la concesión.</w:t>
      </w:r>
    </w:p>
    <w:p>
      <w:pPr>
        <w:spacing w:before="0" w:after="40"/>
        <w:ind w:left="720" w:hanging="360"/>
        <w:jc w:val="both"/>
      </w:pPr>
      <w:r>
        <w:rPr>
          <w:rFonts w:ascii="Arial" w:cs="Arial" w:eastAsia="Arial" w:hAnsi="Arial"/>
          <w:b/>
          <w:bCs/>
          <w:i w:val="false"/>
          <w:iCs w:val="false"/>
          <w:color w:val="000000"/>
          <w:sz w:val="22"/>
          <w:szCs w:val="22"/>
        </w:rPr>
        <w:t xml:space="preserve">02) </w:t>
      </w:r>
      <w:r>
        <w:rPr>
          <w:rFonts w:ascii="Arial" w:cs="Arial" w:eastAsia="Arial" w:hAnsi="Arial"/>
          <w:b w:val="false"/>
          <w:bCs w:val="false"/>
          <w:i w:val="false"/>
          <w:iCs w:val="false"/>
          <w:color w:val="000000"/>
          <w:sz w:val="22"/>
          <w:szCs w:val="22"/>
        </w:rPr>
        <w:t xml:space="preserve">Tarjeta de Circulación del vehículo actual del Operador.</w:t>
      </w:r>
    </w:p>
    <w:p>
      <w:pPr>
        <w:spacing w:before="0" w:after="40"/>
        <w:ind w:left="720" w:hanging="360"/>
        <w:jc w:val="both"/>
      </w:pPr>
      <w:r>
        <w:rPr>
          <w:rFonts w:ascii="Arial" w:cs="Arial" w:eastAsia="Arial" w:hAnsi="Arial"/>
          <w:b/>
          <w:bCs/>
          <w:i w:val="false"/>
          <w:iCs w:val="false"/>
          <w:color w:val="000000"/>
          <w:sz w:val="22"/>
          <w:szCs w:val="22"/>
        </w:rPr>
        <w:t xml:space="preserve">03) </w:t>
      </w:r>
      <w:r>
        <w:rPr>
          <w:rFonts w:ascii="Arial" w:cs="Arial" w:eastAsia="Arial" w:hAnsi="Arial"/>
          <w:b w:val="false"/>
          <w:bCs w:val="false"/>
          <w:i w:val="false"/>
          <w:iCs w:val="false"/>
          <w:color w:val="000000"/>
          <w:sz w:val="22"/>
          <w:szCs w:val="22"/>
        </w:rPr>
        <w:t xml:space="preserve">Factura del vehículo actual.</w:t>
      </w:r>
    </w:p>
    <w:p>
      <w:pPr>
        <w:spacing w:before="0" w:after="40"/>
        <w:ind w:left="720" w:hanging="360"/>
        <w:jc w:val="both"/>
      </w:pPr>
      <w:r>
        <w:rPr>
          <w:rFonts w:ascii="Arial" w:cs="Arial" w:eastAsia="Arial" w:hAnsi="Arial"/>
          <w:b/>
          <w:bCs/>
          <w:i w:val="false"/>
          <w:iCs w:val="false"/>
          <w:color w:val="000000"/>
          <w:sz w:val="22"/>
          <w:szCs w:val="22"/>
        </w:rPr>
        <w:t xml:space="preserve">04) </w:t>
      </w:r>
      <w:r>
        <w:rPr>
          <w:rFonts w:ascii="Arial" w:cs="Arial" w:eastAsia="Arial" w:hAnsi="Arial"/>
          <w:b w:val="false"/>
          <w:bCs w:val="false"/>
          <w:i w:val="false"/>
          <w:iCs w:val="false"/>
          <w:color w:val="000000"/>
          <w:sz w:val="22"/>
          <w:szCs w:val="22"/>
        </w:rPr>
        <w:t xml:space="preserve">Constancia de Situación Fiscal (SAT) — máximo 30 días de antigüedad.</w:t>
      </w:r>
    </w:p>
    <w:p>
      <w:pPr>
        <w:spacing w:before="0" w:after="40"/>
        <w:ind w:left="720" w:hanging="360"/>
        <w:jc w:val="both"/>
      </w:pPr>
      <w:r>
        <w:rPr>
          <w:rFonts w:ascii="Arial" w:cs="Arial" w:eastAsia="Arial" w:hAnsi="Arial"/>
          <w:b/>
          <w:bCs/>
          <w:i w:val="false"/>
          <w:iCs w:val="false"/>
          <w:color w:val="000000"/>
          <w:sz w:val="22"/>
          <w:szCs w:val="22"/>
        </w:rPr>
        <w:t xml:space="preserve">05) </w:t>
      </w:r>
      <w:r>
        <w:rPr>
          <w:rFonts w:ascii="Arial" w:cs="Arial" w:eastAsia="Arial" w:hAnsi="Arial"/>
          <w:b w:val="false"/>
          <w:bCs w:val="false"/>
          <w:i w:val="false"/>
          <w:iCs w:val="false"/>
          <w:color w:val="000000"/>
          <w:sz w:val="22"/>
          <w:szCs w:val="22"/>
        </w:rPr>
        <w:t xml:space="preserve">Comprobante de domicilio — máximo 3 meses de antigüedad.</w:t>
      </w:r>
    </w:p>
    <w:p>
      <w:pPr>
        <w:spacing w:before="0" w:after="40"/>
        <w:ind w:left="720" w:hanging="360"/>
        <w:jc w:val="both"/>
      </w:pPr>
      <w:r>
        <w:rPr>
          <w:rFonts w:ascii="Arial" w:cs="Arial" w:eastAsia="Arial" w:hAnsi="Arial"/>
          <w:b/>
          <w:bCs/>
          <w:i w:val="false"/>
          <w:iCs w:val="false"/>
          <w:color w:val="000000"/>
          <w:sz w:val="22"/>
          <w:szCs w:val="22"/>
        </w:rPr>
        <w:t xml:space="preserve">06) </w:t>
      </w:r>
      <w:r>
        <w:rPr>
          <w:rFonts w:ascii="Arial" w:cs="Arial" w:eastAsia="Arial" w:hAnsi="Arial"/>
          <w:b w:val="false"/>
          <w:bCs w:val="false"/>
          <w:i w:val="false"/>
          <w:iCs w:val="false"/>
          <w:color w:val="000000"/>
          <w:sz w:val="22"/>
          <w:szCs w:val="22"/>
        </w:rPr>
        <w:t xml:space="preserve">Concesión de taxi — vigente, municipio Aguascalientes.</w:t>
      </w:r>
    </w:p>
    <w:p>
      <w:pPr>
        <w:spacing w:before="0" w:after="40"/>
        <w:ind w:left="720" w:hanging="360"/>
        <w:jc w:val="both"/>
      </w:pPr>
      <w:r>
        <w:rPr>
          <w:rFonts w:ascii="Arial" w:cs="Arial" w:eastAsia="Arial" w:hAnsi="Arial"/>
          <w:b/>
          <w:bCs/>
          <w:i w:val="false"/>
          <w:iCs w:val="false"/>
          <w:color w:val="000000"/>
          <w:sz w:val="22"/>
          <w:szCs w:val="22"/>
        </w:rPr>
        <w:t xml:space="preserve">07) </w:t>
      </w:r>
      <w:r>
        <w:rPr>
          <w:rFonts w:ascii="Arial" w:cs="Arial" w:eastAsia="Arial" w:hAnsi="Arial"/>
          <w:b w:val="false"/>
          <w:bCs w:val="false"/>
          <w:i w:val="false"/>
          <w:iCs w:val="false"/>
          <w:color w:val="000000"/>
          <w:sz w:val="22"/>
          <w:szCs w:val="22"/>
        </w:rPr>
        <w:t xml:space="preserve">Estado de cuenta bancario con CLABE de 18 dígitos visible.</w:t>
      </w:r>
    </w:p>
    <w:p>
      <w:pPr>
        <w:spacing w:before="0" w:after="40"/>
        <w:ind w:left="720" w:hanging="360"/>
        <w:jc w:val="both"/>
      </w:pPr>
      <w:r>
        <w:rPr>
          <w:rFonts w:ascii="Arial" w:cs="Arial" w:eastAsia="Arial" w:hAnsi="Arial"/>
          <w:b/>
          <w:bCs/>
          <w:i w:val="false"/>
          <w:iCs w:val="false"/>
          <w:color w:val="000000"/>
          <w:sz w:val="22"/>
          <w:szCs w:val="22"/>
        </w:rPr>
        <w:t xml:space="preserve">08) </w:t>
      </w:r>
      <w:r>
        <w:rPr>
          <w:rFonts w:ascii="Arial" w:cs="Arial" w:eastAsia="Arial" w:hAnsi="Arial"/>
          <w:b w:val="false"/>
          <w:bCs w:val="false"/>
          <w:i w:val="false"/>
          <w:iCs w:val="false"/>
          <w:color w:val="000000"/>
          <w:sz w:val="22"/>
          <w:szCs w:val="22"/>
        </w:rPr>
        <w:t xml:space="preserve">Historial GNV NATGAS (Perfil A) o tickets de gasolina 3 meses (Perfil B).</w:t>
      </w:r>
    </w:p>
    <w:p>
      <w:pPr>
        <w:spacing w:before="0" w:after="40"/>
        <w:ind w:left="720" w:hanging="360"/>
        <w:jc w:val="both"/>
      </w:pPr>
      <w:r>
        <w:rPr>
          <w:rFonts w:ascii="Arial" w:cs="Arial" w:eastAsia="Arial" w:hAnsi="Arial"/>
          <w:b/>
          <w:bCs/>
          <w:i w:val="false"/>
          <w:iCs w:val="false"/>
          <w:color w:val="000000"/>
          <w:sz w:val="22"/>
          <w:szCs w:val="22"/>
        </w:rPr>
        <w:t xml:space="preserve">09) </w:t>
      </w:r>
      <w:r>
        <w:rPr>
          <w:rFonts w:ascii="Arial" w:cs="Arial" w:eastAsia="Arial" w:hAnsi="Arial"/>
          <w:b w:val="false"/>
          <w:bCs w:val="false"/>
          <w:i w:val="false"/>
          <w:iCs w:val="false"/>
          <w:color w:val="000000"/>
          <w:sz w:val="22"/>
          <w:szCs w:val="22"/>
        </w:rPr>
        <w:t xml:space="preserve">Carta de membresía gremial.</w:t>
      </w:r>
    </w:p>
    <w:p>
      <w:pPr>
        <w:spacing w:before="0" w:after="40"/>
        <w:ind w:left="720" w:hanging="360"/>
        <w:jc w:val="both"/>
      </w:pPr>
      <w:r>
        <w:rPr>
          <w:rFonts w:ascii="Arial" w:cs="Arial" w:eastAsia="Arial" w:hAnsi="Arial"/>
          <w:b/>
          <w:bCs/>
          <w:i w:val="false"/>
          <w:iCs w:val="false"/>
          <w:color w:val="000000"/>
          <w:sz w:val="22"/>
          <w:szCs w:val="22"/>
        </w:rPr>
        <w:t xml:space="preserve">10) </w:t>
      </w:r>
      <w:r>
        <w:rPr>
          <w:rFonts w:ascii="Arial" w:cs="Arial" w:eastAsia="Arial" w:hAnsi="Arial"/>
          <w:b w:val="false"/>
          <w:bCs w:val="false"/>
          <w:i w:val="false"/>
          <w:iCs w:val="false"/>
          <w:color w:val="000000"/>
          <w:sz w:val="22"/>
          <w:szCs w:val="22"/>
        </w:rPr>
        <w:t xml:space="preserve">Selfie con INE — fotografía en tiempo real.</w:t>
      </w:r>
    </w:p>
    <w:p>
      <w:pPr>
        <w:spacing w:before="0" w:after="40"/>
        <w:ind w:left="720" w:hanging="360"/>
        <w:jc w:val="both"/>
      </w:pPr>
      <w:r>
        <w:rPr>
          <w:rFonts w:ascii="Arial" w:cs="Arial" w:eastAsia="Arial" w:hAnsi="Arial"/>
          <w:b/>
          <w:bCs/>
          <w:i w:val="false"/>
          <w:iCs w:val="false"/>
          <w:color w:val="000000"/>
          <w:sz w:val="22"/>
          <w:szCs w:val="22"/>
        </w:rPr>
        <w:t xml:space="preserve">11) </w:t>
      </w:r>
      <w:r>
        <w:rPr>
          <w:rFonts w:ascii="Arial" w:cs="Arial" w:eastAsia="Arial" w:hAnsi="Arial"/>
          <w:b w:val="false"/>
          <w:bCs w:val="false"/>
          <w:i w:val="false"/>
          <w:iCs w:val="false"/>
          <w:color w:val="000000"/>
          <w:sz w:val="22"/>
          <w:szCs w:val="22"/>
        </w:rPr>
        <w:t xml:space="preserve">INE y licencia del/los operador(es) del vehículo + 4 fotografías de la unidad actual.</w:t>
      </w:r>
    </w:p>
    <w:p>
      <w:pPr>
        <w:spacing w:before="160" w:after="60"/>
        <w:jc w:val="both"/>
      </w:pPr>
      <w:r>
        <w:rPr>
          <w:rFonts w:ascii="Arial" w:cs="Arial" w:eastAsia="Arial" w:hAnsi="Arial"/>
          <w:b/>
          <w:bCs/>
          <w:i w:val="false"/>
          <w:iCs w:val="false"/>
          <w:color w:val="0D2B4E"/>
          <w:sz w:val="22"/>
          <w:szCs w:val="22"/>
        </w:rPr>
        <w:t xml:space="preserve">CLÁUSULA SÉPTIMA. — </w:t>
      </w:r>
      <w:r>
        <w:rPr>
          <w:rFonts w:ascii="Arial" w:cs="Arial" w:eastAsia="Arial" w:hAnsi="Arial"/>
          <w:b/>
          <w:bCs/>
          <w:i w:val="false"/>
          <w:iCs w:val="false"/>
          <w:color w:val="000000"/>
          <w:sz w:val="22"/>
          <w:szCs w:val="22"/>
        </w:rPr>
        <w:t xml:space="preserve">ANTICIPO A CAPITAL. </w:t>
      </w:r>
      <w:r>
        <w:rPr>
          <w:rFonts w:ascii="Arial" w:cs="Arial" w:eastAsia="Arial" w:hAnsi="Arial"/>
          <w:b w:val="false"/>
          <w:bCs w:val="false"/>
          <w:i w:val="false"/>
          <w:iCs w:val="false"/>
          <w:color w:val="000000"/>
          <w:sz w:val="22"/>
          <w:szCs w:val="22"/>
        </w:rPr>
        <w:t xml:space="preserve">El Operador se obliga a depositar un anticipo a capital de $50,000.00 (Cincuenta Mil Pesos 00/100 M.N.) a más tardar el día 56 (semana 8) contado desde la firma del Contrato de Compraventa, proveniente de la venta de su unidad anterior. Este compromiso queda documentado en el Pagaré de Anticipo a Capital folio CMU-PAG-______, que se suscribe simultáneamente con el Contrato. CMU puede apoyar en la gestión de la venta de la unidad anterior sin costo adicional.</w:t>
      </w:r>
    </w:p>
    <w:p>
      <w:pPr>
        <w:spacing w:before="60" w:after="0"/>
      </w:pPr>
      <w:r>
        <w:rPr>
          <w:rFonts w:ascii="Arial" w:cs="Arial" w:eastAsia="Arial" w:hAnsi="Arial"/>
          <w:b w:val="false"/>
          <w:bCs w:val="false"/>
          <w:i w:val="false"/>
          <w:iCs w:val="false"/>
          <w:color w:val="000000"/>
          <w:sz w:val="22"/>
          <w:szCs w:val="22"/>
        </w:rPr>
        <w:t xml:space="preserve"/>
      </w:r>
    </w:p>
    <w:p>
      <w:pPr>
        <w:spacing w:before="160" w:after="40"/>
      </w:pPr>
      <w:r>
        <w:rPr>
          <w:rFonts w:ascii="Arial" w:cs="Arial" w:eastAsia="Arial" w:hAnsi="Arial"/>
          <w:b/>
          <w:bCs/>
          <w:i w:val="false"/>
          <w:iCs w:val="false"/>
          <w:color w:val="0D2B4E"/>
          <w:sz w:val="22"/>
          <w:szCs w:val="22"/>
        </w:rPr>
        <w:t xml:space="preserve">CLÁUSULA OCTAVA. — </w:t>
      </w:r>
      <w:r>
        <w:rPr>
          <w:rFonts w:ascii="Arial" w:cs="Arial" w:eastAsia="Arial" w:hAnsi="Arial"/>
          <w:b/>
          <w:bCs/>
          <w:i w:val="false"/>
          <w:iCs w:val="false"/>
          <w:color w:val="000000"/>
          <w:sz w:val="22"/>
          <w:szCs w:val="22"/>
        </w:rPr>
        <w:t xml:space="preserve">FONDO DE GARANTÍA.</w:t>
      </w:r>
    </w:p>
    <w:tbl>
      <w:tblPr>
        <w:tblW w:type="dxa" w:w="9360"/>
        <w:tblBorders>
          <w:top w:val="single" w:color="00AEEF" w:sz="4"/>
          <w:left w:val="none" w:color="FFFFFF" w:sz="0"/>
          <w:bottom w:val="single" w:color="00AEEF" w:sz="4"/>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9FC" w:val="clear"/>
            <w:tcMar>
              <w:top w:type="dxa" w:w="120"/>
              <w:left w:type="dxa" w:w="200"/>
              <w:bottom w:type="dxa" w:w="120"/>
              <w:right w:type="dxa" w:w="200"/>
            </w:tcMar>
          </w:tcPr>
          <w:p>
            <w:pPr>
              <w:spacing w:before="0" w:after="80"/>
              <w:ind/>
              <w:jc w:val="both"/>
            </w:pPr>
            <w:r>
              <w:rPr>
                <w:rFonts w:ascii="Arial" w:cs="Arial" w:eastAsia="Arial" w:hAnsi="Arial"/>
                <w:b/>
                <w:bCs/>
                <w:i w:val="false"/>
                <w:iCs w:val="false"/>
                <w:color w:val="0D2B4E"/>
                <w:sz w:val="20"/>
                <w:szCs w:val="20"/>
              </w:rPr>
              <w:t xml:space="preserve">¿QUÉ ES EL FONDO DE GARANTÍA?</w:t>
            </w:r>
          </w:p>
          <w:p>
            <w:pPr>
              <w:spacing w:before="0" w:after="40"/>
              <w:ind w:left="360" w:hanging="240"/>
            </w:pPr>
            <w:r>
              <w:rPr>
                <w:rFonts w:ascii="Arial" w:cs="Arial" w:eastAsia="Arial" w:hAnsi="Arial"/>
                <w:b/>
                <w:bCs/>
                <w:i w:val="false"/>
                <w:iCs w:val="false"/>
                <w:color w:val="00AEEF"/>
                <w:sz w:val="20"/>
                <w:szCs w:val="20"/>
              </w:rPr>
              <w:t xml:space="preserve">• </w:t>
            </w:r>
            <w:r>
              <w:rPr>
                <w:rFonts w:ascii="Arial" w:cs="Arial" w:eastAsia="Arial" w:hAnsi="Arial"/>
                <w:b w:val="false"/>
                <w:bCs w:val="false"/>
                <w:i w:val="false"/>
                <w:iCs w:val="false"/>
                <w:color w:val="000000"/>
                <w:sz w:val="20"/>
                <w:szCs w:val="20"/>
              </w:rPr>
              <w:t xml:space="preserve">Es tu dinero — se forma con tu aportación inicial y parte de lo que cargas de gas cada mes.</w:t>
            </w:r>
          </w:p>
          <w:p>
            <w:pPr>
              <w:spacing w:before="0" w:after="40"/>
              <w:ind w:left="360" w:hanging="240"/>
            </w:pPr>
            <w:r>
              <w:rPr>
                <w:rFonts w:ascii="Arial" w:cs="Arial" w:eastAsia="Arial" w:hAnsi="Arial"/>
                <w:b/>
                <w:bCs/>
                <w:i w:val="false"/>
                <w:iCs w:val="false"/>
                <w:color w:val="00AEEF"/>
                <w:sz w:val="20"/>
                <w:szCs w:val="20"/>
              </w:rPr>
              <w:t xml:space="preserve">• </w:t>
            </w:r>
            <w:r>
              <w:rPr>
                <w:rFonts w:ascii="Arial" w:cs="Arial" w:eastAsia="Arial" w:hAnsi="Arial"/>
                <w:b w:val="false"/>
                <w:bCs w:val="false"/>
                <w:i w:val="false"/>
                <w:iCs w:val="false"/>
                <w:color w:val="000000"/>
                <w:sz w:val="20"/>
                <w:szCs w:val="20"/>
              </w:rPr>
              <w:t xml:space="preserve">Te protege — si un mes cargas poco gas o hay algún imprevisto, el fondo lo cubre antes de que tengas que pagar de tu bolsillo.</w:t>
            </w:r>
          </w:p>
          <w:p>
            <w:pPr>
              <w:spacing w:before="0" w:after="40"/>
              <w:ind w:left="360" w:hanging="240"/>
            </w:pPr>
            <w:r>
              <w:rPr>
                <w:rFonts w:ascii="Arial" w:cs="Arial" w:eastAsia="Arial" w:hAnsi="Arial"/>
                <w:b/>
                <w:bCs/>
                <w:i w:val="false"/>
                <w:iCs w:val="false"/>
                <w:color w:val="00AEEF"/>
                <w:sz w:val="20"/>
                <w:szCs w:val="20"/>
              </w:rPr>
              <w:t xml:space="preserve">• </w:t>
            </w:r>
            <w:r>
              <w:rPr>
                <w:rFonts w:ascii="Arial" w:cs="Arial" w:eastAsia="Arial" w:hAnsi="Arial"/>
                <w:b w:val="false"/>
                <w:bCs w:val="false"/>
                <w:i w:val="false"/>
                <w:iCs w:val="false"/>
                <w:color w:val="000000"/>
                <w:sz w:val="20"/>
                <w:szCs w:val="20"/>
              </w:rPr>
              <w:t xml:space="preserve">Transparencia — si CMU usa parte del fondo, te avisamos dentro de los 5 días hábiles siguientes con el detalle.</w:t>
            </w:r>
          </w:p>
          <w:p>
            <w:pPr>
              <w:spacing w:before="0" w:after="0"/>
              <w:ind w:left="360" w:hanging="240"/>
            </w:pPr>
            <w:r>
              <w:rPr>
                <w:rFonts w:ascii="Arial" w:cs="Arial" w:eastAsia="Arial" w:hAnsi="Arial"/>
                <w:b/>
                <w:bCs/>
                <w:i w:val="false"/>
                <w:iCs w:val="false"/>
                <w:color w:val="00AEEF"/>
                <w:sz w:val="20"/>
                <w:szCs w:val="20"/>
              </w:rPr>
              <w:t xml:space="preserve">• </w:t>
            </w:r>
            <w:r>
              <w:rPr>
                <w:rFonts w:ascii="Arial" w:cs="Arial" w:eastAsia="Arial" w:hAnsi="Arial"/>
                <w:b w:val="false"/>
                <w:bCs w:val="false"/>
                <w:i w:val="false"/>
                <w:iCs w:val="false"/>
                <w:color w:val="000000"/>
                <w:sz w:val="20"/>
                <w:szCs w:val="20"/>
              </w:rPr>
              <w:t xml:space="preserve">Se regresa — al terminar tu contrato en regla (mes 37), CMU te deposita automáticamente lo que quedó. Sin trámites.</w:t>
            </w:r>
          </w:p>
        </w:tc>
      </w:tr>
    </w:tbl>
    <w:p>
      <w:pPr>
        <w:spacing w:before="60" w:after="0"/>
      </w:pPr>
      <w:r>
        <w:rPr>
          <w:rFonts w:ascii="Arial" w:cs="Arial" w:eastAsia="Arial" w:hAnsi="Arial"/>
          <w:b w:val="false"/>
          <w:bCs w:val="false"/>
          <w:i w:val="false"/>
          <w:iCs w:val="false"/>
          <w:color w:val="000000"/>
          <w:sz w:val="22"/>
          <w:szCs w:val="22"/>
        </w:rPr>
        <w:t xml:space="preserve"/>
      </w:r>
    </w:p>
    <w:p>
      <w:pPr>
        <w:spacing w:before="0" w:after="120"/>
        <w:ind/>
        <w:jc w:val="both"/>
      </w:pPr>
      <w:r>
        <w:rPr>
          <w:rFonts w:ascii="Arial" w:cs="Arial" w:eastAsia="Arial" w:hAnsi="Arial"/>
          <w:b w:val="false"/>
          <w:bCs w:val="false"/>
          <w:i w:val="false"/>
          <w:iCs w:val="false"/>
          <w:color w:val="000000"/>
          <w:sz w:val="22"/>
          <w:szCs w:val="22"/>
        </w:rPr>
        <w:t xml:space="preserve">El Fondo de Garantía no genera obligaciones durante el período de validación ni de lista de espera. Se constituye formalmente al momento de la firma del Contrato de Compraventa mediante la aportación inicial de $8,000.00 (Ocho Mil Pesos 00/100 M.N.), más una aportación mensual de $334.00 (Trescientos Treinta y Cuatro Pesos 00/100 M.N.) hasta alcanzar el techo de $20,000.00 (Veinte Mil Pesos 00/100 M.N.), conforme a lo establecido en la Cláusula Séptima del Contrato.</w:t>
      </w:r>
    </w:p>
    <w:p>
      <w:pPr>
        <w:spacing w:before="160" w:after="40"/>
        <w:jc w:val="both"/>
      </w:pPr>
      <w:r>
        <w:rPr>
          <w:rFonts w:ascii="Arial" w:cs="Arial" w:eastAsia="Arial" w:hAnsi="Arial"/>
          <w:b/>
          <w:bCs/>
          <w:i w:val="false"/>
          <w:iCs w:val="false"/>
          <w:color w:val="0D2B4E"/>
          <w:sz w:val="22"/>
          <w:szCs w:val="22"/>
        </w:rPr>
        <w:t xml:space="preserve">CLÁUSULA NOVENA. — </w:t>
      </w:r>
      <w:r>
        <w:rPr>
          <w:rFonts w:ascii="Arial" w:cs="Arial" w:eastAsia="Arial" w:hAnsi="Arial"/>
          <w:b/>
          <w:bCs/>
          <w:i w:val="false"/>
          <w:iCs w:val="false"/>
          <w:color w:val="000000"/>
          <w:sz w:val="22"/>
          <w:szCs w:val="22"/>
        </w:rPr>
        <w:t xml:space="preserve">TERMINACIÓN DEL CONVENIO. </w:t>
      </w:r>
      <w:r>
        <w:rPr>
          <w:rFonts w:ascii="Arial" w:cs="Arial" w:eastAsia="Arial" w:hAnsi="Arial"/>
          <w:b w:val="false"/>
          <w:bCs w:val="false"/>
          <w:i w:val="false"/>
          <w:iCs w:val="false"/>
          <w:color w:val="000000"/>
          <w:sz w:val="22"/>
          <w:szCs w:val="22"/>
        </w:rPr>
        <w:t xml:space="preserve">El presente Convenio concluye por cualquiera de las siguientes causas:</w:t>
      </w:r>
    </w:p>
    <w:p>
      <w:pPr>
        <w:spacing w:before="0" w:after="40"/>
        <w:ind w:left="720" w:hanging="360"/>
        <w:jc w:val="both"/>
      </w:pPr>
      <w:r>
        <w:rPr>
          <w:rFonts w:ascii="Arial" w:cs="Arial" w:eastAsia="Arial" w:hAnsi="Arial"/>
          <w:b/>
          <w:bCs/>
          <w:i w:val="false"/>
          <w:iCs w:val="false"/>
          <w:color w:val="000000"/>
          <w:sz w:val="22"/>
          <w:szCs w:val="22"/>
        </w:rPr>
        <w:t xml:space="preserve">a) </w:t>
      </w:r>
      <w:r>
        <w:rPr>
          <w:rFonts w:ascii="Arial" w:cs="Arial" w:eastAsia="Arial" w:hAnsi="Arial"/>
          <w:b w:val="false"/>
          <w:bCs w:val="false"/>
          <w:i w:val="false"/>
          <w:iCs w:val="false"/>
          <w:color w:val="000000"/>
          <w:sz w:val="22"/>
          <w:szCs w:val="22"/>
        </w:rPr>
        <w:t xml:space="preserve">Firma del Contrato de Compraventa a Plazos: el Convenio queda absorbido por el Contrato, que es el instrumento definitivo de la relación entre las Partes.</w:t>
      </w:r>
    </w:p>
    <w:p>
      <w:pPr>
        <w:spacing w:before="0" w:after="40"/>
        <w:ind w:left="720" w:hanging="360"/>
        <w:jc w:val="both"/>
      </w:pPr>
      <w:r>
        <w:rPr>
          <w:rFonts w:ascii="Arial" w:cs="Arial" w:eastAsia="Arial" w:hAnsi="Arial"/>
          <w:b/>
          <w:bCs/>
          <w:i w:val="false"/>
          <w:iCs w:val="false"/>
          <w:color w:val="000000"/>
          <w:sz w:val="22"/>
          <w:szCs w:val="22"/>
        </w:rPr>
        <w:t xml:space="preserve">b) </w:t>
      </w:r>
      <w:r>
        <w:rPr>
          <w:rFonts w:ascii="Arial" w:cs="Arial" w:eastAsia="Arial" w:hAnsi="Arial"/>
          <w:b w:val="false"/>
          <w:bCs w:val="false"/>
          <w:i w:val="false"/>
          <w:iCs w:val="false"/>
          <w:color w:val="000000"/>
          <w:sz w:val="22"/>
          <w:szCs w:val="22"/>
        </w:rPr>
        <w:t xml:space="preserve">Desistimiento voluntario del Operador: el Operador puede desistirse en cualquier momento sin penalización ni costo. Si hubiera acumulado algún saldo durante una eventual etapa de validación previa, CMU lo devuelve en 15 días hábiles.</w:t>
      </w:r>
    </w:p>
    <w:p>
      <w:pPr>
        <w:spacing w:before="0" w:after="40"/>
        <w:ind w:left="720" w:hanging="360"/>
        <w:jc w:val="both"/>
      </w:pPr>
      <w:r>
        <w:rPr>
          <w:rFonts w:ascii="Arial" w:cs="Arial" w:eastAsia="Arial" w:hAnsi="Arial"/>
          <w:b/>
          <w:bCs/>
          <w:i w:val="false"/>
          <w:iCs w:val="false"/>
          <w:color w:val="000000"/>
          <w:sz w:val="22"/>
          <w:szCs w:val="22"/>
        </w:rPr>
        <w:t xml:space="preserve">c) </w:t>
      </w:r>
      <w:r>
        <w:rPr>
          <w:rFonts w:ascii="Arial" w:cs="Arial" w:eastAsia="Arial" w:hAnsi="Arial"/>
          <w:b w:val="false"/>
          <w:bCs w:val="false"/>
          <w:i w:val="false"/>
          <w:iCs w:val="false"/>
          <w:color w:val="000000"/>
          <w:sz w:val="22"/>
          <w:szCs w:val="22"/>
        </w:rPr>
        <w:t xml:space="preserve">Baja por segundo rechazo de unidad: conforme a la Cláusula Cuarta, inciso c).</w:t>
      </w:r>
    </w:p>
    <w:p>
      <w:pPr>
        <w:spacing w:before="0" w:after="40"/>
        <w:ind w:left="720" w:hanging="360"/>
        <w:jc w:val="both"/>
      </w:pPr>
      <w:r>
        <w:rPr>
          <w:rFonts w:ascii="Arial" w:cs="Arial" w:eastAsia="Arial" w:hAnsi="Arial"/>
          <w:b/>
          <w:bCs/>
          <w:i w:val="false"/>
          <w:iCs w:val="false"/>
          <w:color w:val="000000"/>
          <w:sz w:val="22"/>
          <w:szCs w:val="22"/>
        </w:rPr>
        <w:t xml:space="preserve">d) </w:t>
      </w:r>
      <w:r>
        <w:rPr>
          <w:rFonts w:ascii="Arial" w:cs="Arial" w:eastAsia="Arial" w:hAnsi="Arial"/>
          <w:b w:val="false"/>
          <w:bCs w:val="false"/>
          <w:i w:val="false"/>
          <w:iCs w:val="false"/>
          <w:color w:val="000000"/>
          <w:sz w:val="22"/>
          <w:szCs w:val="22"/>
        </w:rPr>
        <w:t xml:space="preserve">Baja por documentación falsa: si CMU detecta información falsa u omisión relevante en el expediente del Operador, podrá dar de baja el folio de forma inmediata y definitiva.</w:t>
      </w:r>
    </w:p>
    <w:p>
      <w:pPr>
        <w:spacing w:before="0" w:after="40"/>
        <w:ind w:left="720" w:hanging="360"/>
        <w:jc w:val="both"/>
      </w:pPr>
      <w:r>
        <w:rPr>
          <w:rFonts w:ascii="Arial" w:cs="Arial" w:eastAsia="Arial" w:hAnsi="Arial"/>
          <w:b/>
          <w:bCs/>
          <w:i w:val="false"/>
          <w:iCs w:val="false"/>
          <w:color w:val="000000"/>
          <w:sz w:val="22"/>
          <w:szCs w:val="22"/>
        </w:rPr>
        <w:t xml:space="preserve">e) </w:t>
      </w:r>
      <w:r>
        <w:rPr>
          <w:rFonts w:ascii="Arial" w:cs="Arial" w:eastAsia="Arial" w:hAnsi="Arial"/>
          <w:b w:val="false"/>
          <w:bCs w:val="false"/>
          <w:i w:val="false"/>
          <w:iCs w:val="false"/>
          <w:color w:val="000000"/>
          <w:sz w:val="22"/>
          <w:szCs w:val="22"/>
        </w:rPr>
        <w:t xml:space="preserve">Vencimiento: si transcurren 24 meses desde el registro sin que CMU haya podido ofrecer una unidad disponible, CMU notificará al Operador la opción de renovar su registro o darse de baja.</w:t>
      </w:r>
    </w:p>
    <w:p>
      <w:pPr>
        <w:spacing w:before="160" w:after="60"/>
        <w:jc w:val="both"/>
      </w:pPr>
      <w:r>
        <w:rPr>
          <w:rFonts w:ascii="Arial" w:cs="Arial" w:eastAsia="Arial" w:hAnsi="Arial"/>
          <w:b/>
          <w:bCs/>
          <w:i w:val="false"/>
          <w:iCs w:val="false"/>
          <w:color w:val="0D2B4E"/>
          <w:sz w:val="22"/>
          <w:szCs w:val="22"/>
        </w:rPr>
        <w:t xml:space="preserve">CLÁUSULA DÉCIMA. — </w:t>
      </w:r>
      <w:r>
        <w:rPr>
          <w:rFonts w:ascii="Arial" w:cs="Arial" w:eastAsia="Arial" w:hAnsi="Arial"/>
          <w:b/>
          <w:bCs/>
          <w:i w:val="false"/>
          <w:iCs w:val="false"/>
          <w:color w:val="000000"/>
          <w:sz w:val="22"/>
          <w:szCs w:val="22"/>
        </w:rPr>
        <w:t xml:space="preserve">JURISDICCIÓN. </w:t>
      </w:r>
      <w:r>
        <w:rPr>
          <w:rFonts w:ascii="Arial" w:cs="Arial" w:eastAsia="Arial" w:hAnsi="Arial"/>
          <w:b w:val="false"/>
          <w:bCs w:val="false"/>
          <w:i w:val="false"/>
          <w:iCs w:val="false"/>
          <w:color w:val="000000"/>
          <w:sz w:val="22"/>
          <w:szCs w:val="22"/>
        </w:rPr>
        <w:t xml:space="preserve">Para la interpretación y cumplimiento del presente Convenio, las Partes se someten a los tribunales competentes de la ciudad de Aguascalientes, Aguascalientes, renunciando expresamente a cualquier otro fuero que pudiera corresponderles.</w:t>
      </w:r>
    </w:p>
    <w:p>
      <w:pPr>
        <w:spacing w:before="120" w:after="0"/>
      </w:pPr>
      <w:r>
        <w:rPr>
          <w:rFonts w:ascii="Arial" w:cs="Arial" w:eastAsia="Arial" w:hAnsi="Arial"/>
          <w:b w:val="false"/>
          <w:bCs w:val="false"/>
          <w:i w:val="false"/>
          <w:iCs w:val="false"/>
          <w:color w:val="000000"/>
          <w:sz w:val="22"/>
          <w:szCs w:val="22"/>
        </w:rPr>
        <w:t xml:space="preserve"/>
      </w:r>
    </w:p>
    <w:p>
      <w:pPr>
        <w:spacing w:before="0" w:after="120"/>
        <w:ind/>
        <w:jc w:val="both"/>
      </w:pPr>
      <w:r>
        <w:rPr>
          <w:rFonts w:ascii="Arial" w:cs="Arial" w:eastAsia="Arial" w:hAnsi="Arial"/>
          <w:b w:val="false"/>
          <w:bCs w:val="false"/>
          <w:i/>
          <w:iCs/>
          <w:color w:val="555555"/>
          <w:sz w:val="22"/>
          <w:szCs w:val="22"/>
        </w:rPr>
        <w:t xml:space="preserve">Leído el presente Convenio y enteradas las Partes de su contenido, lo firman en la Ciudad de Aguascalientes, Aguascalientes, a los _____ días del mes de _______________ de 20_____.</w:t>
      </w:r>
    </w:p>
    <w:p>
      <w:pPr>
        <w:spacing w:before="10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spacing w:before="280" w:after="0"/>
            </w:pPr>
            <w:r>
              <w:rPr>
                <w:rFonts w:ascii="Arial" w:cs="Arial" w:eastAsia="Arial" w:hAnsi="Arial"/>
                <w:b w:val="false"/>
                <w:bCs w:val="false"/>
                <w:i w:val="false"/>
                <w:iCs w:val="false"/>
                <w:color w:val="000000"/>
                <w:sz w:val="22"/>
                <w:szCs w:val="22"/>
              </w:rPr>
              <w:t xml:space="preserve"/>
            </w:r>
          </w:p>
          <w:p>
            <w:pPr>
              <w:pBdr>
                <w:top w:val="single" w:color="888888" w:sz="1"/>
              </w:pBdr>
              <w:spacing w:before="0" w:after="0"/>
            </w:pPr>
            <w:r>
              <w:rPr>
                <w:rFonts w:ascii="Arial" w:cs="Arial" w:eastAsia="Arial" w:hAnsi="Arial"/>
                <w:b w:val="false"/>
                <w:bCs w:val="false"/>
                <w:i w:val="false"/>
                <w:iCs w:val="false"/>
                <w:color w:val="000000"/>
                <w:sz w:val="22"/>
                <w:szCs w:val="22"/>
              </w:rPr>
              <w:t xml:space="preserve"/>
            </w:r>
          </w:p>
          <w:p>
            <w:pPr>
              <w:spacing w:before="40" w:after="0"/>
              <w:ind/>
              <w:jc w:val="center"/>
            </w:pPr>
            <w:r>
              <w:rPr>
                <w:rFonts w:ascii="Arial" w:cs="Arial" w:eastAsia="Arial" w:hAnsi="Arial"/>
                <w:b/>
                <w:bCs/>
                <w:i w:val="false"/>
                <w:iCs w:val="false"/>
                <w:color w:val="0D2B4E"/>
                <w:sz w:val="20"/>
                <w:szCs w:val="20"/>
              </w:rPr>
              <w:t xml:space="preserve">CMU — CONDUCTORES DEL MUNDO</w:t>
            </w:r>
          </w:p>
          <w:p>
            <w:pPr>
              <w:spacing w:before="20" w:after="0"/>
              <w:ind/>
              <w:jc w:val="center"/>
            </w:pPr>
            <w:r>
              <w:rPr>
                <w:rFonts w:ascii="Arial" w:cs="Arial" w:eastAsia="Arial" w:hAnsi="Arial"/>
                <w:b w:val="false"/>
                <w:bCs w:val="false"/>
                <w:i w:val="false"/>
                <w:iCs w:val="false"/>
                <w:color w:val="555555"/>
                <w:sz w:val="20"/>
                <w:szCs w:val="20"/>
              </w:rPr>
              <w:t xml:space="preserve">Juan Josué Hernández Tapia</w:t>
            </w:r>
          </w:p>
          <w:p>
            <w:pPr>
              <w:spacing w:before="0" w:after="0"/>
              <w:ind/>
              <w:jc w:val="center"/>
            </w:pPr>
            <w:r>
              <w:rPr>
                <w:rFonts w:ascii="Arial" w:cs="Arial" w:eastAsia="Arial" w:hAnsi="Arial"/>
                <w:b w:val="false"/>
                <w:bCs w:val="false"/>
                <w:i w:val="false"/>
                <w:iCs w:val="false"/>
                <w:color w:val="555555"/>
                <w:sz w:val="20"/>
                <w:szCs w:val="20"/>
              </w:rPr>
              <w:t xml:space="preserve">Apoderado para Actos de Administración</w:t>
            </w:r>
          </w:p>
        </w:tc>
        <w:tc>
          <w:tcPr>
            <w:tcW w:type="dxa" w:w="360"/>
            <w:tcBorders>
              <w:top w:val="none" w:color="FFFFFF" w:sz="0"/>
              <w:left w:val="none" w:color="FFFFFF" w:sz="0"/>
              <w:bottom w:val="none" w:color="FFFFFF" w:sz="0"/>
              <w:right w:val="none" w:color="FFFFFF" w:sz="0"/>
            </w:tcBorders>
          </w:tcPr>
          <w:p>
            <w:pPr>
              <w:spacing w:before="60" w:after="0"/>
            </w:pPr>
            <w:r>
              <w:rPr>
                <w:rFonts w:ascii="Arial" w:cs="Arial" w:eastAsia="Arial" w:hAnsi="Arial"/>
                <w:b w:val="false"/>
                <w:bCs w:val="false"/>
                <w:i w:val="false"/>
                <w:iCs w:val="false"/>
                <w:color w:val="000000"/>
                <w:sz w:val="22"/>
                <w:szCs w:val="22"/>
              </w:rPr>
              <w:t xml:space="preserve"/>
            </w:r>
          </w:p>
        </w:tc>
        <w:tc>
          <w:tcPr>
            <w:tcW w:type="dxa" w:w="4500"/>
            <w:tcBorders>
              <w:top w:val="none" w:color="FFFFFF" w:sz="0"/>
              <w:left w:val="none" w:color="FFFFFF" w:sz="0"/>
              <w:bottom w:val="none" w:color="FFFFFF" w:sz="0"/>
              <w:right w:val="none" w:color="FFFFFF" w:sz="0"/>
            </w:tcBorders>
          </w:tcPr>
          <w:p>
            <w:pPr>
              <w:spacing w:before="280" w:after="0"/>
            </w:pPr>
            <w:r>
              <w:rPr>
                <w:rFonts w:ascii="Arial" w:cs="Arial" w:eastAsia="Arial" w:hAnsi="Arial"/>
                <w:b w:val="false"/>
                <w:bCs w:val="false"/>
                <w:i w:val="false"/>
                <w:iCs w:val="false"/>
                <w:color w:val="000000"/>
                <w:sz w:val="22"/>
                <w:szCs w:val="22"/>
              </w:rPr>
              <w:t xml:space="preserve"/>
            </w:r>
          </w:p>
          <w:p>
            <w:pPr>
              <w:pBdr>
                <w:top w:val="single" w:color="888888" w:sz="1"/>
              </w:pBdr>
              <w:spacing w:before="0" w:after="0"/>
            </w:pPr>
            <w:r>
              <w:rPr>
                <w:rFonts w:ascii="Arial" w:cs="Arial" w:eastAsia="Arial" w:hAnsi="Arial"/>
                <w:b w:val="false"/>
                <w:bCs w:val="false"/>
                <w:i w:val="false"/>
                <w:iCs w:val="false"/>
                <w:color w:val="000000"/>
                <w:sz w:val="22"/>
                <w:szCs w:val="22"/>
              </w:rPr>
              <w:t xml:space="preserve"/>
            </w:r>
          </w:p>
          <w:p>
            <w:pPr>
              <w:spacing w:before="40" w:after="0"/>
              <w:ind/>
              <w:jc w:val="center"/>
            </w:pPr>
            <w:r>
              <w:rPr>
                <w:rFonts w:ascii="Arial" w:cs="Arial" w:eastAsia="Arial" w:hAnsi="Arial"/>
                <w:b/>
                <w:bCs/>
                <w:i w:val="false"/>
                <w:iCs w:val="false"/>
                <w:color w:val="0D2B4E"/>
                <w:sz w:val="20"/>
                <w:szCs w:val="20"/>
              </w:rPr>
              <w:t xml:space="preserve">EL OPERADOR</w:t>
            </w:r>
          </w:p>
          <w:p>
            <w:pPr>
              <w:spacing w:before="20" w:after="0"/>
              <w:ind/>
              <w:jc w:val="center"/>
            </w:pPr>
            <w:r>
              <w:rPr>
                <w:rFonts w:ascii="Arial" w:cs="Arial" w:eastAsia="Arial" w:hAnsi="Arial"/>
                <w:b w:val="false"/>
                <w:bCs w:val="false"/>
                <w:i w:val="false"/>
                <w:iCs w:val="false"/>
                <w:color w:val="555555"/>
                <w:sz w:val="20"/>
                <w:szCs w:val="20"/>
              </w:rPr>
              <w:t xml:space="preserve">Nombre:</w:t>
            </w:r>
          </w:p>
          <w:p>
            <w:pPr>
              <w:spacing w:before="0" w:after="0"/>
              <w:ind/>
              <w:jc w:val="center"/>
            </w:pPr>
            <w:r>
              <w:rPr>
                <w:rFonts w:ascii="Arial" w:cs="Arial" w:eastAsia="Arial" w:hAnsi="Arial"/>
                <w:b w:val="false"/>
                <w:bCs w:val="false"/>
                <w:i w:val="false"/>
                <w:iCs w:val="false"/>
                <w:color w:val="555555"/>
                <w:sz w:val="20"/>
                <w:szCs w:val="20"/>
              </w:rPr>
              <w:t xml:space="preserve">INE:</w:t>
            </w:r>
          </w:p>
        </w:tc>
      </w:tr>
    </w:tbl>
    <w:p>
      <w:pPr>
        <w:spacing w:before="100" w:after="0"/>
      </w:pPr>
      <w:r>
        <w:rPr>
          <w:rFonts w:ascii="Arial" w:cs="Arial" w:eastAsia="Arial" w:hAnsi="Arial"/>
          <w:b w:val="false"/>
          <w:bCs w:val="false"/>
          <w:i w:val="false"/>
          <w:iCs w:val="false"/>
          <w:color w:val="000000"/>
          <w:sz w:val="22"/>
          <w:szCs w:val="22"/>
        </w:rPr>
        <w:t xml:space="preserve"/>
      </w:r>
    </w:p>
    <w:p>
      <w:pPr>
        <w:pBdr>
          <w:bottom w:val="single" w:color="00AEEF" w:sz="6" w:space="1"/>
        </w:pBdr>
        <w:spacing w:before="240" w:after="80"/>
      </w:pPr>
      <w:r>
        <w:rPr>
          <w:rFonts w:ascii="Arial" w:cs="Arial" w:eastAsia="Arial" w:hAnsi="Arial"/>
          <w:b/>
          <w:bCs/>
          <w:i w:val="false"/>
          <w:iCs w:val="false"/>
          <w:color w:val="0D2B4E"/>
          <w:sz w:val="26"/>
          <w:szCs w:val="26"/>
        </w:rPr>
        <w:t xml:space="preserve">RESUMEN DEL REGISTRO</w:t>
      </w:r>
    </w:p>
    <w:p>
      <w:pPr>
        <w:spacing w:before="40" w:after="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Folio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CMU-VAL-______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Perfil calificado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  Perfil A — Usuario GNV activo     ☐  Perfil B — Gasolina / New Entrant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Nombre del Operador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No. de Concesión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___________________________________  |  Vigencia: 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Posición en lista de espera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 (por orden de folio)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Fecha de registro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Vehículo actual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Placa actual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Tanque GNV disponible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  Sí — pendiente inspección taller     ☐  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Teléfono WhatsApp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CLABE bancaria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___________________________________</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000000"/>
                <w:sz w:val="20"/>
                <w:szCs w:val="20"/>
              </w:rPr>
              <w:t xml:space="preserve">Observaciones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555555"/>
                <w:sz w:val="20"/>
                <w:szCs w:val="20"/>
              </w:rPr>
              <w:t xml:space="preserve">___________________________________</w:t>
            </w:r>
          </w:p>
        </w:tc>
      </w:tr>
    </w:tbl>
    <w:p>
      <w:pPr>
        <w:spacing w:before="80" w:after="0"/>
      </w:pPr>
      <w:r>
        <w:rPr>
          <w:rFonts w:ascii="Arial" w:cs="Arial" w:eastAsia="Arial" w:hAnsi="Arial"/>
          <w:b w:val="false"/>
          <w:bCs w:val="false"/>
          <w:i w:val="false"/>
          <w:iCs w:val="false"/>
          <w:color w:val="000000"/>
          <w:sz w:val="22"/>
          <w:szCs w:val="22"/>
        </w:rPr>
        <w:t xml:space="preserve"/>
      </w:r>
    </w:p>
    <w:p>
      <w:pPr>
        <w:spacing w:before="160" w:after="60"/>
      </w:pPr>
      <w:r>
        <w:rPr>
          <w:rFonts w:ascii="Arial" w:cs="Arial" w:eastAsia="Arial" w:hAnsi="Arial"/>
          <w:b/>
          <w:bCs/>
          <w:i w:val="false"/>
          <w:iCs w:val="false"/>
          <w:color w:val="0D2B4E"/>
          <w:sz w:val="24"/>
          <w:szCs w:val="24"/>
        </w:rPr>
        <w:t xml:space="preserve">Control de Ofertas de Unidad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80"/>
        <w:gridCol w:w="1800"/>
        <w:gridCol w:w="1680"/>
      </w:tblGrid>
      <w:tr>
        <w:tc>
          <w:tcPr>
            <w:tcW w:type="dxa" w:w="12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center"/>
            </w:pPr>
            <w:r>
              <w:rPr>
                <w:rFonts w:ascii="Arial" w:cs="Arial" w:eastAsia="Arial" w:hAnsi="Arial"/>
                <w:b/>
                <w:bCs/>
                <w:i w:val="false"/>
                <w:iCs w:val="false"/>
                <w:color w:val="FFFFFF"/>
                <w:sz w:val="20"/>
                <w:szCs w:val="20"/>
              </w:rPr>
              <w:t xml:space="preserve">Oferta</w:t>
            </w:r>
          </w:p>
        </w:tc>
        <w:tc>
          <w:tcPr>
            <w:tcW w:type="dxa" w:w="24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FFFFFF"/>
                <w:sz w:val="20"/>
                <w:szCs w:val="20"/>
              </w:rPr>
              <w:t xml:space="preserve">Unidad ofrecida</w:t>
            </w:r>
          </w:p>
        </w:tc>
        <w:tc>
          <w:tcPr>
            <w:tcW w:type="dxa" w:w="228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FFFFFF"/>
                <w:sz w:val="20"/>
                <w:szCs w:val="20"/>
              </w:rPr>
              <w:t xml:space="preserve">Fecha oferta</w:t>
            </w:r>
          </w:p>
        </w:tc>
        <w:tc>
          <w:tcPr>
            <w:tcW w:type="dxa" w:w="180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FFFFFF"/>
                <w:sz w:val="20"/>
                <w:szCs w:val="20"/>
              </w:rPr>
              <w:t xml:space="preserve">Resultado</w:t>
            </w:r>
          </w:p>
        </w:tc>
        <w:tc>
          <w:tcPr>
            <w:tcW w:type="dxa" w:w="1680"/>
            <w:tcBorders>
              <w:top w:val="single" w:color="CCCCCC" w:sz="1"/>
              <w:left w:val="single" w:color="CCCCCC" w:sz="1"/>
              <w:bottom w:val="single" w:color="CCCCCC" w:sz="1"/>
              <w:right w:val="single" w:color="CCCCCC" w:sz="1"/>
            </w:tcBorders>
            <w:shd w:fill="0D2B4E" w:val="clear"/>
            <w:tcMar>
              <w:top w:type="dxa" w:w="80"/>
              <w:left w:type="dxa" w:w="120"/>
              <w:bottom w:type="dxa" w:w="80"/>
              <w:right w:type="dxa" w:w="120"/>
            </w:tcMar>
          </w:tcPr>
          <w:p>
            <w:pPr>
              <w:spacing w:before="0" w:after="0"/>
              <w:ind/>
              <w:jc w:val="both"/>
            </w:pPr>
            <w:r>
              <w:rPr>
                <w:rFonts w:ascii="Arial" w:cs="Arial" w:eastAsia="Arial" w:hAnsi="Arial"/>
                <w:b/>
                <w:bCs/>
                <w:i w:val="false"/>
                <w:iCs w:val="false"/>
                <w:color w:val="FFFFFF"/>
                <w:sz w:val="20"/>
                <w:szCs w:val="20"/>
              </w:rPr>
              <w:t xml:space="preserve">Acción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1ª</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___________________</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_______________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 Acepta  ☐ Rechaza</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 Avanza  ☐ Al final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2ª</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___________________</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_______________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 Acepta  ☐ Rechaza</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ind/>
              <w:jc w:val="both"/>
            </w:pPr>
            <w:r>
              <w:rPr>
                <w:rFonts w:ascii="Arial" w:cs="Arial" w:eastAsia="Arial" w:hAnsi="Arial"/>
                <w:b w:val="false"/>
                <w:bCs w:val="false"/>
                <w:i w:val="false"/>
                <w:iCs w:val="false"/>
                <w:color w:val="000000"/>
                <w:sz w:val="20"/>
                <w:szCs w:val="20"/>
              </w:rPr>
              <w:t xml:space="preserve">☐ Avanza  ☐ BAJA</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tabs>
        <w:tab w:val="center" w:pos="4680"/>
        <w:tab w:val="right" w:pos="9360"/>
      </w:tabs>
      <w:spacing w:before="60" w:after="0"/>
    </w:pPr>
    <w:r>
      <w:rPr>
        <w:rFonts w:ascii="Arial" w:cs="Arial" w:eastAsia="Arial" w:hAnsi="Arial"/>
        <w:b w:val="false"/>
        <w:bCs w:val="false"/>
        <w:i w:val="false"/>
        <w:iCs w:val="false"/>
        <w:color w:val="AAAAAA"/>
        <w:sz w:val="18"/>
        <w:szCs w:val="18"/>
      </w:rPr>
      <w:t xml:space="preserve">Conductores del Mundo, S.A.P.I. de C.V. — Confidencial</w:t>
    </w:r>
    <w:r>
      <w:rPr>
        <w:rFonts w:ascii="Arial" w:cs="Arial" w:eastAsia="Arial" w:hAnsi="Arial"/>
        <w:b w:val="false"/>
        <w:bCs w:val="false"/>
        <w:i w:val="false"/>
        <w:iCs w:val="false"/>
        <w:color w:val="000000"/>
        <w:sz w:val="18"/>
        <w:szCs w:val="18"/>
      </w:rPr>
      <w:t xml:space="preserve">	</w:t>
    </w:r>
    <w:r>
      <w:rPr>
        <w:rFonts w:ascii="Arial" w:cs="Arial" w:eastAsia="Arial" w:hAnsi="Arial"/>
        <w:b w:val="false"/>
        <w:bCs w:val="false"/>
        <w:i w:val="false"/>
        <w:iCs w:val="false"/>
        <w:color w:val="AAAAAA"/>
        <w:sz w:val="18"/>
        <w:szCs w:val="18"/>
      </w:rPr>
      <w:t xml:space="preserve">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00AEEF" w:sz="2"/>
        <w:right w:val="none" w:color="FFFFFF" w:sz="0"/>
        <w:insideH w:val="single" w:color="auto" w:sz="4"/>
        <w:insideV w:val="single" w:color="auto" w:sz="4"/>
      </w:tblBorders>
    </w:tblPr>
    <w:tblGrid>
      <w:gridCol w:w="5200"/>
      <w:gridCol w:w="4160"/>
    </w:tblGrid>
    <w:tr>
      <w:tc>
        <w:tcPr>
          <w:tcW w:type="dxa" w:w="520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ind/>
            <w:jc w:val="both"/>
          </w:pPr>
          <w:r>
            <w:rPr>
              <w:rFonts w:ascii="Arial" w:cs="Arial" w:eastAsia="Arial" w:hAnsi="Arial"/>
              <w:b/>
              <w:bCs/>
              <w:i w:val="false"/>
              <w:iCs w:val="false"/>
              <w:color w:val="0D2B4E"/>
              <w:sz w:val="20"/>
              <w:szCs w:val="20"/>
            </w:rPr>
            <w:t xml:space="preserve">CONDUCTORES DEL MUNDO, S.A.P.I. DE C.V.</w:t>
          </w:r>
        </w:p>
        <w:p>
          <w:pPr>
            <w:spacing w:before="0" w:after="0"/>
            <w:ind/>
            <w:jc w:val="both"/>
          </w:pPr>
          <w:r>
            <w:rPr>
              <w:rFonts w:ascii="Arial" w:cs="Arial" w:eastAsia="Arial" w:hAnsi="Arial"/>
              <w:b w:val="false"/>
              <w:bCs w:val="false"/>
              <w:i w:val="false"/>
              <w:iCs w:val="false"/>
              <w:color w:val="555555"/>
              <w:sz w:val="18"/>
              <w:szCs w:val="18"/>
            </w:rPr>
            <w:t xml:space="preserve">RFC: CMU201119DD6  |  Lago de Chapultepec 6 Int. 40, Cañadas del Lago, Corregidora, Qro.</w:t>
          </w:r>
        </w:p>
      </w:tc>
      <w:tc>
        <w:tcPr>
          <w:tcW w:type="dxa" w:w="416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before="0" w:after="0"/>
            <w:ind/>
            <w:jc w:val="right"/>
          </w:pPr>
          <w:r>
            <w:rPr>
              <w:rFonts w:ascii="Arial" w:cs="Arial" w:eastAsia="Arial" w:hAnsi="Arial"/>
              <w:b/>
              <w:bCs/>
              <w:i w:val="false"/>
              <w:iCs w:val="false"/>
              <w:color w:val="0D2B4E"/>
              <w:sz w:val="20"/>
              <w:szCs w:val="20"/>
            </w:rPr>
            <w:t xml:space="preserve">Convenio de Validación Operativa</w:t>
          </w:r>
        </w:p>
        <w:p>
          <w:pPr>
            <w:spacing w:before="0" w:after="0"/>
            <w:ind/>
            <w:jc w:val="right"/>
          </w:pPr>
          <w:r>
            <w:rPr>
              <w:rFonts w:ascii="Arial" w:cs="Arial" w:eastAsia="Arial" w:hAnsi="Arial"/>
              <w:b w:val="false"/>
              <w:bCs w:val="false"/>
              <w:i w:val="false"/>
              <w:iCs w:val="false"/>
              <w:color w:val="555555"/>
              <w:sz w:val="18"/>
              <w:szCs w:val="18"/>
            </w:rPr>
            <w:t xml:space="preserve">Programa Renovación Taxi  |  Folio: CMU-VAL-______</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2026-03-27T19:53:06.603Z</dcterms:created>
  <dcterms:modified xsi:type="dcterms:W3CDTF">2026-03-27T19:53:06.603Z</dcterms:modified>
</cp:coreProperties>
</file>

<file path=docProps/custom.xml><?xml version="1.0" encoding="utf-8"?>
<Properties xmlns="http://schemas.openxmlformats.org/officeDocument/2006/custom-properties" xmlns:vt="http://schemas.openxmlformats.org/officeDocument/2006/docPropsVTypes"/>
</file>