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Light" w:hAnsi="Calibri Light" w:cs="Calibri Light" w:eastAsia="Calibri Light"/>
          <w:color w:val="323E4F"/>
          <w:spacing w:val="5"/>
          <w:position w:val="0"/>
          <w:sz w:val="52"/>
          <w:shd w:fill="auto" w:val="clear"/>
        </w:rPr>
      </w:pPr>
      <w:r>
        <w:rPr>
          <w:rFonts w:ascii="Calibri Light" w:hAnsi="Calibri Light" w:cs="Calibri Light" w:eastAsia="Calibri Light"/>
          <w:color w:val="323E4F"/>
          <w:spacing w:val="5"/>
          <w:position w:val="0"/>
          <w:sz w:val="52"/>
          <w:shd w:fill="auto" w:val="clear"/>
        </w:rPr>
        <w:t xml:space="preserve">Especificación Complementaria</w:t>
      </w:r>
    </w:p>
    <w:p>
      <w:pPr>
        <w:keepNext w:val="true"/>
        <w:keepLines w:val="true"/>
        <w:spacing w:before="480" w:after="0" w:line="276"/>
        <w:ind w:right="0" w:left="0" w:firstLine="0"/>
        <w:jc w:val="both"/>
        <w:rPr>
          <w:rFonts w:ascii="Arial" w:hAnsi="Arial" w:cs="Arial" w:eastAsia="Arial"/>
          <w:b/>
          <w:color w:val="2E74B5"/>
          <w:spacing w:val="0"/>
          <w:position w:val="0"/>
          <w:sz w:val="28"/>
          <w:shd w:fill="auto" w:val="clear"/>
        </w:rPr>
      </w:pPr>
      <w:r>
        <w:rPr>
          <w:rFonts w:ascii="Arial" w:hAnsi="Arial" w:cs="Arial" w:eastAsia="Arial"/>
          <w:b/>
          <w:color w:val="2E74B5"/>
          <w:spacing w:val="0"/>
          <w:position w:val="0"/>
          <w:sz w:val="28"/>
          <w:shd w:fill="auto" w:val="clear"/>
        </w:rPr>
        <w:t xml:space="preserve">Historia de Revisiones</w:t>
      </w:r>
    </w:p>
    <w:tbl>
      <w:tblPr/>
      <w:tblGrid>
        <w:gridCol w:w="1346"/>
        <w:gridCol w:w="1948"/>
        <w:gridCol w:w="2118"/>
        <w:gridCol w:w="3601"/>
      </w:tblGrid>
      <w:tr>
        <w:trPr>
          <w:trHeight w:val="197" w:hRule="auto"/>
          <w:jc w:val="left"/>
        </w:trPr>
        <w:tc>
          <w:tcPr>
            <w:tcW w:w="1346" w:type="dxa"/>
            <w:tcBorders>
              <w:top w:val="single" w:color="ffffff" w:sz="4"/>
              <w:left w:val="single" w:color="ffffff" w:sz="4"/>
              <w:bottom w:val="single" w:color="ffffff" w:sz="4"/>
              <w:right w:val="single" w:color="ffffff" w:sz="4"/>
            </w:tcBorders>
            <w:shd w:color="auto" w:fill="000000"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Versión</w:t>
            </w:r>
          </w:p>
        </w:tc>
        <w:tc>
          <w:tcPr>
            <w:tcW w:w="1948" w:type="dxa"/>
            <w:tcBorders>
              <w:top w:val="single" w:color="ffffff" w:sz="4"/>
              <w:left w:val="single" w:color="ffffff" w:sz="4"/>
              <w:bottom w:val="single" w:color="ffffff" w:sz="4"/>
              <w:right w:val="single" w:color="ffffff" w:sz="4"/>
            </w:tcBorders>
            <w:shd w:color="auto" w:fill="000000"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Fecha</w:t>
            </w:r>
          </w:p>
        </w:tc>
        <w:tc>
          <w:tcPr>
            <w:tcW w:w="2118" w:type="dxa"/>
            <w:tcBorders>
              <w:top w:val="single" w:color="ffffff" w:sz="4"/>
              <w:left w:val="single" w:color="ffffff" w:sz="4"/>
              <w:bottom w:val="single" w:color="ffffff" w:sz="4"/>
              <w:right w:val="single" w:color="ffffff" w:sz="4"/>
            </w:tcBorders>
            <w:shd w:color="auto" w:fill="000000"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Descripción</w:t>
            </w:r>
          </w:p>
        </w:tc>
        <w:tc>
          <w:tcPr>
            <w:tcW w:w="3601" w:type="dxa"/>
            <w:tcBorders>
              <w:top w:val="single" w:color="ffffff" w:sz="4"/>
              <w:left w:val="single" w:color="ffffff" w:sz="4"/>
              <w:bottom w:val="single" w:color="ffffff" w:sz="4"/>
              <w:right w:val="single" w:color="ffffff" w:sz="4"/>
            </w:tcBorders>
            <w:shd w:color="auto" w:fill="000000"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Autor</w:t>
            </w:r>
          </w:p>
        </w:tc>
      </w:tr>
      <w:tr>
        <w:trPr>
          <w:trHeight w:val="1052" w:hRule="auto"/>
          <w:jc w:val="left"/>
        </w:trPr>
        <w:tc>
          <w:tcPr>
            <w:tcW w:w="1346" w:type="dxa"/>
            <w:tcBorders>
              <w:top w:val="single" w:color="ffffff" w:sz="4"/>
              <w:left w:val="single" w:color="ffffff" w:sz="4"/>
              <w:bottom w:val="single" w:color="ffffff" w:sz="4"/>
              <w:right w:val="single" w:color="ffffff" w:sz="4"/>
            </w:tcBorders>
            <w:shd w:color="auto" w:fill="auto"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1.1</w:t>
            </w:r>
          </w:p>
        </w:tc>
        <w:tc>
          <w:tcPr>
            <w:tcW w:w="1948" w:type="dxa"/>
            <w:tcBorders>
              <w:top w:val="single" w:color="ffffff" w:sz="4"/>
              <w:left w:val="single" w:color="ffffff" w:sz="4"/>
              <w:bottom w:val="single" w:color="ffffff" w:sz="4"/>
              <w:right w:val="single" w:color="ffffff" w:sz="4"/>
            </w:tcBorders>
            <w:shd w:color="auto" w:fill="auto"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14/03/2016</w:t>
            </w:r>
          </w:p>
        </w:tc>
        <w:tc>
          <w:tcPr>
            <w:tcW w:w="2118" w:type="dxa"/>
            <w:tcBorders>
              <w:top w:val="single" w:color="ffffff" w:sz="4"/>
              <w:left w:val="single" w:color="ffffff" w:sz="4"/>
              <w:bottom w:val="single" w:color="ffffff" w:sz="4"/>
              <w:right w:val="single" w:color="ffffff" w:sz="4"/>
            </w:tcBorders>
            <w:shd w:color="auto" w:fill="auto"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Describe los requisitos.</w:t>
            </w:r>
          </w:p>
        </w:tc>
        <w:tc>
          <w:tcPr>
            <w:tcW w:w="3601" w:type="dxa"/>
            <w:tcBorders>
              <w:top w:val="single" w:color="ffffff" w:sz="4"/>
              <w:left w:val="single" w:color="ffffff" w:sz="4"/>
              <w:bottom w:val="single" w:color="ffffff" w:sz="4"/>
              <w:right w:val="single" w:color="ffffff" w:sz="4"/>
            </w:tcBorders>
            <w:shd w:color="auto" w:fill="auto" w:val="clear"/>
            <w:tcMar>
              <w:left w:w="108" w:type="dxa"/>
              <w:right w:w="108" w:type="dxa"/>
            </w:tcMar>
            <w:vAlign w:val="top"/>
          </w:tcPr>
          <w:p>
            <w:pPr>
              <w:numPr>
                <w:ilvl w:val="0"/>
                <w:numId w:val="8"/>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Sánchez Medina Josué Isahu</w:t>
            </w:r>
          </w:p>
          <w:p>
            <w:pPr>
              <w:numPr>
                <w:ilvl w:val="0"/>
                <w:numId w:val="8"/>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Luna Poon Ricardo Alejandro</w:t>
            </w:r>
          </w:p>
          <w:p>
            <w:pPr>
              <w:spacing w:before="0" w:after="0" w:line="240"/>
              <w:ind w:right="0" w:left="0" w:firstLine="0"/>
              <w:jc w:val="left"/>
              <w:rPr>
                <w:color w:val="auto"/>
                <w:spacing w:val="0"/>
                <w:position w:val="0"/>
                <w:sz w:val="22"/>
                <w:shd w:fill="auto" w:val="clear"/>
              </w:rPr>
            </w:pPr>
          </w:p>
        </w:tc>
      </w:tr>
      <w:tr>
        <w:trPr>
          <w:trHeight w:val="1052" w:hRule="auto"/>
          <w:jc w:val="left"/>
        </w:trPr>
        <w:tc>
          <w:tcPr>
            <w:tcW w:w="1346" w:type="dxa"/>
            <w:tcBorders>
              <w:top w:val="single" w:color="ffffff" w:sz="4"/>
              <w:left w:val="single" w:color="ffffff" w:sz="4"/>
              <w:bottom w:val="single" w:color="ffffff" w:sz="4"/>
              <w:right w:val="single" w:color="ffffff"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w:t>
            </w:r>
          </w:p>
        </w:tc>
        <w:tc>
          <w:tcPr>
            <w:tcW w:w="1948" w:type="dxa"/>
            <w:tcBorders>
              <w:top w:val="single" w:color="ffffff" w:sz="4"/>
              <w:left w:val="single" w:color="ffffff" w:sz="4"/>
              <w:bottom w:val="single" w:color="ffffff" w:sz="4"/>
              <w:right w:val="single" w:color="ffffff"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20/04/2016</w:t>
            </w:r>
          </w:p>
        </w:tc>
        <w:tc>
          <w:tcPr>
            <w:tcW w:w="2118" w:type="dxa"/>
            <w:tcBorders>
              <w:top w:val="single" w:color="ffffff" w:sz="4"/>
              <w:left w:val="single" w:color="ffffff" w:sz="4"/>
              <w:bottom w:val="single" w:color="ffffff" w:sz="4"/>
              <w:right w:val="single" w:color="ffffff"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Reglas del dominio</w:t>
            </w:r>
          </w:p>
        </w:tc>
        <w:tc>
          <w:tcPr>
            <w:tcW w:w="3601" w:type="dxa"/>
            <w:tcBorders>
              <w:top w:val="single" w:color="ffffff" w:sz="4"/>
              <w:left w:val="single" w:color="ffffff" w:sz="4"/>
              <w:bottom w:val="single" w:color="ffffff" w:sz="4"/>
              <w:right w:val="single" w:color="ffffff" w:sz="4"/>
            </w:tcBorders>
            <w:shd w:color="auto" w:fill="auto" w:val="clear"/>
            <w:tcMar>
              <w:left w:w="108" w:type="dxa"/>
              <w:right w:w="108" w:type="dxa"/>
            </w:tcMar>
            <w:vAlign w:val="top"/>
          </w:tcPr>
          <w:p>
            <w:pPr>
              <w:numPr>
                <w:ilvl w:val="0"/>
                <w:numId w:val="13"/>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Sánchez Medina Josué Isahu</w:t>
            </w:r>
          </w:p>
          <w:p>
            <w:pPr>
              <w:numPr>
                <w:ilvl w:val="0"/>
                <w:numId w:val="13"/>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Luna Poon Ricardo Alejandro</w:t>
            </w:r>
          </w:p>
        </w:tc>
      </w:tr>
    </w:tbl>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2"/>
          <w:shd w:fill="auto" w:val="clear"/>
        </w:rPr>
      </w:pPr>
      <w:r>
        <w:rPr>
          <w:rFonts w:ascii="Calibri Light" w:hAnsi="Calibri Light" w:cs="Calibri Light" w:eastAsia="Calibri Light"/>
          <w:b/>
          <w:color w:val="5B9BD5"/>
          <w:spacing w:val="0"/>
          <w:position w:val="0"/>
          <w:sz w:val="22"/>
          <w:shd w:fill="auto" w:val="clear"/>
        </w:rPr>
        <w:t xml:space="preserve">Introducción:</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documento es el repositorio de todos los requisitos de la aplicación web que se elaborará para la empresa Corrales Ternera que no son capturados en los casos de uso.</w:t>
      </w: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2"/>
          <w:shd w:fill="auto" w:val="clear"/>
        </w:rPr>
      </w:pPr>
      <w:r>
        <w:rPr>
          <w:rFonts w:ascii="Calibri Light" w:hAnsi="Calibri Light" w:cs="Calibri Light" w:eastAsia="Calibri Light"/>
          <w:b/>
          <w:color w:val="5B9BD5"/>
          <w:spacing w:val="0"/>
          <w:position w:val="0"/>
          <w:sz w:val="22"/>
          <w:shd w:fill="auto" w:val="clear"/>
        </w:rPr>
        <w:t xml:space="preserve">Funcionalidad: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Registro fuera de línea:</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la aplicación web no tiene acceso a la red de internet todos los registros realizados deberán guardarse de manera local para que una vez que si se tenga acceso a internet se sincronice con el servidor de bases de datos.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Seguridad:</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realizar cualquier actividad dentro de la aplicación web el usuario tiene que estar autentificado ante la aplicación web.</w:t>
      </w: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2"/>
          <w:shd w:fill="auto" w:val="clear"/>
        </w:rPr>
      </w:pPr>
      <w:r>
        <w:rPr>
          <w:rFonts w:ascii="Calibri Light" w:hAnsi="Calibri Light" w:cs="Calibri Light" w:eastAsia="Calibri Light"/>
          <w:b/>
          <w:color w:val="5B9BD5"/>
          <w:spacing w:val="0"/>
          <w:position w:val="0"/>
          <w:sz w:val="22"/>
          <w:shd w:fill="auto" w:val="clear"/>
        </w:rPr>
        <w:t xml:space="preserve">Facilidad de uso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Debido a que las crías se pueden obtener de cualquier parte de México los empleados encargados de registrar las crías no siempre tendrán una computadora a la maño por lo cual es necesario que la aplicación web funcione de manera efectiva en dispositivos móviles.</w:t>
      </w: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2"/>
          <w:shd w:fill="auto" w:val="clear"/>
        </w:rPr>
      </w:pPr>
      <w:r>
        <w:rPr>
          <w:rFonts w:ascii="Calibri Light" w:hAnsi="Calibri Light" w:cs="Calibri Light" w:eastAsia="Calibri Light"/>
          <w:b/>
          <w:color w:val="5B9BD5"/>
          <w:spacing w:val="0"/>
          <w:position w:val="0"/>
          <w:sz w:val="22"/>
          <w:shd w:fill="auto" w:val="clear"/>
        </w:rPr>
        <w:t xml:space="preserve">Fiabilidad: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Capacidad de recuperación:</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se produce algún fallo al usar un servicio externo, intentar solucionarlo con una solución local para no obstante, completar un registro.</w:t>
      </w: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2"/>
          <w:shd w:fill="auto" w:val="clear"/>
        </w:rPr>
      </w:pPr>
      <w:r>
        <w:rPr>
          <w:rFonts w:ascii="Calibri Light" w:hAnsi="Calibri Light" w:cs="Calibri Light" w:eastAsia="Calibri Light"/>
          <w:b/>
          <w:color w:val="5B9BD5"/>
          <w:spacing w:val="0"/>
          <w:position w:val="0"/>
          <w:sz w:val="22"/>
          <w:shd w:fill="auto" w:val="clear"/>
        </w:rPr>
        <w:t xml:space="preserve">Disponibilidad</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 crías se pueden registrar en cualquier momento por lo cual es necesario que la aplicación web esté disponible los 365 días del año.</w:t>
      </w: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2"/>
          <w:shd w:fill="auto" w:val="clear"/>
        </w:rPr>
      </w:pPr>
      <w:r>
        <w:rPr>
          <w:rFonts w:ascii="Calibri Light" w:hAnsi="Calibri Light" w:cs="Calibri Light" w:eastAsia="Calibri Light"/>
          <w:b/>
          <w:color w:val="5B9BD5"/>
          <w:spacing w:val="0"/>
          <w:position w:val="0"/>
          <w:sz w:val="22"/>
          <w:shd w:fill="auto" w:val="clear"/>
        </w:rPr>
        <w:t xml:space="preserve">Interfaces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Interfaces y hardware destacable</w:t>
      </w:r>
    </w:p>
    <w:p>
      <w:pPr>
        <w:numPr>
          <w:ilvl w:val="0"/>
          <w:numId w:val="32"/>
        </w:numPr>
        <w:tabs>
          <w:tab w:val="left" w:pos="720" w:leader="none"/>
        </w:tabs>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Equipos de sobremesa.</w:t>
      </w:r>
    </w:p>
    <w:p>
      <w:pPr>
        <w:numPr>
          <w:ilvl w:val="0"/>
          <w:numId w:val="32"/>
        </w:numPr>
        <w:tabs>
          <w:tab w:val="left" w:pos="720" w:leader="none"/>
        </w:tabs>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Laptops.</w:t>
      </w:r>
    </w:p>
    <w:p>
      <w:pPr>
        <w:numPr>
          <w:ilvl w:val="0"/>
          <w:numId w:val="32"/>
        </w:numPr>
        <w:tabs>
          <w:tab w:val="left" w:pos="720" w:leader="none"/>
        </w:tabs>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Dispositivos móviles.</w:t>
      </w:r>
    </w:p>
    <w:p>
      <w:pPr>
        <w:numPr>
          <w:ilvl w:val="0"/>
          <w:numId w:val="32"/>
        </w:numPr>
        <w:tabs>
          <w:tab w:val="left" w:pos="720" w:leader="none"/>
        </w:tabs>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Sensores de signos vitales.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Interfaces software</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la clasificación de las crías se requerirá de un servicio web especializado en esta actividad.</w:t>
      </w:r>
    </w:p>
    <w:p>
      <w:pPr>
        <w:spacing w:before="0" w:after="160" w:line="259"/>
        <w:ind w:right="0" w:left="0" w:firstLine="0"/>
        <w:jc w:val="both"/>
        <w:rPr>
          <w:rFonts w:ascii="Arial" w:hAnsi="Arial" w:cs="Arial" w:eastAsia="Arial"/>
          <w:color w:val="auto"/>
          <w:spacing w:val="0"/>
          <w:position w:val="0"/>
          <w:sz w:val="22"/>
          <w:shd w:fill="auto" w:val="clear"/>
        </w:rPr>
      </w:pPr>
    </w:p>
    <w:p>
      <w:pPr>
        <w:keepNext w:val="true"/>
        <w:keepLines w:val="true"/>
        <w:spacing w:before="480" w:after="0" w:line="276"/>
        <w:ind w:right="0" w:left="0" w:firstLine="0"/>
        <w:jc w:val="both"/>
        <w:rPr>
          <w:rFonts w:ascii="Arial" w:hAnsi="Arial" w:cs="Arial" w:eastAsia="Arial"/>
          <w:b/>
          <w:color w:val="2E74B5"/>
          <w:spacing w:val="0"/>
          <w:position w:val="0"/>
          <w:sz w:val="28"/>
          <w:shd w:fill="auto" w:val="clear"/>
        </w:rPr>
      </w:pPr>
      <w:r>
        <w:rPr>
          <w:rFonts w:ascii="Arial" w:hAnsi="Arial" w:cs="Arial" w:eastAsia="Arial"/>
          <w:b/>
          <w:color w:val="2E74B5"/>
          <w:spacing w:val="0"/>
          <w:position w:val="0"/>
          <w:sz w:val="28"/>
          <w:shd w:fill="auto" w:val="clear"/>
        </w:rPr>
        <w:t xml:space="preserve">(negocio)</w:t>
      </w:r>
    </w:p>
    <w:tbl>
      <w:tblPr/>
      <w:tblGrid>
        <w:gridCol w:w="1271"/>
        <w:gridCol w:w="3260"/>
        <w:gridCol w:w="3963"/>
      </w:tblGrid>
      <w:tr>
        <w:trPr>
          <w:trHeight w:val="1" w:hRule="atLeast"/>
          <w:jc w:val="left"/>
        </w:trPr>
        <w:tc>
          <w:tcPr>
            <w:tcW w:w="1271"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Arial" w:hAnsi="Arial" w:cs="Arial" w:eastAsia="Arial"/>
                <w:color w:val="FFFFFF"/>
                <w:spacing w:val="0"/>
                <w:position w:val="0"/>
                <w:sz w:val="22"/>
                <w:shd w:fill="auto" w:val="clear"/>
              </w:rPr>
              <w:t xml:space="preserve">ID</w:t>
            </w:r>
          </w:p>
        </w:tc>
        <w:tc>
          <w:tcPr>
            <w:tcW w:w="3260"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Arial" w:hAnsi="Arial" w:cs="Arial" w:eastAsia="Arial"/>
                <w:color w:val="FFFFFF"/>
                <w:spacing w:val="0"/>
                <w:position w:val="0"/>
                <w:sz w:val="22"/>
                <w:shd w:fill="auto" w:val="clear"/>
              </w:rPr>
              <w:t xml:space="preserve">Regla</w:t>
            </w:r>
          </w:p>
        </w:tc>
        <w:tc>
          <w:tcPr>
            <w:tcW w:w="3963"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Arial" w:hAnsi="Arial" w:cs="Arial" w:eastAsia="Arial"/>
                <w:color w:val="FFFFFF"/>
                <w:spacing w:val="0"/>
                <w:position w:val="0"/>
                <w:sz w:val="22"/>
                <w:shd w:fill="auto" w:val="clear"/>
              </w:rPr>
              <w:t xml:space="preserve">Grado de variación</w:t>
            </w:r>
          </w:p>
        </w:tc>
      </w:tr>
      <w:tr>
        <w:trPr>
          <w:trHeight w:val="1" w:hRule="atLeast"/>
          <w:jc w:val="left"/>
        </w:trPr>
        <w:tc>
          <w:tcPr>
            <w:tcW w:w="1271"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Regla1</w:t>
            </w:r>
          </w:p>
        </w:tc>
        <w:tc>
          <w:tcPr>
            <w:tcW w:w="3260"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Crías pasan al siguiente proceso.</w:t>
            </w:r>
          </w:p>
        </w:tc>
        <w:tc>
          <w:tcPr>
            <w:tcW w:w="3963"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Después de un periodo de 5 meses la cría es pasada al siguiente proceso. Si la cría se encuentra enferma no pasa al siguiente proceso. </w:t>
            </w:r>
          </w:p>
        </w:tc>
      </w:tr>
      <w:tr>
        <w:trPr>
          <w:trHeight w:val="1" w:hRule="atLeast"/>
          <w:jc w:val="left"/>
        </w:trPr>
        <w:tc>
          <w:tcPr>
            <w:tcW w:w="1271"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Regla2</w:t>
            </w:r>
          </w:p>
        </w:tc>
        <w:tc>
          <w:tcPr>
            <w:tcW w:w="3260"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Crías con exceso de enfermedad es sacrificada</w:t>
            </w:r>
          </w:p>
        </w:tc>
        <w:tc>
          <w:tcPr>
            <w:tcW w:w="3963"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Si después de un tratamiento de 40 días la cría no mejora esta será sacrificada. Los periodos de enfermedad no son acumulables así que los 40 días de enfermedad tienen que ser continuos para que la cría sea sacrificada.</w:t>
            </w:r>
          </w:p>
        </w:tc>
      </w:tr>
    </w:tbl>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8">
    <w:abstractNumId w:val="12"/>
  </w:num>
  <w:num w:numId="13">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