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2f05e5f58646c02de5404c27adfeae72e50a00"/>
    <w:p>
      <w:pPr>
        <w:pStyle w:val="Heading1"/>
      </w:pPr>
      <w:r>
        <w:t xml:space="preserve">SUSAssist: Solução para o Desafio de Educação Digital no SUS</w:t>
      </w:r>
    </w:p>
    <w:bookmarkStart w:id="9" w:name="Xf9f11853b3ab76bddc170c12b9c9a62d4560ca6"/>
    <w:p>
      <w:pPr>
        <w:pStyle w:val="Heading2"/>
      </w:pPr>
      <w:r>
        <w:t xml:space="preserve">Tema: Capacitação Permanente em Tecnologia Assistiva (Órteses e Próteses)</w:t>
      </w:r>
    </w:p>
    <w:p>
      <w:pPr>
        <w:pStyle w:val="FirstParagraph"/>
      </w:pPr>
      <w:r>
        <w:t xml:space="preserve">Este documento apresenta a análise e a proposta de solução desenvolvida para o</w:t>
      </w:r>
      <w:r>
        <w:t xml:space="preserve"> </w:t>
      </w:r>
      <w:r>
        <w:rPr>
          <w:b/>
          <w:bCs/>
        </w:rPr>
        <w:t xml:space="preserve">Desafio 2: Educação Digital para Profissionais do SUS</w:t>
      </w:r>
      <w:r>
        <w:t xml:space="preserve">, com foco na temática de</w:t>
      </w:r>
      <w:r>
        <w:t xml:space="preserve"> </w:t>
      </w:r>
      <w:r>
        <w:rPr>
          <w:b/>
          <w:bCs/>
        </w:rPr>
        <w:t xml:space="preserve">Tecnologia Assistiva (Órteses e Próteses - O&amp;P)</w:t>
      </w:r>
      <w:r>
        <w:t xml:space="preserve">, conforme as diretrizes do Edital do Hackathon Saúde Digital Unifesp 2026.</w:t>
      </w:r>
    </w:p>
    <w:p>
      <w:r>
        <w:pict>
          <v:rect style="width:0;height:1.5pt" o:hralign="center" o:hrstd="t" o:hr="t"/>
        </w:pict>
      </w:r>
    </w:p>
    <w:bookmarkEnd w:id="9"/>
    <w:bookmarkStart w:id="10" w:name="o-diagnóstico-do-problema-no-sus"/>
    <w:p>
      <w:pPr>
        <w:pStyle w:val="Heading2"/>
      </w:pPr>
      <w:r>
        <w:t xml:space="preserve">1. O Diagnóstico do Problema no SUS</w:t>
      </w:r>
    </w:p>
    <w:p>
      <w:pPr>
        <w:pStyle w:val="FirstParagraph"/>
      </w:pPr>
      <w:r>
        <w:t xml:space="preserve">A prescrição, dispensação, adaptação e acompanhamento de órteses e próteses no Sistema Único de Saúde enfrentam gargalos críticos: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Centralização e Falta de Capacitação na Atenção Primária:</w:t>
      </w:r>
      <w:r>
        <w:t xml:space="preserve"> </w:t>
      </w:r>
      <w:r>
        <w:t xml:space="preserve">Profissionais das Unidades Básicas de Saúde (UBS) frequentemente não possuem formação específica para avaliar necessidades de tecnologia assistiva simples (como cadeiras de rodas de diferentes tipos, andadores, órteses de tornozelo-pé, etc.).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Encaminhamentos Inadequados:</w:t>
      </w:r>
      <w:r>
        <w:t xml:space="preserve"> </w:t>
      </w:r>
      <w:r>
        <w:t xml:space="preserve">A falta de conhecimento técnico gera encaminhamentos incorretos ou incompletos aos Centros Especializados em Reabilitação (CER), sobrecarregando o sistema de média/alta complexidade e aumentando o tempo de espera nas filas.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Abandono do Equipamento (Rejeição):</w:t>
      </w:r>
      <w:r>
        <w:t xml:space="preserve"> </w:t>
      </w:r>
      <w:r>
        <w:t xml:space="preserve">Dispositivos prescritos sem a correta adequação postural ou funcional acabam sendo abandonados pelo paciente, o que representa prejuízo clínico (piora da mobilidade, escaras, deformidades) e desperdício de recursos públicos.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Tempo e Escala dos Profissionais:</w:t>
      </w:r>
      <w:r>
        <w:t xml:space="preserve"> </w:t>
      </w:r>
      <w:r>
        <w:t xml:space="preserve">Profissionais de saúde têm jornadas intensas e dificuldade em se afastar do trabalho para cursos tradicionais e longos.</w:t>
      </w:r>
    </w:p>
    <w:p>
      <w:r>
        <w:pict>
          <v:rect style="width:0;height:1.5pt" o:hralign="center" o:hrstd="t" o:hr="t"/>
        </w:pict>
      </w:r>
    </w:p>
    <w:bookmarkEnd w:id="10"/>
    <w:bookmarkStart w:id="15" w:name="a-solução-proposta-susassist"/>
    <w:p>
      <w:pPr>
        <w:pStyle w:val="Heading2"/>
      </w:pPr>
      <w:r>
        <w:t xml:space="preserve">2. A Solução Proposta:</w:t>
      </w:r>
      <w:r>
        <w:t xml:space="preserve"> </w:t>
      </w:r>
      <w:r>
        <w:rPr>
          <w:b/>
          <w:bCs/>
        </w:rPr>
        <w:t xml:space="preserve">SUSAssist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SUSAssist</w:t>
      </w:r>
      <w:r>
        <w:t xml:space="preserve"> </w:t>
      </w:r>
      <w:r>
        <w:t xml:space="preserve">é uma plataforma digital de</w:t>
      </w:r>
      <w:r>
        <w:t xml:space="preserve"> </w:t>
      </w:r>
      <w:r>
        <w:rPr>
          <w:b/>
          <w:bCs/>
        </w:rPr>
        <w:t xml:space="preserve">microlearning adaptativo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apoio à decisão clínica</w:t>
      </w:r>
      <w:r>
        <w:t xml:space="preserve">, disponível via Web e App Mobile (PWA), desenhada para capacitar profissionais de saúde diretamente em seu local de trabalho.</w:t>
      </w:r>
    </w:p>
    <w:p>
      <w:pPr>
        <w:pStyle w:val="BodyText"/>
      </w:pPr>
      <w:r>
        <w:t xml:space="preserve">A plataforma baseia-se em quatro pilares fundamentais:</w:t>
      </w:r>
    </w:p>
    <w:bookmarkStart w:id="11" w:name="Xfe4ab520d136d192ffed277e73bf5724201327e"/>
    <w:p>
      <w:pPr>
        <w:pStyle w:val="Heading3"/>
      </w:pPr>
      <w:r>
        <w:t xml:space="preserve">A. Trilhas de Aprendizamento Adaptativas (Microlearning)</w:t>
      </w:r>
    </w:p>
    <w:p>
      <w:pPr>
        <w:pStyle w:val="FirstParagraph"/>
      </w:pPr>
      <w:r>
        <w:t xml:space="preserve">Em vez de cursos longos, o profissional realiza pílulas de conhecimento (módulos de 3 a 5 minutos) focadas em competências específicas. A trilha é adaptada de acordo com o papel do profissional (médico, fisioterapeuta, enfermeiro ou agente comunitário de saúde - ACS) e seu nível de conhecimento prévio, detectado por breves quizzes diagnósticos.</w:t>
      </w:r>
    </w:p>
    <w:bookmarkEnd w:id="11"/>
    <w:bookmarkStart w:id="12" w:name="X04463b81d63d786be73dbba1c43f30a50b7540c"/>
    <w:p>
      <w:pPr>
        <w:pStyle w:val="Heading3"/>
      </w:pPr>
      <w:r>
        <w:t xml:space="preserve">B. Eva: Assistente Virtual de IA para Tecnologia Assistiva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Eva</w:t>
      </w:r>
      <w:r>
        <w:t xml:space="preserve"> </w:t>
      </w:r>
      <w:r>
        <w:t xml:space="preserve">(Especialista em Vida Assistiva) é uma inteligência artificial que atua de duas formas: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Tutor de Aprendizado:</w:t>
      </w:r>
      <w:r>
        <w:t xml:space="preserve"> </w:t>
      </w:r>
      <w:r>
        <w:t xml:space="preserve">Acompanha o profissional na trilha, responde a dúvidas sobre conteúdos, sugere revisões e detalha materiais complexos.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Suporte Clínico:</w:t>
      </w:r>
      <w:r>
        <w:t xml:space="preserve"> </w:t>
      </w:r>
      <w:r>
        <w:t xml:space="preserve">Serve como ferramenta de apoio no dia a dia da UBS. O médico ou fisioterapeuta pode perguntar à Eva sobre critérios de elegibilidade para próteses de membros inferiores, portarias do SUS (como a Portaria de Consolidação nº 2/2017) ou como medir adequadamente um paciente para prescrição de cadeira de rodas.</w:t>
      </w:r>
    </w:p>
    <w:bookmarkEnd w:id="12"/>
    <w:bookmarkStart w:id="13" w:name="Xf5d8ec003bcb3b82a5e41f74e7cbdb1e9c184f3"/>
    <w:p>
      <w:pPr>
        <w:pStyle w:val="Heading3"/>
      </w:pPr>
      <w:r>
        <w:t xml:space="preserve">C. Simulador de Casos Clínicos Interativos</w:t>
      </w:r>
    </w:p>
    <w:p>
      <w:pPr>
        <w:pStyle w:val="FirstParagraph"/>
      </w:pPr>
      <w:r>
        <w:t xml:space="preserve">O profissional aprende na prática por meio de cenários interativos simulados. Ele avalia pacientes fictícios com diferentes perfis sociais, funcionais e clínicos, devendo prescrever a tecnologia assistiva correta, configurar acessórios (como almofadas anti-escaras) e desenhar o fluxo de encaminhamento adequado no SUS.</w:t>
      </w:r>
    </w:p>
    <w:bookmarkEnd w:id="13"/>
    <w:bookmarkStart w:id="14" w:name="Xb5f675ef621d6c8670d35b611a2f33be2b5e1a3"/>
    <w:p>
      <w:pPr>
        <w:pStyle w:val="Heading3"/>
      </w:pPr>
      <w:r>
        <w:t xml:space="preserve">D. Gamificação e Micro-credenciamento (Badges)</w:t>
      </w:r>
    </w:p>
    <w:p>
      <w:pPr>
        <w:pStyle w:val="FirstParagraph"/>
      </w:pPr>
      <w:r>
        <w:t xml:space="preserve">Para estimular o engajamento, a plataforma conta com uma dinâmica de gamificação. À medida que o profissional avança nas trilhas de O&amp;P e resolve casos clínicos com sucesso, ele desbloqueia medalhas de competência (</w:t>
      </w:r>
      <w:r>
        <w:rPr>
          <w:i/>
          <w:iCs/>
        </w:rPr>
        <w:t xml:space="preserve">badges</w:t>
      </w:r>
      <w:r>
        <w:t xml:space="preserve">), como: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Guardião da Postura</w:t>
      </w:r>
      <w:r>
        <w:t xml:space="preserve"> </w:t>
      </w:r>
      <w:r>
        <w:t xml:space="preserve">(prescrição correta de cadeira de rodas).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Mestre do Encaminhamento</w:t>
      </w:r>
      <w:r>
        <w:t xml:space="preserve"> </w:t>
      </w:r>
      <w:r>
        <w:t xml:space="preserve">(fluxo correto UBS -&gt; CER).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Protetor da Pele</w:t>
      </w:r>
      <w:r>
        <w:t xml:space="preserve"> </w:t>
      </w:r>
      <w:r>
        <w:t xml:space="preserve">(prevenção de lesões por pressão).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bebc89d64a473ee58b3ac6739013d900a8e9f92"/>
    <w:p>
      <w:pPr>
        <w:pStyle w:val="Heading2"/>
      </w:pPr>
      <w:r>
        <w:t xml:space="preserve">3. Avaliação Frente aos Critérios do Edital (Pesos e Alinhamento)</w:t>
      </w:r>
    </w:p>
    <w:bookmarkStart w:id="16" w:name="impacto-clínicosocial-peso-30"/>
    <w:p>
      <w:pPr>
        <w:pStyle w:val="Heading3"/>
      </w:pPr>
      <w:r>
        <w:t xml:space="preserve">3.1. Impacto Clínico/Social (Peso 30%)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vida do usuário do SUS:</w:t>
      </w:r>
      <w:r>
        <w:t xml:space="preserve"> </w:t>
      </w:r>
      <w:r>
        <w:t xml:space="preserve">A capacitação adequada da atenção primária acelera o diagnóstico e a prescrição correta da O&amp;P. O paciente recebe um dispositivo adequado mais rapidamente, reduzindo complicações físicas (úlceras por pressão, contraturas e dores) e psicológicas. Promove diretamente a equidade e a autonomia de pessoas com deficiência.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qualidade do cuidado:</w:t>
      </w:r>
      <w:r>
        <w:t xml:space="preserve"> </w:t>
      </w:r>
      <w:r>
        <w:t xml:space="preserve">Aumenta a resolutividade na UBS, reduzindo a taxa de abandono do equipamento (que hoje chega a níveis alarmantes em algumas regiões por falta de adaptação correta).</w:t>
      </w:r>
    </w:p>
    <w:bookmarkEnd w:id="16"/>
    <w:bookmarkStart w:id="17" w:name="viabilidade-técnica-peso-30"/>
    <w:p>
      <w:pPr>
        <w:pStyle w:val="Heading3"/>
      </w:pPr>
      <w:r>
        <w:t xml:space="preserve">3.2. Viabilidade Técnica (Peso 30%)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Integração com Sistemas Existentes: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AVASUS/UNA-SUS:</w:t>
      </w:r>
      <w:r>
        <w:t xml:space="preserve"> </w:t>
      </w:r>
      <w:r>
        <w:t xml:space="preserve">O SUSAssist funciona como um microsserviço educacional integrado via LTI (Learning Tools Interoperability) ou APIs Rest às plataformas de capacitação oficiais do Ministério da Saúde.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CNES e Gov.br:</w:t>
      </w:r>
      <w:r>
        <w:t xml:space="preserve"> </w:t>
      </w:r>
      <w:r>
        <w:t xml:space="preserve">Autenticação unificada via Gov.br para verificar a atuação do profissional no SUS pelo Cadastro Nacional de Estabelecimentos de Saúde (CNES).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e-SUS APS:</w:t>
      </w:r>
      <w:r>
        <w:t xml:space="preserve"> </w:t>
      </w:r>
      <w:r>
        <w:t xml:space="preserve">Integração do simulador para que possa ser acessado como ferramenta de apoio à decisão clínica (DSS - Decision Support System) direto do prontuário eletrônico.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Exequibilidade:</w:t>
      </w:r>
      <w:r>
        <w:t xml:space="preserve"> </w:t>
      </w:r>
      <w:r>
        <w:t xml:space="preserve">O protótipo utiliza tecnologias web modernas (HTML, CSS e JavaScript) e pode ser implementado como um aplicativo híbrido leve, com baixos requisitos de servidor.</w:t>
      </w:r>
    </w:p>
    <w:bookmarkEnd w:id="17"/>
    <w:bookmarkStart w:id="18" w:name="segurança-e-lgpd-peso-20"/>
    <w:p>
      <w:pPr>
        <w:pStyle w:val="Heading3"/>
      </w:pPr>
      <w:r>
        <w:t xml:space="preserve">3.3. Segurança e LGPD (Peso 20%)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Tratamento de Dados de Saúde:</w:t>
      </w:r>
      <w:r>
        <w:t xml:space="preserve"> </w:t>
      </w:r>
      <w:r>
        <w:t xml:space="preserve">O simulador clínico utiliza apenas dados sintéticos (pacientes fictícios), eliminando riscos de vazamento de informações reais de pacientes.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Dados do Profissional:</w:t>
      </w:r>
      <w:r>
        <w:t xml:space="preserve"> </w:t>
      </w:r>
      <w:r>
        <w:t xml:space="preserve">O cadastro do profissional na trilha coleta dados restritos de identificação funcional (conforme as bases do Gov.br) com criptografia ponta a ponta (HTTPS/TLS) e controle de acessos estrito.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Consentimento:</w:t>
      </w:r>
      <w:r>
        <w:t xml:space="preserve"> </w:t>
      </w:r>
      <w:r>
        <w:t xml:space="preserve">Termo de Consentimento Livre e Esclarecido (TCLE) digital integrado para a coleta de dados de navegação e desempenho escolar, usados exclusivamente para a melhoria pedagógica das trilhas.</w:t>
      </w:r>
    </w:p>
    <w:bookmarkEnd w:id="18"/>
    <w:bookmarkStart w:id="19" w:name="escalabilidade-peso-20"/>
    <w:p>
      <w:pPr>
        <w:pStyle w:val="Heading3"/>
      </w:pPr>
      <w:r>
        <w:t xml:space="preserve">3.4. Escalabilidade (Peso 20%)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Diversidade de Contextos (UBS Rurais a CERs):</w:t>
      </w:r>
      <w:r>
        <w:t xml:space="preserve"> </w:t>
      </w:r>
      <w:r>
        <w:t xml:space="preserve">A aplicação é otimizada para funcionar em conexões lentas (3G/4G rural). O conteúdo teórico e os simuladores de texto ficam disponíveis em modo offline no PWA. Os dados de progresso são sincronizados automaticamente quando houver conexão disponível.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Adaptação Regional:</w:t>
      </w:r>
      <w:r>
        <w:t xml:space="preserve"> </w:t>
      </w:r>
      <w:r>
        <w:t xml:space="preserve">A trilha pode ser customizada para refletir os fluxos locais de cada município ou estado (já que os fluxos de referência e contrarreferência podem variar regionalmente no Brasil).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b67b5660b3c9a95540b61f8c6faa08680dcab35"/>
    <w:p>
      <w:pPr>
        <w:pStyle w:val="Heading2"/>
      </w:pPr>
      <w:r>
        <w:t xml:space="preserve">4. Estrutura da Trilha de Aprendizado no Protótipo</w:t>
      </w:r>
    </w:p>
    <w:p>
      <w:pPr>
        <w:pStyle w:val="FirstParagraph"/>
      </w:pPr>
      <w:r>
        <w:t xml:space="preserve">O protótipo interativo simula a jornada do profissional dividida em 4 marcos de competência: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M1["Módulo 1: Introdução à Tecnologia Assistiva e Fluxo SUS"] --&gt;|Aprovado| M2["Módulo 2: Avaliação Clínica e Prescrição de Cadeiras de Rodas"]</w:t>
      </w:r>
      <w:r>
        <w:br/>
      </w:r>
      <w:r>
        <w:rPr>
          <w:rStyle w:val="VerbatimChar"/>
        </w:rPr>
        <w:t xml:space="preserve">    M2 --&gt;|Aprovado| M3["Módulo 3: Órteses de Membros Inferiores AFO/KAFO"]</w:t>
      </w:r>
      <w:r>
        <w:br/>
      </w:r>
      <w:r>
        <w:rPr>
          <w:rStyle w:val="VerbatimChar"/>
        </w:rPr>
        <w:t xml:space="preserve">    M3 --&gt;|Aprovado| M4["Módulo 4: Adaptação, Reabilitação e Acompanhamento"]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M1 fill:#004f9f,stroke:#003a75,stroke-width:2px,color:#fff</w:t>
      </w:r>
      <w:r>
        <w:br/>
      </w:r>
      <w:r>
        <w:rPr>
          <w:rStyle w:val="VerbatimChar"/>
        </w:rPr>
        <w:t xml:space="preserve">    style M2 fill:#00a599,stroke:#00847a,stroke-width:2px,color:#fff</w:t>
      </w:r>
      <w:r>
        <w:br/>
      </w:r>
      <w:r>
        <w:rPr>
          <w:rStyle w:val="VerbatimChar"/>
        </w:rPr>
        <w:t xml:space="preserve">    style M3 fill:#00a599,stroke:#00847a,stroke-width:2px,color:#fff</w:t>
      </w:r>
      <w:r>
        <w:br/>
      </w:r>
      <w:r>
        <w:rPr>
          <w:rStyle w:val="VerbatimChar"/>
        </w:rPr>
        <w:t xml:space="preserve">    style M4 fill:#00a599,stroke:#00847a,stroke-width:2px,color:#fff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 1 - Fundamentos e Fluxo SUS:</w:t>
      </w:r>
      <w:r>
        <w:t xml:space="preserve"> </w:t>
      </w:r>
      <w:r>
        <w:t xml:space="preserve">Focado na diferença entre Órtese e Prótese, legislação (Diretrizes da Pessoa com Deficiência) e fluxo de referência (UBS -&gt; CER).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 2 - Prescrição de Cadeira de Rodas:</w:t>
      </w:r>
      <w:r>
        <w:t xml:space="preserve"> </w:t>
      </w:r>
      <w:r>
        <w:t xml:space="preserve">Medidas do paciente, escolha do modelo (padrão, monobloco, motorizada, postural) e prevenção de úlceras por pressão.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 3 - Órteses MMII (AFO e KAFO):</w:t>
      </w:r>
      <w:r>
        <w:t xml:space="preserve"> </w:t>
      </w:r>
      <w:r>
        <w:t xml:space="preserve">Indicações para órteses de tornozelo-pé (AFO) e joelho-tornozelo-pé (KAFO) pós-AVC, paralisia cerebral e traumas.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 4 - Reabilitação e Acompanhamento:</w:t>
      </w:r>
      <w:r>
        <w:t xml:space="preserve"> </w:t>
      </w:r>
      <w:r>
        <w:t xml:space="preserve">Processo de treino de marcha, acompanhamento pós-entrega, manutenção e descarte correto.</w:t>
      </w:r>
    </w:p>
    <w:p>
      <w:r>
        <w:pict>
          <v:rect style="width:0;height:1.5pt" o:hralign="center" o:hrstd="t" o:hr="t"/>
        </w:pict>
      </w:r>
    </w:p>
    <w:bookmarkEnd w:id="21"/>
    <w:bookmarkStart w:id="22" w:name="diferencial-para-a-banca-avaliadora"/>
    <w:p>
      <w:pPr>
        <w:pStyle w:val="Heading2"/>
      </w:pPr>
      <w:r>
        <w:t xml:space="preserve">5. Diferencial para a Banca Avaliadora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Foco Centrado no Profissional e no Usuário Final:</w:t>
      </w:r>
      <w:r>
        <w:t xml:space="preserve"> </w:t>
      </w:r>
      <w:r>
        <w:t xml:space="preserve">A solução não é apenas teórica; ela treina o profissional com foco no bem-estar do usuário final (equidade e protagonismo do paciente).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Solução Prática vs Teórica:</w:t>
      </w:r>
      <w:r>
        <w:t xml:space="preserve"> </w:t>
      </w:r>
      <w:r>
        <w:t xml:space="preserve">O simulador garante que o profissional saiba aplicar a teoria imediatamente na sua rotina de atendimento na UBS.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Uso Inteligente de IA:</w:t>
      </w:r>
      <w:r>
        <w:t xml:space="preserve"> </w:t>
      </w:r>
      <w:r>
        <w:t xml:space="preserve">A IA não substitui o treinamento do profissional, mas sim o potencializa, servindo como uma</w:t>
      </w:r>
      <w:r>
        <w:t xml:space="preserve"> </w:t>
      </w:r>
      <w:r>
        <w:t xml:space="preserve">“preceptora digital de bolso”</w:t>
      </w:r>
      <w:r>
        <w:t xml:space="preserve"> </w:t>
      </w:r>
      <w:r>
        <w:t xml:space="preserve">24 horas por dia.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2026-06-09T16:55:56Z</dcterms:created>
  <dcterms:modified xsi:type="dcterms:W3CDTF">2026-06-09T16:55:56Z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