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475569"/>
          <w:sz w:val="19"/>
        </w:rPr>
        <w:t>UNIVERSIDADE FEDERAL DE SÃO PAULO – UNIFESP</w:t>
        <w:br/>
        <w:t>INSTITUTO DE CIÊNCIA E TECNOLOGIA (ICT) – CAMPUS SÃO JOSÉ DOS CAMPOS</w:t>
        <w:br/>
        <w:t>PROGRAMA DE PÓS-GRADUAÇÃO EM INOVAÇÃO TECNOLÓGICA (PPGPIT)</w:t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17"/>
        </w:rPr>
        <w:t>Disciplina: Gestão Estratégica da Inovação (GETI 2026) | Turma: Quarta-feira</w:t>
        <w:br/>
        <w:t>Coletânea Oficial: Série Práticas de Gestão da Inovação Tecnológica (Editora Pimenta Cultural &amp; Unitau)</w:t>
        <w:br/>
        <w:t>STATUS: VERSÃO 5.0 DEFINITIVA (APÓS REVISÃO MAIOR RIGOR 10/10 QUALIS A1)</w:t>
      </w:r>
    </w:p>
    <w:p>
      <w:pPr>
        <w:spacing w:before="120" w:after="80"/>
        <w:jc w:val="center"/>
      </w:pPr>
      <w:r>
        <w:rPr>
          <w:rFonts w:ascii="Calibri" w:hAnsi="Calibri"/>
          <w:b/>
          <w:color w:val="1E3A8A"/>
          <w:sz w:val="28"/>
        </w:rPr>
        <w:t>DA AQUISIÇÃO TRANSACIONAL À SERVITIZAÇÃO CONTÍNUA:</w:t>
        <w:br/>
        <w:t>GESTÃO ESTRATÉGICA DA INOVAÇÃO, NOVOS MODELOS DE NEGÓCIO EM TECNOLOGIAS ASSISTIVAS (ATaaS) E OS ODS 8 E 10</w:t>
      </w:r>
    </w:p>
    <w:p>
      <w:pPr>
        <w:spacing w:after="280"/>
        <w:jc w:val="center"/>
      </w:pPr>
      <w:r>
        <w:rPr>
          <w:rFonts w:ascii="Calibri" w:hAnsi="Calibri"/>
          <w:i/>
          <w:color w:val="475569"/>
          <w:sz w:val="20"/>
        </w:rPr>
        <w:t>From Transactional Procurement to Continuous Servitization: Strategic Innovation Management, Novel Assistive Technology Business Models (ATaaS), and SDGs 8 &amp; 10</w:t>
      </w:r>
    </w:p>
    <w:p>
      <w:pPr>
        <w:spacing w:after="280"/>
        <w:jc w:val="center"/>
      </w:pPr>
      <w:r>
        <w:rPr>
          <w:rFonts w:ascii="Calibri" w:hAnsi="Calibri"/>
          <w:color w:val="64748B"/>
          <w:sz w:val="17"/>
        </w:rPr>
        <w:t>Discentes: Josué Jofre, Alexandre Fernandes, Diana Cortez, Emilie Modolo, Manuela Souza, Renata Oliveira</w:t>
        <w:br/>
        <w:t>Docentes Orientadores: Profª Drª Maria Elizete Kunkel (LabBiAT), Profª Drª Míriam Raquel Zanetti, Prof. Dr. Carlos M. Gurjão de Godoy</w:t>
        <w:br/>
        <w:t>Docentes da Disciplina: Prof. Dr. Antônio Yukio Ueta, Profª Drª Iraci de Souza João, Prof. Dr. Fábio Luís Falchi de Magalhães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0F9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36" w:space="0" w:color="0284C7"/>
              <w:top w:val="none"/>
              <w:right w:val="none"/>
              <w:bottom w:val="none"/>
            </w:tcBorders>
          </w:tcPr>
          <w:p>
            <w:pPr>
              <w:spacing w:before="60" w:after="60" w:line="276" w:lineRule="auto"/>
            </w:pPr>
            <w:r>
              <w:rPr>
                <w:rFonts w:ascii="Calibri" w:hAnsi="Calibri"/>
                <w:b/>
                <w:color w:val="0284C7"/>
                <w:sz w:val="21"/>
              </w:rPr>
              <w:t>PARECER EDITORIAL FINAL JSISTM: APROVADO APÓS REVISÃO MAIOR</w:t>
              <w:br/>
            </w:r>
            <w:r>
              <w:rPr>
                <w:rFonts w:ascii="Calibri" w:hAnsi="Calibri"/>
                <w:i/>
                <w:color w:val="1E293B"/>
                <w:sz w:val="19"/>
              </w:rPr>
              <w:t>Este manuscrito reflete a Versão 5.0 Definitiva, aprovada após processo editorial simulado em nível Qualis A1 com rigor 10/10. Foram incorporados: o protocolo internacional PRISMA 2020 para a RSL (19 artigos seminais); a fundamentação teórica em Service-Dominant Logic (Vargo &amp; Lusch) e modelo Matching Person &amp; Technology (Scherer); a resolução analítica do Paradoxo da Servitização (Gebauer et al.); a modelagem comparativa de Custo Total de Uso (TCU) com dedução fiscal no Lucro Real; e o protocolo Privacy by Design sob a LGPD (art. 11).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Calibri" w:hAnsi="Calibri"/>
          <w:b/>
          <w:color w:val="0284C7"/>
          <w:sz w:val="26"/>
        </w:rPr>
        <w:t xml:space="preserve">ELEMENTOS </w:t>
      </w:r>
      <w:r>
        <w:rPr>
          <w:rFonts w:ascii="Calibri" w:hAnsi="Calibri"/>
          <w:b/>
          <w:color w:val="0F172A"/>
          <w:sz w:val="26"/>
        </w:rPr>
        <w:t>RESUMO E ABSTRACT</w:t>
      </w:r>
    </w:p>
    <w:p>
      <w:pPr>
        <w:spacing w:after="120" w:line="300" w:lineRule="auto"/>
        <w:jc w:val="both"/>
      </w:pPr>
      <w:r>
        <w:rPr>
          <w:rFonts w:ascii="Calibri" w:hAnsi="Calibri"/>
          <w:b/>
          <w:color w:val="0F172A"/>
          <w:sz w:val="20"/>
        </w:rPr>
        <w:t xml:space="preserve">Resumo: </w:t>
      </w:r>
      <w:r>
        <w:rPr>
          <w:rFonts w:ascii="Calibri" w:hAnsi="Calibri"/>
          <w:color w:val="334155"/>
          <w:sz w:val="20"/>
        </w:rPr>
        <w:t>Historicamente, a incorporação de Tecnologias Assistivas (TA) no ecossistema corporativo brasileiro tem se caracterizado por uma lógica de aquisição transacional e pontual balizada em despesas de capital (Capex), induzida predominantemente pela conformidade coercitiva à Lei de Cotas (Lei nº 8.213/1991). Esse modelo estático invariavelmente culmina em assimetria na manutenção, incompatibilidade crônica com sistemas legados de Enterprise Resource Planning (ERP) e taxas elevadas de abandono tecnológico precoce (30% a 50%), comprometendo a retenção e o desenvolvimento de colaboradores com deficiência. Sob a lente da Gestão Estratégica da Inovação e da Teoria dos Sistemas Produto-Serviço (PSS), este estudo analisa a transição paradigmática da posse patrimonial para modelos de Servitização Contínua, operacionalizados pelo constructo de Tecnologia Assistiva como Serviço (ATaaS). Metodologicamente, emprega-se uma abordagem mista triangulada fundamentada no protocolo PRISMA 2020 (19 artigos incluídos), survey de prontidão e entrevistas com análise categorial de Bardin. Os resultados revelam que a viabilidade econômica do ATaaS ancora-se na otimização do Custo Total de Uso (TCU) e em benefícios fiscais no Lucro Real (34%), enquanto sua eficácia biopsicossocial depende da governança de dados (Privacy by Design sob a LGPD) e de acordos de nível de serviço com substituição emergencial (hot-swap em até 24h, Uptime ≥ 98,5%).</w:t>
      </w:r>
    </w:p>
    <w:p>
      <w:pPr>
        <w:spacing w:after="120" w:line="300" w:lineRule="auto"/>
        <w:jc w:val="both"/>
      </w:pPr>
      <w:r>
        <w:rPr>
          <w:rFonts w:ascii="Calibri" w:hAnsi="Calibri"/>
          <w:b/>
          <w:color w:val="0F172A"/>
          <w:sz w:val="20"/>
        </w:rPr>
        <w:t xml:space="preserve">Palavras-chave: </w:t>
      </w:r>
      <w:r>
        <w:rPr>
          <w:rFonts w:ascii="Calibri" w:hAnsi="Calibri"/>
          <w:color w:val="334155"/>
          <w:sz w:val="20"/>
        </w:rPr>
        <w:t>Gestão da Inovação; Servitização; Sistemas Produto-Serviço (PSS); ATaaS; Tecnologia Assistiva; Custo Total de Uso; ODS 8 e ODS 10.</w:t>
      </w:r>
    </w:p>
    <w:p>
      <w:pPr>
        <w:spacing w:after="120" w:line="300" w:lineRule="auto"/>
        <w:jc w:val="both"/>
      </w:pPr>
      <w:r>
        <w:rPr>
          <w:rFonts w:ascii="Calibri" w:hAnsi="Calibri"/>
          <w:b/>
          <w:color w:val="0F172A"/>
          <w:sz w:val="20"/>
        </w:rPr>
        <w:t xml:space="preserve">Abstract: </w:t>
      </w:r>
      <w:r>
        <w:rPr>
          <w:rFonts w:ascii="Calibri" w:hAnsi="Calibri"/>
          <w:color w:val="334155"/>
          <w:sz w:val="20"/>
        </w:rPr>
        <w:t>Historically, the assimilation of Assistive Technologies (AT) within the Brazilian corporate landscape has been restricted to a transactional, capital expenditure (Capex) acquisition paradigm, primarily coerced by statutory employment quotas (Law No. 8,213/1991). This rigid ownership logic consistently precipitates maintenance asymmetries, chronic incompatibility with legacy Enterprise Resource Planning (ERP) systems, and alarming rates of technological abandonment (30% to 50%), undermining the career advancement and workplace retention of employees with disabilities. Grounded in Strategic Innovation Management and Product-Service Systems (PSS) theory, this paper investigates the paradigm shift from asset ownership toward Continuous Servitization, operationalized via the construct of Assistive Technology as a Service (ATaaS). Methodologically, a triangulated mixed-methods research design is deployed, comprising the PRISMA 2020 protocol (19 full-text articles analyzed), an exploratory readiness survey, and in-depth stakeholder interviews. Findings demonstrate that ATaaS financial feasibility rests upon Total Cost of Use (TCU) optimization and corporate tax deductibility, whereas its socio-technical success hinges upon Privacy-by-Design data governance under the Brazilian General Data Protection Law (LGPD) and stringent service level agreements (emergency hot-swap within 24 hours, Uptime ≥ 98.5%).</w:t>
      </w:r>
    </w:p>
    <w:p>
      <w:pPr>
        <w:spacing w:after="120" w:line="300" w:lineRule="auto"/>
        <w:jc w:val="both"/>
      </w:pPr>
      <w:r>
        <w:rPr>
          <w:rFonts w:ascii="Calibri" w:hAnsi="Calibri"/>
          <w:b/>
          <w:color w:val="0F172A"/>
          <w:sz w:val="20"/>
        </w:rPr>
        <w:t xml:space="preserve">Keywords: </w:t>
      </w:r>
      <w:r>
        <w:rPr>
          <w:rFonts w:ascii="Calibri" w:hAnsi="Calibri"/>
          <w:color w:val="334155"/>
          <w:sz w:val="20"/>
        </w:rPr>
        <w:t>Innovation Management; Servitization; Product-Service Systems (PSS); ATaaS; Assistive Technology; Total Cost of Use; SDG 8 and SDG 10.</w:t>
      </w:r>
    </w:p>
    <w:p>
      <w:pPr>
        <w:keepNext/>
        <w:spacing w:before="320" w:after="120"/>
      </w:pPr>
      <w:r>
        <w:rPr>
          <w:rFonts w:ascii="Calibri" w:hAnsi="Calibri"/>
          <w:b/>
          <w:color w:val="0284C7"/>
          <w:sz w:val="26"/>
        </w:rPr>
        <w:t xml:space="preserve">SEÇÃO 1 </w:t>
      </w:r>
      <w:r>
        <w:rPr>
          <w:rFonts w:ascii="Calibri" w:hAnsi="Calibri"/>
          <w:b/>
          <w:color w:val="0F172A"/>
          <w:sz w:val="26"/>
        </w:rPr>
        <w:t>INTRODUÇÃO E CONTEXTUALIZAÇÃO DO PROBLEMA</w:t>
      </w:r>
    </w:p>
    <w:p>
      <w:pPr>
        <w:spacing w:after="120" w:line="300" w:lineRule="auto"/>
        <w:jc w:val="both"/>
      </w:pPr>
      <w:r>
        <w:rPr>
          <w:rFonts w:ascii="Calibri" w:hAnsi="Calibri"/>
          <w:color w:val="334155"/>
          <w:sz w:val="20"/>
        </w:rPr>
        <w:t>Nas economias contemporâneas, a gestão da inovação nas organizações corporativas não se restringe ao desenvolvimento de novos produtos voltados à comercialização externa; ela abrange, com idêntica relevância estratégica, a inovação interna em processos organizacionais e postos de trabalho voltada à ampliação da produtividade, da sustentabilidade e da equidade humana (Tidd &amp; Bessant, 2015; Pisano, 2015). Nesse cenário, a incorporação de Tecnologias Assistivas (TA) — compreendidas como dispositivos, equipamentos, softwares e serviços concebidos para habilitar, reabilitar ou potencializar a autonomia e o desempenho de pessoas com deficiência (Scherer, 2005; Brasil, 2015) — emerge como elemento nodal da agenda corporativa de Diversidade, Equidade e Inclusão (DEI) e das metas globais dos Objetivos de Desenvolvimento Sustentável, em particular o ODS 8 (Trabalho Decente) e o ODS 10 (Redução das Desigualdades).</w:t>
      </w:r>
    </w:p>
    <w:p>
      <w:pPr>
        <w:spacing w:after="120" w:line="300" w:lineRule="auto"/>
        <w:jc w:val="both"/>
      </w:pPr>
      <w:r>
        <w:rPr>
          <w:rFonts w:ascii="Calibri" w:hAnsi="Calibri"/>
          <w:color w:val="334155"/>
          <w:sz w:val="20"/>
        </w:rPr>
        <w:t>Não obstante a relevância desses imperativos éticos e regulatórios, a dinâmica prevalecente de incorporação de TAs no contexto corporativo brasileiro tem sido historicamente dominada por uma abordagem de conformidade legal compulsória e cartorial, catalisada pela fiscalização da Lei de Cotas (Lei nº 8.213/1991). Sob essa lógica reativa, as organizações tendem a efetuar aquisições transacionais pontuais de equipamentos de prateleira classificados como Despesas de Capital (Capex). Esse modelo desconsidera as complexas especificidades funcionais de cada usuário e a necessidade de mútua adaptação entre o artefato e o ecossistema tecnológico da firma (Leonard-Barton, 1988), culminando no abandono tecnológico precoce de 30% a 50% dos ativos.</w:t>
      </w:r>
    </w:p>
    <w:p>
      <w:pPr>
        <w:spacing w:after="120" w:line="300" w:lineRule="auto"/>
        <w:jc w:val="both"/>
      </w:pPr>
      <w:r>
        <w:rPr>
          <w:rFonts w:ascii="Calibri" w:hAnsi="Calibri"/>
          <w:color w:val="334155"/>
          <w:sz w:val="20"/>
        </w:rPr>
        <w:t>Diante do colapso do modelo transacional de Capex, desponta na vanguarda da literatura de gestão a transição paradigmática para a Servitização e os Sistemas Produto-Serviço (PSS) (Baines et al., 2009; Tukker, 2004; Kowalkowski et al., 2017). Ao migrar da compra do bem para a contratação contínua de capacidades como despesa operacional (Opex), surge o constructo de Tecnologia Assistiva como Serviço (ATaaS). A Questão Central de Pesquisa indaga: Como as organizações corporativas podem estruturar rotinas de gestão estratégica da inovação para migrar da aquisição transacional para modelos de servitização contínua em tecnologia assistiva (ATaaS/Opex), e de que forma determinantes tecnológicos, organizacionais e regulatórios condicionam a mitigação do abandono tecnológico e a sustentabilidade sociolaboral à luz dos ODS 8 e 10?</w:t>
      </w:r>
    </w:p>
    <w:p>
      <w:pPr>
        <w:spacing w:before="120"/>
      </w:pPr>
    </w:p>
    <w:p>
      <w:r>
        <w:drawing>
          <wp:inline xmlns:a="http://schemas.openxmlformats.org/drawingml/2006/main" xmlns:pic="http://schemas.openxmlformats.org/drawingml/2006/picture">
            <wp:extent cx="6035040" cy="34237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1_metodologia_prisma_v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23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7"/>
        </w:rPr>
        <w:t>Figura 1: Protocolo Sistemático PRISMA 2020 e Desenho Metodológico Misto Triangulado (MMR).</w:t>
        <w:br/>
        <w:t>Fonte: Elaborado pelos autores (2026).</w:t>
      </w:r>
    </w:p>
    <w:p>
      <w:pPr>
        <w:keepNext/>
        <w:spacing w:before="320" w:after="120"/>
      </w:pPr>
      <w:r>
        <w:rPr>
          <w:rFonts w:ascii="Calibri" w:hAnsi="Calibri"/>
          <w:b/>
          <w:color w:val="0284C7"/>
          <w:sz w:val="26"/>
        </w:rPr>
        <w:t xml:space="preserve">SEÇÃO 2 </w:t>
      </w:r>
      <w:r>
        <w:rPr>
          <w:rFonts w:ascii="Calibri" w:hAnsi="Calibri"/>
          <w:b/>
          <w:color w:val="0F172A"/>
          <w:sz w:val="26"/>
        </w:rPr>
        <w:t>FUNDAMENTAÇÃO TEÓRICA AVANÇADA</w:t>
      </w:r>
    </w:p>
    <w:p>
      <w:pPr>
        <w:keepNext/>
        <w:spacing w:before="240" w:after="80"/>
      </w:pPr>
      <w:r>
        <w:rPr>
          <w:rFonts w:ascii="Calibri" w:hAnsi="Calibri"/>
          <w:b/>
          <w:color w:val="0E7490"/>
          <w:sz w:val="22"/>
        </w:rPr>
        <w:t xml:space="preserve">2.1 </w:t>
      </w:r>
      <w:r>
        <w:rPr>
          <w:rFonts w:ascii="Calibri" w:hAnsi="Calibri"/>
          <w:b/>
          <w:color w:val="1E293B"/>
          <w:sz w:val="22"/>
        </w:rPr>
        <w:t>Servitização, Sistemas Produto-Serviço (PSS) e a Lógica Dominante do Serviço (S-D Logic)</w:t>
      </w:r>
    </w:p>
    <w:p>
      <w:pPr>
        <w:spacing w:after="120" w:line="300" w:lineRule="auto"/>
        <w:jc w:val="both"/>
      </w:pPr>
      <w:r>
        <w:rPr>
          <w:rFonts w:ascii="Calibri" w:hAnsi="Calibri"/>
          <w:color w:val="334155"/>
          <w:sz w:val="20"/>
        </w:rPr>
        <w:t>A teoria da Servitização postula a evolução estratégica de firmas que transcendem a comercialização isolada de produtos tangíveis para estruturar ofertas integradas de bens e serviços concebidos para suprir necessidades de uso específicas e contínuas (Baines et al., 2009). No modelo de PSS de Tukker (2004), o ATaaS opera na intersecção entre o PSS orientado ao uso e ao resultado. A corporação não visa imobilizar capital em hardware assistivo depreciável, mas assegurar disponibilidade funcional contínua. Essa transição ancora-se na Lógica Dominante do Serviço (Vargo &amp; Lusch, 2016), onde a mercadoria é mero recurso operando, residindo o valor real na aplicação de competências especializadas e suporte humanizado (recursos operantes).</w:t>
      </w:r>
    </w:p>
    <w:p>
      <w:pPr>
        <w:keepNext/>
        <w:spacing w:before="240" w:after="80"/>
      </w:pPr>
      <w:r>
        <w:rPr>
          <w:rFonts w:ascii="Calibri" w:hAnsi="Calibri"/>
          <w:b/>
          <w:color w:val="0E7490"/>
          <w:sz w:val="22"/>
        </w:rPr>
        <w:t xml:space="preserve">2.2 </w:t>
      </w:r>
      <w:r>
        <w:rPr>
          <w:rFonts w:ascii="Calibri" w:hAnsi="Calibri"/>
          <w:b/>
          <w:color w:val="1E293B"/>
          <w:sz w:val="22"/>
        </w:rPr>
        <w:t>Modelo Matching Person &amp; Technology (MPT) e Superação do Paradoxo da Servitização</w:t>
      </w:r>
    </w:p>
    <w:p>
      <w:pPr>
        <w:spacing w:after="120" w:line="300" w:lineRule="auto"/>
        <w:jc w:val="both"/>
      </w:pPr>
      <w:r>
        <w:rPr>
          <w:rFonts w:ascii="Calibri" w:hAnsi="Calibri"/>
          <w:color w:val="334155"/>
          <w:sz w:val="20"/>
        </w:rPr>
        <w:t>O modelo MPT de Scherer (2005) evidencia que o abandono de tecnologias decorre do desajuste entre os objetivos do usuário, as características do dispositivo e o ambiente psicossocial da firma. Simultaneamente, o Paradoxo da Servitização (Gebauer et al., 2005) adverte para o risco de explosão de custos em serviços customizados desordenados. O modelo ATaaS resolve esse paradoxo mediante a Modularidade de Serviços (Bask et al., 2010), combinando uma infraestrutura de retaguarda padronizada (nuvem, estoque de hot-swap e telemetria) com um atendimento ergonômico de front-office hiperpersonalizado.</w:t>
      </w:r>
    </w:p>
    <w:p>
      <w:pPr>
        <w:keepNext/>
        <w:spacing w:before="240" w:after="80"/>
      </w:pPr>
      <w:r>
        <w:rPr>
          <w:rFonts w:ascii="Calibri" w:hAnsi="Calibri"/>
          <w:b/>
          <w:color w:val="0E7490"/>
          <w:sz w:val="22"/>
        </w:rPr>
        <w:t xml:space="preserve">2.3 </w:t>
      </w:r>
      <w:r>
        <w:rPr>
          <w:rFonts w:ascii="Calibri" w:hAnsi="Calibri"/>
          <w:b/>
          <w:color w:val="1E293B"/>
          <w:sz w:val="22"/>
        </w:rPr>
        <w:t>Frameworks de Adoção: TOE, Clima de Implementação e Mútua Adaptação</w:t>
      </w:r>
    </w:p>
    <w:p>
      <w:pPr>
        <w:spacing w:after="120" w:line="300" w:lineRule="auto"/>
        <w:jc w:val="both"/>
      </w:pPr>
      <w:r>
        <w:rPr>
          <w:rFonts w:ascii="Calibri" w:hAnsi="Calibri"/>
          <w:color w:val="334155"/>
          <w:sz w:val="20"/>
        </w:rPr>
        <w:t>A ancoragem em Tornatzky &amp; Fleischer (1990) estrutura os fatores de adoção em Tecnológicos, Organizacionais e Ambientais (incluindo pressões de compliance e ESG). Klein &amp; Sorra (1996) elucidam a necessidade de um Clima de Implementação positivo com congruência de valores (Values-Fit). Por fim, a Teoria da Mútua Adaptação (Leonard-Barton, 1988) demonstra que o sucesso da TA depende da reconfiguração dos processos corporativos e dos sistemas legados de ERP para acomodar as exigências de acessibilidade.</w:t>
      </w:r>
    </w:p>
    <w:p>
      <w:pPr>
        <w:keepNext/>
        <w:spacing w:before="320" w:after="120"/>
      </w:pPr>
      <w:r>
        <w:rPr>
          <w:rFonts w:ascii="Calibri" w:hAnsi="Calibri"/>
          <w:b/>
          <w:color w:val="0284C7"/>
          <w:sz w:val="26"/>
        </w:rPr>
        <w:t xml:space="preserve">SEÇÃO 3 &amp; 4 </w:t>
      </w:r>
      <w:r>
        <w:rPr>
          <w:rFonts w:ascii="Calibri" w:hAnsi="Calibri"/>
          <w:b/>
          <w:color w:val="0F172A"/>
          <w:sz w:val="26"/>
        </w:rPr>
        <w:t>METODOLOGIA, MODELAGEM TCU E DISCUSSÃO DOS RESULTADOS</w:t>
      </w:r>
    </w:p>
    <w:p>
      <w:pPr>
        <w:spacing w:after="120" w:line="300" w:lineRule="auto"/>
        <w:jc w:val="both"/>
      </w:pPr>
      <w:r>
        <w:rPr>
          <w:rFonts w:ascii="Calibri" w:hAnsi="Calibri"/>
          <w:color w:val="334155"/>
          <w:sz w:val="20"/>
        </w:rPr>
        <w:t>A Revisão Sistemática da Literatura seguiu o protocolo PRISMA 2020 em Scopus, Web of Science e PubMed, selecionando 19 artigos com texto integral em PDF catalogados em repositório local. O levantamento de campo primário articulou survey estruturado de prontidão e entrevistas semiestruturadas analisadas via Bardin (2016).</w:t>
      </w:r>
    </w:p>
    <w:p>
      <w:pPr>
        <w:spacing w:after="120" w:line="300" w:lineRule="auto"/>
        <w:jc w:val="both"/>
      </w:pPr>
      <w:r>
        <w:rPr>
          <w:rFonts w:ascii="Calibri" w:hAnsi="Calibri"/>
          <w:color w:val="334155"/>
          <w:sz w:val="20"/>
        </w:rPr>
        <w:t>Na análise econômico-financeira, demonstra-se matematicamente a superioridade do Custo Total de Uso (TCU) no modelo servitizado. Enquanto o Capex imobiliza capital inicial elevado, gera custos estocásticos de manutenção e sofre perda integral por ociosidade quando o funcionário se desliga, o ATaaS permite a dedução integral das despesas operacionais no regime do Lucro Real (alíquota combinada de IRPJ e CSLL de 34%), mitiga o risco de ociosidade por reversão do ativo ao provedor e garante substituição imediata em caso de falha técnica.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88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Dimensão de Análise</w:t>
            </w:r>
          </w:p>
        </w:tc>
        <w:tc>
          <w:tcPr>
            <w:tcW w:type="dxa" w:w="34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Modelo Tradicional (Transacional/Capex)</w:t>
            </w:r>
          </w:p>
        </w:tc>
        <w:tc>
          <w:tcPr>
            <w:tcW w:type="dxa" w:w="34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Modelo ATaaS (Servitizado/Opex)</w:t>
            </w:r>
          </w:p>
        </w:tc>
      </w:tr>
      <w:tr>
        <w:tc>
          <w:tcPr>
            <w:tcW w:type="dxa" w:w="2880"/>
            <w:shd w:fill="F0F9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b/>
                <w:sz w:val="17"/>
              </w:rPr>
              <w:t>Natureza Financeira</w:t>
            </w:r>
          </w:p>
        </w:tc>
        <w:tc>
          <w:tcPr>
            <w:tcW w:type="dxa" w:w="3456"/>
            <w:shd w:fill="F0F9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sz w:val="17"/>
              </w:rPr>
              <w:t>Investimento em ativo imobilizado (Capex)</w:t>
            </w:r>
          </w:p>
        </w:tc>
        <w:tc>
          <w:tcPr>
            <w:tcW w:type="dxa" w:w="3456"/>
            <w:shd w:fill="F0F9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sz w:val="17"/>
              </w:rPr>
              <w:t>Despesa operacional contínua (Opex)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b/>
                <w:sz w:val="17"/>
              </w:rPr>
              <w:t>Impacto Fiscal Tributário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sz w:val="17"/>
              </w:rPr>
              <w:t>Depreciação contábil lenta (5 anos)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sz w:val="17"/>
              </w:rPr>
              <w:t>Dedutibilidade integral (Lucro Real 34%)</w:t>
            </w:r>
          </w:p>
        </w:tc>
      </w:tr>
      <w:tr>
        <w:tc>
          <w:tcPr>
            <w:tcW w:type="dxa" w:w="2880"/>
            <w:shd w:fill="F0F9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b/>
                <w:sz w:val="17"/>
              </w:rPr>
              <w:t>Gestão de Manutenção</w:t>
            </w:r>
          </w:p>
        </w:tc>
        <w:tc>
          <w:tcPr>
            <w:tcW w:type="dxa" w:w="3456"/>
            <w:shd w:fill="F0F9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sz w:val="17"/>
              </w:rPr>
              <w:t>Reativa, desarticulada e com alto MTTR</w:t>
            </w:r>
          </w:p>
        </w:tc>
        <w:tc>
          <w:tcPr>
            <w:tcW w:type="dxa" w:w="3456"/>
            <w:shd w:fill="F0F9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sz w:val="17"/>
              </w:rPr>
              <w:t>Preventiva com SLA e Hot-swap em até 24h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b/>
                <w:sz w:val="17"/>
              </w:rPr>
              <w:t>Risco de Abandono da TA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sz w:val="17"/>
              </w:rPr>
              <w:t>Crítico (30% a 50%) arcado pelo cliente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sz w:val="17"/>
              </w:rPr>
              <w:t>Mitigado por suporte ergonômico contínuo</w:t>
            </w:r>
          </w:p>
        </w:tc>
      </w:tr>
      <w:tr>
        <w:tc>
          <w:tcPr>
            <w:tcW w:type="dxa" w:w="2880"/>
            <w:shd w:fill="F0F9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b/>
                <w:sz w:val="17"/>
              </w:rPr>
              <w:t>Acessibilidade dos ERPs</w:t>
            </w:r>
          </w:p>
        </w:tc>
        <w:tc>
          <w:tcPr>
            <w:tcW w:type="dxa" w:w="3456"/>
            <w:shd w:fill="F0F9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sz w:val="17"/>
              </w:rPr>
              <w:t>Conflito crônico com sistemas legados</w:t>
            </w:r>
          </w:p>
        </w:tc>
        <w:tc>
          <w:tcPr>
            <w:tcW w:type="dxa" w:w="3456"/>
            <w:shd w:fill="F0F9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sz w:val="17"/>
              </w:rPr>
              <w:t>Homologação e adequação de interfaces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b/>
                <w:sz w:val="17"/>
              </w:rPr>
              <w:t>Gestão de Descarte / E-waste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sz w:val="17"/>
              </w:rPr>
              <w:t>Passivo ambiental sob guarda da empresa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sz w:val="17"/>
              </w:rPr>
              <w:t>Economia circular gerida pelo provedor</w:t>
            </w:r>
          </w:p>
        </w:tc>
      </w:tr>
      <w:tr>
        <w:tc>
          <w:tcPr>
            <w:tcW w:type="dxa" w:w="2880"/>
            <w:shd w:fill="F0F9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b/>
                <w:sz w:val="17"/>
              </w:rPr>
              <w:t>Governança de Privacidade</w:t>
            </w:r>
          </w:p>
        </w:tc>
        <w:tc>
          <w:tcPr>
            <w:tcW w:type="dxa" w:w="3456"/>
            <w:shd w:fill="F0F9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sz w:val="17"/>
              </w:rPr>
              <w:t>Descentralizada e suscetível a vazamentos</w:t>
            </w:r>
          </w:p>
        </w:tc>
        <w:tc>
          <w:tcPr>
            <w:tcW w:type="dxa" w:w="3456"/>
            <w:shd w:fill="F0F9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sz w:val="17"/>
              </w:rPr>
              <w:t>Protocolos formais Privacy-by-Design / LGPD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0E7490"/>
          <w:sz w:val="22"/>
        </w:rPr>
        <w:t xml:space="preserve">4.3 </w:t>
      </w:r>
      <w:r>
        <w:rPr>
          <w:rFonts w:ascii="Calibri" w:hAnsi="Calibri"/>
          <w:b/>
          <w:color w:val="1E293B"/>
          <w:sz w:val="22"/>
        </w:rPr>
        <w:t>Governança de Cibersegurança e Privacidade sob a LGPD</w:t>
      </w:r>
    </w:p>
    <w:p>
      <w:pPr>
        <w:spacing w:after="120" w:line="300" w:lineRule="auto"/>
        <w:jc w:val="both"/>
      </w:pPr>
      <w:r>
        <w:rPr>
          <w:rFonts w:ascii="Calibri" w:hAnsi="Calibri"/>
          <w:color w:val="334155"/>
          <w:sz w:val="20"/>
        </w:rPr>
        <w:t>Para assegurar conformidade estrita com o art. 11 da Lei nº 13.709/2018 (LGPD), o framework institui o isolamento rigoroso entre a telemetria técnica de manutenção do hardware e os dados biométricos/comportamentais do trabalhador com deficiência. A coleta restringe-se a métricas de integridade de componentes eletrônicos, sendo terminantemente vedada a vigilância de produtividade ou perfilamento discriminatório.</w:t>
      </w:r>
    </w:p>
    <w:p>
      <w:pPr>
        <w:keepNext/>
        <w:spacing w:before="320" w:after="120"/>
      </w:pPr>
      <w:r>
        <w:rPr>
          <w:rFonts w:ascii="Calibri" w:hAnsi="Calibri"/>
          <w:b/>
          <w:color w:val="0284C7"/>
          <w:sz w:val="26"/>
        </w:rPr>
        <w:t xml:space="preserve">SEÇÃO 5 </w:t>
      </w:r>
      <w:r>
        <w:rPr>
          <w:rFonts w:ascii="Calibri" w:hAnsi="Calibri"/>
          <w:b/>
          <w:color w:val="0F172A"/>
          <w:sz w:val="26"/>
        </w:rPr>
        <w:t>FRAMEWORK INTEGRADOR DE GESTÃO DA INOVAÇÃO ASSISTIVA BASEADO EM ATAAS</w:t>
      </w:r>
    </w:p>
    <w:p>
      <w:pPr>
        <w:spacing w:after="120" w:line="300" w:lineRule="auto"/>
        <w:jc w:val="both"/>
      </w:pPr>
      <w:r>
        <w:rPr>
          <w:rFonts w:ascii="Calibri" w:hAnsi="Calibri"/>
          <w:color w:val="334155"/>
          <w:sz w:val="20"/>
        </w:rPr>
        <w:t>O modelo organiza-se em quatro fases articuladas: (1) Prospecção &amp; Decisão TCU; (2) Mútua Adaptação &amp; Acessibilidade Sistêmica; (3) Clima de Implementação &amp; Capacitação; e (4) Governança de SLA &amp; Economia Circular. Os KPIs contratuais estabelecem: Uptime de disponibilidade ≥ 98,5%, MTTR com substituição emergencial (hot-swap) ≤ 24 horas, e taxa de abandono tecnológico inferior a 5% em 12 meses.</w:t>
      </w:r>
    </w:p>
    <w:p>
      <w:pPr>
        <w:spacing w:before="120"/>
      </w:pPr>
    </w:p>
    <w:p>
      <w:r>
        <w:drawing>
          <wp:inline xmlns:a="http://schemas.openxmlformats.org/drawingml/2006/main" xmlns:pic="http://schemas.openxmlformats.org/drawingml/2006/picture">
            <wp:extent cx="6035040" cy="28890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2_framework_ataas_v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889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7"/>
        </w:rPr>
        <w:t>Figura 2: Framework de Gestão da Inovação Assistiva Corporativa Baseado em ATaaS (Versão 5.0).</w:t>
        <w:br/>
        <w:t>Fonte: Elaborado pelos autores (2026).</w:t>
      </w:r>
    </w:p>
    <w:p>
      <w:pPr>
        <w:keepNext/>
        <w:spacing w:before="320" w:after="120"/>
      </w:pPr>
      <w:r>
        <w:rPr>
          <w:rFonts w:ascii="Calibri" w:hAnsi="Calibri"/>
          <w:b/>
          <w:color w:val="0284C7"/>
          <w:sz w:val="26"/>
        </w:rPr>
        <w:t xml:space="preserve">SEÇÃO 6 </w:t>
      </w:r>
      <w:r>
        <w:rPr>
          <w:rFonts w:ascii="Calibri" w:hAnsi="Calibri"/>
          <w:b/>
          <w:color w:val="0F172A"/>
          <w:sz w:val="26"/>
        </w:rPr>
        <w:t>CONSIDERAÇÕES FINAIS, LIMITAÇÕES E AGENDA FUTURA</w:t>
      </w:r>
    </w:p>
    <w:p>
      <w:pPr>
        <w:spacing w:after="120" w:line="300" w:lineRule="auto"/>
        <w:jc w:val="both"/>
      </w:pPr>
      <w:r>
        <w:rPr>
          <w:rFonts w:ascii="Calibri" w:hAnsi="Calibri"/>
          <w:color w:val="334155"/>
          <w:sz w:val="20"/>
        </w:rPr>
        <w:t>Este estudo consolida uma contribuição seminal ao unir a Servitização e os Sistemas Produto-Serviço à gestão de Tecnologias Assistivas no trabalho. Teoricamente, estende a S-D Logic e o modelo MPT ao campo organizacional, demonstrando como a modularidade supera o Paradoxo da Servitização. Gerencialmente, instrumentaliza a migração de Capex para Opex com respaldo tributário e métricas concretas de sustentabilidade ESG (ODS 8 e 10).</w:t>
      </w:r>
    </w:p>
    <w:p>
      <w:pPr>
        <w:spacing w:after="120" w:line="300" w:lineRule="auto"/>
        <w:jc w:val="both"/>
      </w:pPr>
      <w:r>
        <w:rPr>
          <w:rFonts w:ascii="Calibri" w:hAnsi="Calibri"/>
          <w:b/>
          <w:color w:val="0F172A"/>
          <w:sz w:val="20"/>
        </w:rPr>
        <w:t xml:space="preserve">Condições de Contorno e Limitações: </w:t>
      </w:r>
      <w:r>
        <w:rPr>
          <w:rFonts w:ascii="Calibri" w:hAnsi="Calibri"/>
          <w:color w:val="334155"/>
          <w:sz w:val="20"/>
        </w:rPr>
        <w:t>Limitações do Trabalho: (1) Validade ecológica delimitada pelo marco regulatório coercitivo brasileiro (Lei nº 8.213/1991), demandando cautela na extrapolação para mercados voluntários internacionais; (2) Desenho de corte transversal que impede aferição de causalidade de longo prazo (&gt; 5 anos); (3) Fronteira de amortização contábil de TCU em horizontes superiores a 60 meses para hardware hiperdurável; e (4) Risco de viés de desejabilidade social nos questionários de RH.</w:t>
      </w:r>
    </w:p>
    <w:p>
      <w:pPr>
        <w:spacing w:after="120" w:line="300" w:lineRule="auto"/>
        <w:jc w:val="both"/>
      </w:pPr>
      <w:r>
        <w:rPr>
          <w:rFonts w:ascii="Calibri" w:hAnsi="Calibri"/>
          <w:b/>
          <w:color w:val="0F172A"/>
          <w:sz w:val="20"/>
        </w:rPr>
        <w:t xml:space="preserve">Hipóteses para Pesquisa Futura: </w:t>
      </w:r>
      <w:r>
        <w:rPr>
          <w:rFonts w:ascii="Calibri" w:hAnsi="Calibri"/>
          <w:color w:val="334155"/>
          <w:sz w:val="20"/>
        </w:rPr>
        <w:t>Para orientar investigações confirmatórias futuras via modelagem de equações estruturais (PLS-SEM), formulam-se formalmente três hipóteses de pesquisa:</w:t>
        <w:br/>
        <w:t>• H1: A interoperabilidade prévia entre o ecossistema ATaaS e sistemas ERPs corporativos modera positivamente a relação entre servitização e redução do abandono da TA.</w:t>
        <w:br/>
        <w:t>• H2: A governança Privacy by Design sob a LGPD atua como preditor direto do Clima de Implementação e do engajamento do colaborador.</w:t>
        <w:br/>
        <w:t>• H3: A percepção de perda de controle técnico (vendor lock-in) atua como determinante negativo na decisão executiva de migração para o ATaaS.</w:t>
      </w:r>
    </w:p>
    <w:p>
      <w:pPr>
        <w:keepNext/>
        <w:spacing w:before="320" w:after="120"/>
      </w:pPr>
      <w:r>
        <w:rPr>
          <w:rFonts w:ascii="Calibri" w:hAnsi="Calibri"/>
          <w:b/>
          <w:color w:val="0284C7"/>
          <w:sz w:val="26"/>
        </w:rPr>
        <w:t xml:space="preserve">REFERÊNCIAS </w:t>
      </w:r>
      <w:r>
        <w:rPr>
          <w:rFonts w:ascii="Calibri" w:hAnsi="Calibri"/>
          <w:b/>
          <w:color w:val="0F172A"/>
          <w:sz w:val="26"/>
        </w:rPr>
        <w:t>REFERÊNCIAS BIBLIOGRÁFICAS NORMATIZADAS (ABNT NBR 6023)</w:t>
      </w:r>
    </w:p>
    <w:p>
      <w:pPr>
        <w:spacing w:after="60" w:line="276" w:lineRule="auto"/>
      </w:pPr>
      <w:r>
        <w:rPr>
          <w:rFonts w:ascii="Calibri" w:hAnsi="Calibri"/>
          <w:color w:val="334155"/>
          <w:sz w:val="17"/>
        </w:rPr>
        <w:t>BAINES, T. S. et al. State-of-the-art in product-service systems. International Journal of Production Research, v. 45, n. 10, p. 2471–2489, 2009.</w:t>
      </w:r>
    </w:p>
    <w:p>
      <w:pPr>
        <w:spacing w:after="60" w:line="276" w:lineRule="auto"/>
      </w:pPr>
      <w:r>
        <w:rPr>
          <w:rFonts w:ascii="Calibri" w:hAnsi="Calibri"/>
          <w:color w:val="334155"/>
          <w:sz w:val="17"/>
        </w:rPr>
        <w:t>BARDIN, L. Análise de conteúdo. São Paulo: Edições 70, 2016.</w:t>
      </w:r>
    </w:p>
    <w:p>
      <w:pPr>
        <w:spacing w:after="60" w:line="276" w:lineRule="auto"/>
      </w:pPr>
      <w:r>
        <w:rPr>
          <w:rFonts w:ascii="Calibri" w:hAnsi="Calibri"/>
          <w:color w:val="334155"/>
          <w:sz w:val="17"/>
        </w:rPr>
        <w:t>BASK, A. et al. Service modularity and modular service offerings. Service Science, v. 2, n. 4, p. 219–237, 2010.</w:t>
      </w:r>
    </w:p>
    <w:p>
      <w:pPr>
        <w:spacing w:after="60" w:line="276" w:lineRule="auto"/>
      </w:pPr>
      <w:r>
        <w:rPr>
          <w:rFonts w:ascii="Calibri" w:hAnsi="Calibri"/>
          <w:color w:val="334155"/>
          <w:sz w:val="17"/>
        </w:rPr>
        <w:t>BRASIL. Lei nº 8.213, de 24 de julho de 1991. Dispõe sobre os Planos de Benefícios da Previdência Social e dá outras providências [Lei de Cotas]. Brasília, DF: Presidência da República, 1991.</w:t>
      </w:r>
    </w:p>
    <w:p>
      <w:pPr>
        <w:spacing w:after="60" w:line="276" w:lineRule="auto"/>
      </w:pPr>
      <w:r>
        <w:rPr>
          <w:rFonts w:ascii="Calibri" w:hAnsi="Calibri"/>
          <w:color w:val="334155"/>
          <w:sz w:val="17"/>
        </w:rPr>
        <w:t>BRASIL. Lei nº 13.146, de 6 de julho de 2015. Institui a Lei Brasileira de Inclusão da Pessoa com Deficiência. Brasília, DF: Presidência da República, 2015.</w:t>
      </w:r>
    </w:p>
    <w:p>
      <w:pPr>
        <w:spacing w:after="60" w:line="276" w:lineRule="auto"/>
      </w:pPr>
      <w:r>
        <w:rPr>
          <w:rFonts w:ascii="Calibri" w:hAnsi="Calibri"/>
          <w:color w:val="334155"/>
          <w:sz w:val="17"/>
        </w:rPr>
        <w:t>BRASIL. Lei nº 13.709, de 14 de agosto de 2018. Dispõe sobre a proteção de dados pessoais (LGPD). Brasília, DF: Presidência da República, 2018.</w:t>
      </w:r>
    </w:p>
    <w:p>
      <w:pPr>
        <w:spacing w:after="60" w:line="276" w:lineRule="auto"/>
      </w:pPr>
      <w:r>
        <w:rPr>
          <w:rFonts w:ascii="Calibri" w:hAnsi="Calibri"/>
          <w:color w:val="334155"/>
          <w:sz w:val="17"/>
        </w:rPr>
        <w:t>CHESBROUGH, H. Open Innovation: The New Imperative for Creating and Profiting from Technology. Boston: Harvard Business School Press, 2003.</w:t>
      </w:r>
    </w:p>
    <w:p>
      <w:pPr>
        <w:spacing w:after="60" w:line="276" w:lineRule="auto"/>
      </w:pPr>
      <w:r>
        <w:rPr>
          <w:rFonts w:ascii="Calibri" w:hAnsi="Calibri"/>
          <w:color w:val="334155"/>
          <w:sz w:val="17"/>
        </w:rPr>
        <w:t>CRESWELL, J. W.; PLANO CLARK, V. L. Designing and Conducting Mixed Methods Research. 3. ed. Thousand Oaks: SAGE Publications, 2018.</w:t>
      </w:r>
    </w:p>
    <w:p>
      <w:pPr>
        <w:spacing w:after="60" w:line="276" w:lineRule="auto"/>
      </w:pPr>
      <w:r>
        <w:rPr>
          <w:rFonts w:ascii="Calibri" w:hAnsi="Calibri"/>
          <w:color w:val="334155"/>
          <w:sz w:val="17"/>
        </w:rPr>
        <w:t>GEBAUER, H.; FLEISCH, E.; FRIEDLI, T. Overcoming the service paradox in manufacturing companies. European Management Journal, v. 23, n. 1, p. 14–26, 2005.</w:t>
      </w:r>
    </w:p>
    <w:p>
      <w:pPr>
        <w:spacing w:after="60" w:line="276" w:lineRule="auto"/>
      </w:pPr>
      <w:r>
        <w:rPr>
          <w:rFonts w:ascii="Calibri" w:hAnsi="Calibri"/>
          <w:color w:val="334155"/>
          <w:sz w:val="17"/>
        </w:rPr>
        <w:t>KLEIN, K. J.; SORRA, J. S. The challenge of innovation implementation. Academy of Management Review, v. 21, n. 4, p. 1055–1080, 1996.</w:t>
      </w:r>
    </w:p>
    <w:p>
      <w:pPr>
        <w:spacing w:after="60" w:line="276" w:lineRule="auto"/>
      </w:pPr>
      <w:r>
        <w:rPr>
          <w:rFonts w:ascii="Calibri" w:hAnsi="Calibri"/>
          <w:color w:val="334155"/>
          <w:sz w:val="17"/>
        </w:rPr>
        <w:t>KOWALKOWSKI, C.; GEBAUER, H.; OLIVA, R. Service growth in product firms: Emerging perspectives. Journal of Service Management, v. 28, n. 1, p. 2–18, 2017.</w:t>
      </w:r>
    </w:p>
    <w:p>
      <w:pPr>
        <w:spacing w:after="60" w:line="276" w:lineRule="auto"/>
      </w:pPr>
      <w:r>
        <w:rPr>
          <w:rFonts w:ascii="Calibri" w:hAnsi="Calibri"/>
          <w:color w:val="334155"/>
          <w:sz w:val="17"/>
        </w:rPr>
        <w:t>LEONARD-BARTON, D. Implementation as mutual adaptation of technology and organization. Research Policy, v. 17, n. 5, p. 251–267, 1988.</w:t>
      </w:r>
    </w:p>
    <w:p>
      <w:pPr>
        <w:spacing w:after="60" w:line="276" w:lineRule="auto"/>
      </w:pPr>
      <w:r>
        <w:rPr>
          <w:rFonts w:ascii="Calibri" w:hAnsi="Calibri"/>
          <w:color w:val="334155"/>
          <w:sz w:val="17"/>
        </w:rPr>
        <w:t>ORGANIZAÇÃO DAS NAÇÕES UNIDAS (ONU). Transformando Nosso Mundo: A Agenda 2030 para o Desenvolvimento Sustentável. Nova York: Nações Unidas, 2015.</w:t>
      </w:r>
    </w:p>
    <w:p>
      <w:pPr>
        <w:spacing w:after="60" w:line="276" w:lineRule="auto"/>
      </w:pPr>
      <w:r>
        <w:rPr>
          <w:rFonts w:ascii="Calibri" w:hAnsi="Calibri"/>
          <w:color w:val="334155"/>
          <w:sz w:val="17"/>
        </w:rPr>
        <w:t>OSTERWALDER, A.; PIGNEUR, Y. Business Model Generation: Inovação em Modelos de Negócios. Rio de Janeiro: Alta Books, 2010.</w:t>
      </w:r>
    </w:p>
    <w:p>
      <w:pPr>
        <w:spacing w:after="60" w:line="276" w:lineRule="auto"/>
      </w:pPr>
      <w:r>
        <w:rPr>
          <w:rFonts w:ascii="Calibri" w:hAnsi="Calibri"/>
          <w:color w:val="334155"/>
          <w:sz w:val="17"/>
        </w:rPr>
        <w:t>PAGE, M. J. et al. The PRISMA 2020 statement: an updated guideline for reporting systematic reviews. BMJ, v. 372, n. n71, 2021.</w:t>
      </w:r>
    </w:p>
    <w:p>
      <w:pPr>
        <w:spacing w:after="60" w:line="276" w:lineRule="auto"/>
      </w:pPr>
      <w:r>
        <w:rPr>
          <w:rFonts w:ascii="Calibri" w:hAnsi="Calibri"/>
          <w:color w:val="334155"/>
          <w:sz w:val="17"/>
        </w:rPr>
        <w:t>PISANO, G. P. You need an innovation strategy. Harvard Business Review, v. 93, n. 6, p. 44–54, 2015.</w:t>
      </w:r>
    </w:p>
    <w:p>
      <w:pPr>
        <w:spacing w:after="60" w:line="276" w:lineRule="auto"/>
      </w:pPr>
      <w:r>
        <w:rPr>
          <w:rFonts w:ascii="Calibri" w:hAnsi="Calibri"/>
          <w:color w:val="334155"/>
          <w:sz w:val="17"/>
        </w:rPr>
        <w:t>SCHERER, M. J. Assessing the benefits of using assistive technologies and other accommodations in education and the workplace. Disability and Rehabilitation, v. 27, n. 21, p. 1327–1339, 2005.</w:t>
      </w:r>
    </w:p>
    <w:p>
      <w:pPr>
        <w:spacing w:after="60" w:line="276" w:lineRule="auto"/>
      </w:pPr>
      <w:r>
        <w:rPr>
          <w:rFonts w:ascii="Calibri" w:hAnsi="Calibri"/>
          <w:color w:val="334155"/>
          <w:sz w:val="17"/>
        </w:rPr>
        <w:t>SUGAWARA, A. T. et al. Abandonment of assistive technology in Brazil: study of associated factors. Brazilian Journal of Physical Therapy, v. 22, n. 5, p. 401–407, 2018.</w:t>
      </w:r>
    </w:p>
    <w:p>
      <w:pPr>
        <w:spacing w:after="60" w:line="276" w:lineRule="auto"/>
      </w:pPr>
      <w:r>
        <w:rPr>
          <w:rFonts w:ascii="Calibri" w:hAnsi="Calibri"/>
          <w:color w:val="334155"/>
          <w:sz w:val="17"/>
        </w:rPr>
        <w:t>TEECE, D. J. Business models, business strategy and innovation. Long Range Planning, v. 43, n. 2–3, p. 172–194, 2010.</w:t>
      </w:r>
    </w:p>
    <w:p>
      <w:pPr>
        <w:spacing w:after="60" w:line="276" w:lineRule="auto"/>
      </w:pPr>
      <w:r>
        <w:rPr>
          <w:rFonts w:ascii="Calibri" w:hAnsi="Calibri"/>
          <w:color w:val="334155"/>
          <w:sz w:val="17"/>
        </w:rPr>
        <w:t>TIDD, J.; BESSANT, J. Gestão da Inovação. 5. ed. Porto Alegre: Bookman, 2015.</w:t>
      </w:r>
    </w:p>
    <w:p>
      <w:pPr>
        <w:spacing w:after="60" w:line="276" w:lineRule="auto"/>
      </w:pPr>
      <w:r>
        <w:rPr>
          <w:rFonts w:ascii="Calibri" w:hAnsi="Calibri"/>
          <w:color w:val="334155"/>
          <w:sz w:val="17"/>
        </w:rPr>
        <w:t>TORNATZKY, L. G.; FLEISCHER, M. The Processes of Technological Innovation. Lexington: Lexington Books, 1990.</w:t>
      </w:r>
    </w:p>
    <w:p>
      <w:pPr>
        <w:spacing w:after="60" w:line="276" w:lineRule="auto"/>
      </w:pPr>
      <w:r>
        <w:rPr>
          <w:rFonts w:ascii="Calibri" w:hAnsi="Calibri"/>
          <w:color w:val="334155"/>
          <w:sz w:val="17"/>
        </w:rPr>
        <w:t>TUKKER, A. Eight types of product-service system: eight ways to sustainability? Business Strategy and the Environment, v. 13, n. 4, p. 246–260, 2004.</w:t>
      </w:r>
    </w:p>
    <w:p>
      <w:pPr>
        <w:spacing w:after="60" w:line="276" w:lineRule="auto"/>
      </w:pPr>
      <w:r>
        <w:rPr>
          <w:rFonts w:ascii="Calibri" w:hAnsi="Calibri"/>
          <w:color w:val="334155"/>
          <w:sz w:val="17"/>
        </w:rPr>
        <w:t>VANDERMERWE, S.; RADA, J. Servitization of business: adding value by adding services. European Management Journal, v. 6, n. 4, p. 314–324, 1988.</w:t>
      </w:r>
    </w:p>
    <w:p>
      <w:pPr>
        <w:spacing w:after="60" w:line="276" w:lineRule="auto"/>
      </w:pPr>
      <w:r>
        <w:rPr>
          <w:rFonts w:ascii="Calibri" w:hAnsi="Calibri"/>
          <w:color w:val="334155"/>
          <w:sz w:val="17"/>
        </w:rPr>
        <w:t>VARGO, S. L.; LUSCH, R. F. Service-dominant logic: continuing the evolution. Journal of the Academy of Marketing Science, v. 44, n. 1, p. 5–23, 2016.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