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C1401"/>
          <w:sz w:val="18"/>
          <w:szCs w:val="18"/>
        </w:rPr>
        <w:t xml:space="preserve">TACNA SERVICES - INVENTARIO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124"/>
          <w:sz w:val="40"/>
          <w:szCs w:val="40"/>
        </w:rPr>
        <w:t xml:space="preserve">Observación de Control de Inventarios</w:t>
      </w:r>
    </w:p>
    <w:p>
      <w:pPr>
        <w:spacing w:after="60"/>
      </w:pPr>
      <w:r>
        <w:rPr>
          <w:rFonts w:ascii="Calibri" w:cs="Calibri" w:eastAsia="Calibri" w:hAnsi="Calibri"/>
          <w:color w:val="5A5E63"/>
          <w:sz w:val="21"/>
          <w:szCs w:val="21"/>
        </w:rPr>
        <w:t xml:space="preserve">Cliente MASTERPIECE · Conteo físico independiente · Junio 2026 (costos julio 2026) · Versión 4 · uso interno</w:t>
      </w:r>
    </w:p>
    <w:p>
      <w:pPr>
        <w:pBdr>
          <w:bottom w:val="single" w:color="BC1401" w:sz="8"/>
        </w:pBdr>
        <w:spacing w:after="240"/>
      </w:pPr>
      <w:r>
        <w:rPr>
          <w:sz w:val="8"/>
          <w:szCs w:val="8"/>
        </w:rPr>
        <w:t xml:space="preserve"> 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1. Resumen ejecutivo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El conteo físico independiente sobre las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19 partidas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 activas del inventario confirma un problema estructural de control: al surtir materiales a producción los registros se eliminan del sistema, por lo que no existe trazabilidad del material en proceso. La consecuencia es medible y material: el Anexo 24 (SEER) registra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$518,194.78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 en importaciones temporales vigentes contra un inventario físico valuado en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$187,525.77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, dejando un </w:t>
      </w:r>
      <w:r>
        <w:rPr>
          <w:rFonts w:ascii="Calibri" w:cs="Calibri" w:eastAsia="Calibri" w:hAnsi="Calibri"/>
          <w:b/>
          <w:bCs/>
          <w:color w:val="9A1001"/>
          <w:sz w:val="22"/>
          <w:szCs w:val="22"/>
        </w:rPr>
        <w:t xml:space="preserve">saldo sobrante de $330,669.51 — el 64% del valor del anexo sin respaldo físico en piso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. La línea base de control es igualmente contundente: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ninguna de las 19 partidas concilia dentro de una tolerancia de ±2%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 (14 faltantes, 5 excedentes, 0 conciliadas) y la </w:t>
      </w:r>
      <w:r>
        <w:rPr>
          <w:rFonts w:ascii="Calibri" w:cs="Calibri" w:eastAsia="Calibri" w:hAnsi="Calibri"/>
          <w:b/>
          <w:bCs/>
          <w:color w:val="9A1001"/>
          <w:sz w:val="22"/>
          <w:szCs w:val="22"/>
        </w:rPr>
        <w:t xml:space="preserve">exactitud de inventario valorizada es de 36.2%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 — contra un mínimo operativo de 95%. Adicionalmente se identificó el riesgo inverso: mercancía física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sin registro en el anexo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, cuya procedencia debe acreditarse o regularizarse.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2. Exposición financiera y aduanera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Saldos oficiales tomados de la Hoja 1, celdas B23:C25, del archivo de conciliación:</w:t>
      </w:r>
    </w:p>
    <w:tbl>
      <w:tblPr>
        <w:tblW w:type="dxa" w:w="9800"/>
        <w:tblBorders>
          <w:top w:val="single" w:color="D9DBDD" w:sz="4"/>
          <w:left w:val="single" w:color="D9DBDD" w:sz="4"/>
          <w:bottom w:val="single" w:color="D9DBDD" w:sz="4"/>
          <w:right w:val="single" w:color="D9DBDD" w:sz="4"/>
          <w:insideH w:val="single" w:color="D9DBDD" w:sz="4"/>
          <w:insideV w:val="single" w:color="D9DBDD" w:sz="4"/>
        </w:tblBorders>
      </w:tblPr>
      <w:tblGrid>
        <w:gridCol w:w="4200"/>
        <w:gridCol w:w="2800"/>
        <w:gridCol w:w="2800"/>
      </w:tblGrid>
      <w:tr>
        <w:trPr>
          <w:tblHeader/>
        </w:trPr>
        <w:tc>
          <w:tcPr>
            <w:tcW w:type="dxa" w:w="42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 (Hoja 1 · B23:C25)</w:t>
            </w:r>
          </w:p>
        </w:tc>
        <w:tc>
          <w:tcPr>
            <w:tcW w:type="dxa" w:w="28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(USD)</w:t>
            </w:r>
          </w:p>
        </w:tc>
        <w:tc>
          <w:tcPr>
            <w:tcW w:type="dxa" w:w="28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Saldo en Anexo 24 (SEER)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$518,194.78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Importado temporalmente vigente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Saldo Inventario Físico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$187,525.77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Valuación del conteo (costos Jul 2026)</w:t>
            </w:r>
          </w:p>
        </w:tc>
      </w:tr>
      <w:tr>
        <w:tc>
          <w:tcPr>
            <w:tcW w:type="dxa" w:w="420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Saldo Sobrante</w:t>
            </w:r>
          </w:p>
        </w:tc>
        <w:tc>
          <w:tcPr>
            <w:tcW w:type="dxa" w:w="280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$330,669.51</w:t>
            </w:r>
          </w:p>
        </w:tc>
        <w:tc>
          <w:tcPr>
            <w:tcW w:type="dxa" w:w="280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64% del anexo sin respaldo físico</w:t>
            </w:r>
          </w:p>
        </w:tc>
      </w:tr>
    </w:tbl>
    <w:p>
      <w:pPr>
        <w:spacing w:after="60"/>
        <w:jc w:val="both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Nota de conciliación: </w:t>
      </w:r>
      <w:r>
        <w:rPr>
          <w:rFonts w:ascii="Calibri" w:cs="Calibri" w:eastAsia="Calibri" w:hAnsi="Calibri"/>
          <w:i/>
          <w:iCs/>
          <w:color w:val="5A5E63"/>
          <w:sz w:val="22"/>
          <w:szCs w:val="22"/>
        </w:rPr>
        <w:t xml:space="preserve">las tres cifras del sheet presentan una diferencia de redondeo de $0.50 (518,194.78 − 187,525.77 = 330,669.01). Se recomienda corregir la celda de origen antes de cualquier presentación a dirección.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El saldo sobrante representa la exposición aduanera de referencia: material que el Anexo 24 asume importado temporalmente y que no apareció en el conteo. Sus causas probables son descargos pendientes de aplicar, mermas y scrap no reportados, retornos no documentados y errores de captura — todas verificables partida por partida con la evidencia fotográfica del conteo.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3. Línea base de exactitud y tablero de KPIs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Métricas de seguimiento del programa, calculadas desde el conteo de junio. La exactitud valorizada se define como 1 − (saldo sobrante / saldo anexo); la exactitud por partida usa tolerancia de ±2% contra el saldo del anexo. Estos valores alimentan la línea base de la sesión de entrenamiento (“nuestra meta de exactitud”).</w:t>
      </w:r>
    </w:p>
    <w:tbl>
      <w:tblPr>
        <w:tblW w:type="dxa" w:w="9800"/>
        <w:tblBorders>
          <w:top w:val="single" w:color="D9DBDD" w:sz="4"/>
          <w:left w:val="single" w:color="D9DBDD" w:sz="4"/>
          <w:bottom w:val="single" w:color="D9DBDD" w:sz="4"/>
          <w:right w:val="single" w:color="D9DBDD" w:sz="4"/>
          <w:insideH w:val="single" w:color="D9DBDD" w:sz="4"/>
          <w:insideV w:val="single" w:color="D9DBDD" w:sz="4"/>
        </w:tblBorders>
      </w:tblPr>
      <w:tblGrid>
        <w:gridCol w:w="3050"/>
        <w:gridCol w:w="1750"/>
        <w:gridCol w:w="1750"/>
        <w:gridCol w:w="1250"/>
        <w:gridCol w:w="2000"/>
      </w:tblGrid>
      <w:tr>
        <w:trPr>
          <w:tblHeader/>
        </w:trPr>
        <w:tc>
          <w:tcPr>
            <w:tcW w:type="dxa" w:w="30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7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Línea base (Jun 2026)</w:t>
            </w:r>
          </w:p>
        </w:tc>
        <w:tc>
          <w:tcPr>
            <w:tcW w:type="dxa" w:w="17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 90 días</w:t>
            </w:r>
          </w:p>
        </w:tc>
        <w:tc>
          <w:tcPr>
            <w:tcW w:type="dxa" w:w="12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20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30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Exactitud de inventario valorizada (1 − sobrante/anexo)</w:t>
            </w:r>
          </w:p>
        </w:tc>
        <w:tc>
          <w:tcPr>
            <w:tcW w:type="dxa" w:w="17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36.2%</w:t>
            </w:r>
          </w:p>
        </w:tc>
        <w:tc>
          <w:tcPr>
            <w:tcW w:type="dxa" w:w="17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≥ 95%</w:t>
            </w:r>
          </w:p>
        </w:tc>
        <w:tc>
          <w:tcPr>
            <w:tcW w:type="dxa" w:w="12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Mensual</w:t>
            </w:r>
          </w:p>
        </w:tc>
        <w:tc>
          <w:tcPr>
            <w:tcW w:type="dxa" w:w="200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Inventarios TACNA</w:t>
            </w:r>
          </w:p>
        </w:tc>
      </w:tr>
      <w:tr>
        <w:tc>
          <w:tcPr>
            <w:tcW w:type="dxa" w:w="30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Exactitud por partida (tolerancia ±2% vs. anexo)</w:t>
            </w:r>
          </w:p>
        </w:tc>
        <w:tc>
          <w:tcPr>
            <w:tcW w:type="dxa" w:w="17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0/19 (0%)</w:t>
            </w:r>
          </w:p>
        </w:tc>
        <w:tc>
          <w:tcPr>
            <w:tcW w:type="dxa" w:w="17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≥ 90% de partidas</w:t>
            </w:r>
          </w:p>
        </w:tc>
        <w:tc>
          <w:tcPr>
            <w:tcW w:type="dxa" w:w="12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Mensual</w:t>
            </w:r>
          </w:p>
        </w:tc>
        <w:tc>
          <w:tcPr>
            <w:tcW w:type="dxa" w:w="200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Inventarios TACNA</w:t>
            </w:r>
          </w:p>
        </w:tc>
      </w:tr>
      <w:tr>
        <w:tc>
          <w:tcPr>
            <w:tcW w:type="dxa" w:w="30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Saldo sobrante (USD)</w:t>
            </w:r>
          </w:p>
        </w:tc>
        <w:tc>
          <w:tcPr>
            <w:tcW w:type="dxa" w:w="17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$330,669.51</w:t>
            </w:r>
          </w:p>
        </w:tc>
        <w:tc>
          <w:tcPr>
            <w:tcW w:type="dxa" w:w="17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≤ $66,000 (−80%)</w:t>
            </w:r>
          </w:p>
        </w:tc>
        <w:tc>
          <w:tcPr>
            <w:tcW w:type="dxa" w:w="125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Mensual</w:t>
            </w:r>
          </w:p>
        </w:tc>
        <w:tc>
          <w:tcPr>
            <w:tcW w:type="dxa" w:w="2000"/>
            <w:shd w:fill="F5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Aduanas / Anexo 24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Partidas críticas abiertas (≥90% var. o sin registro)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6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Semanal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Operaciones cliente + TACNA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Claves sin mapeo en sistema (#N/D) en partidas activas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Semanal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Sistemas cliente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Claves con UM homologada anexo ↔ conteo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10/19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19/19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Semanal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Inventarios / Aduanas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Mermas y scrap con aviso de destrucción presentado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0%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Mensual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Aduanas / Anexo 24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Cobertura de conteo cíclico ABC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0%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A: semanal · B: quincenal · C: mensual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Semanal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Almacén cliente</w:t>
            </w:r>
          </w:p>
        </w:tc>
      </w:tr>
    </w:tbl>
    <w:p>
      <w:pPr>
        <w:spacing w:after="60"/>
        <w:jc w:val="both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Nota sobre claves sin mapeo: </w:t>
      </w:r>
      <w:r>
        <w:rPr>
          <w:rFonts w:ascii="Calibri" w:cs="Calibri" w:eastAsia="Calibri" w:hAnsi="Calibri"/>
          <w:i/>
          <w:iCs/>
          <w:color w:val="5A5E63"/>
          <w:sz w:val="22"/>
          <w:szCs w:val="22"/>
        </w:rPr>
        <w:t xml:space="preserve">el ejercicio completo identificó 7 números de parte sin mapeo en sistema; tras retirar del listado 9 claves sin saldo en anexo ni existencia física, permanecen 2 activas. La meta las lleva a cero.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4. Partidas críticas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Seis partidas concentran la criticidad de la conciliación (variación ≥ 90% o existencia sin registro):</w:t>
      </w:r>
    </w:p>
    <w:tbl>
      <w:tblPr>
        <w:tblW w:type="dxa" w:w="9800"/>
        <w:tblBorders>
          <w:top w:val="single" w:color="D9DBDD" w:sz="4"/>
          <w:left w:val="single" w:color="D9DBDD" w:sz="4"/>
          <w:bottom w:val="single" w:color="D9DBDD" w:sz="4"/>
          <w:right w:val="single" w:color="D9DBDD" w:sz="4"/>
          <w:insideH w:val="single" w:color="D9DBDD" w:sz="4"/>
          <w:insideV w:val="single" w:color="D9DBDD" w:sz="4"/>
        </w:tblBorders>
      </w:tblPr>
      <w:tblGrid>
        <w:gridCol w:w="1450"/>
        <w:gridCol w:w="1650"/>
        <w:gridCol w:w="1550"/>
        <w:gridCol w:w="1550"/>
        <w:gridCol w:w="900"/>
        <w:gridCol w:w="1450"/>
        <w:gridCol w:w="1250"/>
      </w:tblGrid>
      <w:tr>
        <w:trPr>
          <w:tblHeader/>
        </w:trPr>
        <w:tc>
          <w:tcPr>
            <w:tcW w:type="dxa" w:w="14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16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Saldo Anexo (SEER)</w:t>
            </w:r>
          </w:p>
        </w:tc>
        <w:tc>
          <w:tcPr>
            <w:tcW w:type="dxa" w:w="15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Físico (Loc + WIP)</w:t>
            </w:r>
          </w:p>
        </w:tc>
        <w:tc>
          <w:tcPr>
            <w:tcW w:type="dxa" w:w="15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Diferencia</w:t>
            </w:r>
          </w:p>
        </w:tc>
        <w:tc>
          <w:tcPr>
            <w:tcW w:type="dxa" w:w="9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Var</w:t>
            </w:r>
          </w:p>
        </w:tc>
        <w:tc>
          <w:tcPr>
            <w:tcW w:type="dxa" w:w="14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5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UM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LABEL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106,798.27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−106,798.27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−100%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Faltante total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PCS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BOTTLE-A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2,947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−2,947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−100%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Faltante total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PCS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LINICANR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11,781,555.91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349,709.73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−11,431,846.18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−97%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Faltante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IN²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LINICANP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14,841,823.29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1,179,416.77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−13,662,406.52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−92%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Faltante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IN²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COTICANP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17,371,388.60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9"/>
                <w:szCs w:val="19"/>
              </w:rPr>
              <w:t xml:space="preserve">+17,371,388.60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s/saldo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No registrado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IN²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LABEL-PAPER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106,629.99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217,324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9"/>
                <w:szCs w:val="19"/>
              </w:rPr>
              <w:t xml:space="preserve">+110,694.01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+104%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Excedente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PCS</w:t>
            </w:r>
          </w:p>
        </w:tc>
      </w:tr>
    </w:tbl>
    <w:p>
      <w:pPr>
        <w:spacing w:after="60"/>
        <w:jc w:val="both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En magnitud absoluta, los faltantes se concentran en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textiles y madera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: COTDCANP (−46.2 millones de IN², −65%), LINICANP/LINICANR y LUMBPINE-BF (−240,457 BFT, −83%). Esto confirma la instrucción de verificar consumos y scrap de tela y madera, y aplicar cambio de régimen, retorno en su mismo estado o transferencia virtual (V1) según corresponda.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5. Excedentes sin registro — ruta de regularización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A diferencia del faltante (que sugiere operaciones pendientes de reportar), el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excedente sin amparo documental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 implica mercancía en planta cuya legal estancia no está acreditada. Aquí el remedio no es el retorno sino la regularización: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COTICANP: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17,371,388.60 IN² físicos con saldo cero en anexo — el caso más severo.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LABEL-PAPER: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217,324 pzas contra 106,629.99 registradas (+104% sobre lo amparado).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CARTON TUBE KRAFT 84":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2,585 pzas físicas contra 1,636 en anexo, sin mapeo en sistema (#N/D).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Acciones: acreditar procedencia con pedimentos/facturas; de no ser posible, regularizar mediante importación definitiva con pago de contribuciones, o realizar una reestructura del Anexo 24 para consumir dichos consumos. Mientras se resuelve, suspender el consumo de estas claves para no agravar la diferencia.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6. Calidad de datos del catálogo de materiales y BOMs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BOMs con unidades de medida incorrectas: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conversión directa BFT→M³ en madera; además GAL/PAIL (AlkydPrimer), PCS/Sheet (PLYWOOD) y cinco partidas contadas en unidades distintas al IN²/BFT del anexo. Toda cifra de consumo derivada de estos BOMs es incorrecta hasta normalizar.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7 números de parte sin mapeo en sistema (#N/D):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evidencia directa de claves faltantes en el ERP del cliente.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Mismos números de parte para materiales distintos: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deberán darse de alta por número de parte con su valor correcto, para efectos de la manifestación de valor.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Etiquetado y descripciones incorrectas contra el físico: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p. ej. descripción registrada vs. botella de plástico y etiquetas de papel impresas encontradas en piso; etiquetas sin número de parte ni unidad de medida.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7. Recomendaciones de proceso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El objetivo es mantener la trazabilidad del material desde que sale del almacén hasta que se consume o se convierte en producto terminado: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Almacén virtual de Producción (WIP):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transferir en lugar de eliminar; flujo Materia Prima → WIP → Producto Terminado, conservando historial.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Órdenes de producción: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toda salida asociada a una orden; consumo real vs. teórico; detección de mermas.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Inventarios separados: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materia prima, WIP, producto terminado y scrap/merma.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Escaneo de códigos de barras/QR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en surtido, consumo e ingreso de producto terminado.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Conteos cíclicos ABC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y reporte diario de consumo de producción (recibido, consumido, devuelto, merma, producido).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Kanban visual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con ubicaciones codificadas (Área-Rack-Nivel-Posición) y niveles mín/máx.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Obligación complementaria: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la merma y el scrap también se reportan ante la autoridad (destrucción con aviso); de lo contrario el material permanece “vivo” en el Anexo 24 y la brecha nunca cierra.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8. Matriz de riesgos y mitigación</w:t>
      </w:r>
    </w:p>
    <w:tbl>
      <w:tblPr>
        <w:tblW w:type="dxa" w:w="9800"/>
        <w:tblBorders>
          <w:top w:val="single" w:color="D9DBDD" w:sz="4"/>
          <w:left w:val="single" w:color="D9DBDD" w:sz="4"/>
          <w:bottom w:val="single" w:color="D9DBDD" w:sz="4"/>
          <w:right w:val="single" w:color="D9DBDD" w:sz="4"/>
          <w:insideH w:val="single" w:color="D9DBDD" w:sz="4"/>
          <w:insideV w:val="single" w:color="D9DBDD" w:sz="4"/>
        </w:tblBorders>
      </w:tblPr>
      <w:tblGrid>
        <w:gridCol w:w="1300"/>
        <w:gridCol w:w="2900"/>
        <w:gridCol w:w="2900"/>
        <w:gridCol w:w="1500"/>
        <w:gridCol w:w="1200"/>
      </w:tblGrid>
      <w:tr>
        <w:trPr>
          <w:tblHeader/>
        </w:trPr>
        <w:tc>
          <w:tcPr>
            <w:tcW w:type="dxa" w:w="13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9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9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type="dxa" w:w="15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00"/>
            <w:shd w:fill="BC140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Aduanero / IMMEX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Mercancía física sin amparo documental (COTICANP, LABEL-PAPER, CARTON TUBE): procedencia no acreditada ante autoridad.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Regularización: importación definitiva con pago de contribuciones (regla 2.5.2) o acreditación documental; suspender consumo de estas claves hasta resolver.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Aduanas / Comercio Exterior TACNA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Fiscal / financiero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Saldo sobrante de $330,669.51 (faltantes): descargos, mermas y retornos no reportados pueden derivar en contribuciones omitidas más accesorios.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Depurar descargos pendientes en Anexo 24; documentar mermas/scrap con avisos de destrucción; cambio de régimen, retorno en su mismo estado o transferencia virtual (V1) para tela y madera.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Aduanas + Finanzas TACNA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1001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Operativo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Eliminación de registros al surtir a producción: sin trazabilidad de WIP ni consumos reales vs. teóricos.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Almacén virtual “Producción/WIP”, órdenes de producción, reporte diario de consumo, escaneo de movimientos.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Operaciones cliente + TACNA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124"/>
                <w:sz w:val="19"/>
                <w:szCs w:val="19"/>
              </w:rPr>
              <w:t xml:space="preserve">Calidad de datos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BOMs con UM incorrectas (BFT→M³, GAL/PAIL, PCS/Sheet, IN²), claves sin mapeo en sistema (#N/D), mismos números de parte para materiales distintos, descripciones que no corresponden al físico.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Capa de conversión de UM; alta por número de parte con valor correcto (manifestación de valor); depurar el catálogo de materiales y el etiquetado físico.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124"/>
                <w:sz w:val="19"/>
                <w:szCs w:val="19"/>
              </w:rPr>
              <w:t xml:space="preserve">Inventarios + Sistemas cliente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A1001"/>
          <w:sz w:val="28"/>
          <w:szCs w:val="28"/>
        </w:rPr>
        <w:t xml:space="preserve">9. Meta y plan a 90 días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F2124"/>
          <w:sz w:val="22"/>
          <w:szCs w:val="22"/>
        </w:rPr>
        <w:t xml:space="preserve">Este reporte se acompaña de dos sesiones de entrenamiento ya preparadas (“Exactitud de Inventario” e “Inducción Kanban”). La meta comprometida es </w:t>
      </w: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exactitud de inventario ≥ 95% en 90 días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, con el siguiente plan (la línea base de 36.2% alimenta la lámina “Nuestra meta de exactitud” del entrenamiento):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Semanas 1–2: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línea base — conteo total y cálculo de exactitud inicial por partida.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Semanas 3–4: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estandarizar unidades de medida y codificar ubicaciones.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Semanas 5–6: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conciliar y ajustar Anexo 24 con evidencia (descargos, regularizaciones).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Semanas 7–9: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piloto Kanban en una familia de producto + conteos cíclicos ABC.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color w:val="1F2124"/>
          <w:sz w:val="22"/>
          <w:szCs w:val="22"/>
        </w:rPr>
        <w:t xml:space="preserve">Semanas 10–12: </w:t>
      </w:r>
      <w:r>
        <w:rPr>
          <w:rFonts w:ascii="Calibri" w:cs="Calibri" w:eastAsia="Calibri" w:hAnsi="Calibri"/>
          <w:color w:val="1F2124"/>
          <w:sz w:val="22"/>
          <w:szCs w:val="22"/>
        </w:rPr>
        <w:t xml:space="preserve">sostener — tablero de KPI, auditoría y despliegue al resto de la planta.</w:t>
      </w:r>
    </w:p>
    <w:sectPr>
      <w:footerReference w:type="default" r:id="rId7"/>
      <w:pgSz w:w="12240" w:h="15840" w:orient="portrait"/>
      <w:pgMar w:top="1200" w:right="1220" w:bottom="120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BDD" w:sz="4"/>
      </w:pBdr>
      <w:jc w:val="right"/>
    </w:pPr>
    <w:r>
      <w:rPr>
        <w:rFonts w:ascii="Calibri" w:cs="Calibri" w:eastAsia="Calibri" w:hAnsi="Calibri"/>
        <w:color w:val="5A5E63"/>
        <w:sz w:val="16"/>
        <w:szCs w:val="16"/>
      </w:rPr>
      <w:t xml:space="preserve">TACNA · Conciliación interna MASTERPIECE — confidencial   ·   Pág. </w:t>
    </w:r>
    <w:r>
      <w:rPr>
        <w:rFonts w:ascii="Calibri" w:cs="Calibri" w:eastAsia="Calibri" w:hAnsi="Calibri"/>
        <w:color w:val="5A5E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2026-07-03T00:10:45.348Z</dcterms:created>
  <dcterms:modified xsi:type="dcterms:W3CDTF">2026-07-03T00:10:45.361Z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