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C1401"/>
          <w:sz w:val="18"/>
          <w:szCs w:val="18"/>
        </w:rPr>
        <w:t xml:space="preserve">TACNA SERVICES - INVENTORY</w:t>
      </w:r>
    </w:p>
    <w:p>
      <w:pPr>
        <w:spacing w:after="60"/>
      </w:pPr>
      <w:r>
        <w:rPr>
          <w:rFonts w:ascii="Calibri" w:cs="Calibri" w:eastAsia="Calibri" w:hAnsi="Calibri"/>
          <w:b/>
          <w:bCs/>
          <w:color w:val="1F2124"/>
          <w:sz w:val="40"/>
          <w:szCs w:val="40"/>
        </w:rPr>
        <w:t xml:space="preserve">Inventory Control Observation</w:t>
      </w:r>
    </w:p>
    <w:p>
      <w:pPr>
        <w:spacing w:after="60"/>
      </w:pPr>
      <w:r>
        <w:rPr>
          <w:rFonts w:ascii="Calibri" w:cs="Calibri" w:eastAsia="Calibri" w:hAnsi="Calibri"/>
          <w:color w:val="5A5E63"/>
          <w:sz w:val="21"/>
          <w:szCs w:val="21"/>
        </w:rPr>
        <w:t xml:space="preserve">MASTERPIECE · Independent physical inventory count · June 2026 (July 2026 costs) · Version 4</w:t>
      </w:r>
    </w:p>
    <w:p>
      <w:pPr>
        <w:pBdr>
          <w:bottom w:val="single" w:color="BC1401" w:sz="8"/>
        </w:pBdr>
        <w:spacing w:after="240"/>
      </w:pPr>
      <w:r>
        <w:rPr>
          <w:sz w:val="8"/>
          <w:szCs w:val="8"/>
        </w:rPr>
        <w:t xml:space="preserve"> </w:t>
      </w:r>
    </w:p>
    <w:p>
      <w:pPr>
        <w:pStyle w:val="Heading1"/>
        <w:spacing w:after="160" w:before="320"/>
      </w:pPr>
      <w:r>
        <w:rPr>
          <w:rFonts w:ascii="Calibri" w:cs="Calibri" w:eastAsia="Calibri" w:hAnsi="Calibri"/>
          <w:b/>
          <w:bCs/>
          <w:color w:val="9A1001"/>
          <w:sz w:val="28"/>
          <w:szCs w:val="28"/>
        </w:rPr>
        <w:t xml:space="preserve">1. Executive summary</w:t>
      </w:r>
    </w:p>
    <w:p>
      <w:pPr>
        <w:spacing w:after="160" w:line="276"/>
        <w:jc w:val="both"/>
      </w:pPr>
      <w:r>
        <w:rPr>
          <w:rFonts w:ascii="Calibri" w:cs="Calibri" w:eastAsia="Calibri" w:hAnsi="Calibri"/>
          <w:color w:val="1F2124"/>
          <w:sz w:val="22"/>
          <w:szCs w:val="22"/>
        </w:rPr>
        <w:t xml:space="preserve">The independent physical count of the </w:t>
      </w:r>
      <w:r>
        <w:rPr>
          <w:rFonts w:ascii="Calibri" w:cs="Calibri" w:eastAsia="Calibri" w:hAnsi="Calibri"/>
          <w:b/>
          <w:bCs/>
          <w:color w:val="1F2124"/>
          <w:sz w:val="22"/>
          <w:szCs w:val="22"/>
        </w:rPr>
        <w:t xml:space="preserve">19 line items</w:t>
      </w:r>
      <w:r>
        <w:rPr>
          <w:rFonts w:ascii="Calibri" w:cs="Calibri" w:eastAsia="Calibri" w:hAnsi="Calibri"/>
          <w:color w:val="1F2124"/>
          <w:sz w:val="22"/>
          <w:szCs w:val="22"/>
        </w:rPr>
        <w:t xml:space="preserve"> of the active inventory confirms a structural inventory-control issue: when materials are issued to production, the corresponding records are deleted from the system, so there is no traceability of work-in-process material. The consequence is measurable and material: Annex 24 (SEER) records </w:t>
      </w:r>
      <w:r>
        <w:rPr>
          <w:rFonts w:ascii="Calibri" w:cs="Calibri" w:eastAsia="Calibri" w:hAnsi="Calibri"/>
          <w:b/>
          <w:bCs/>
          <w:color w:val="1F2124"/>
          <w:sz w:val="22"/>
          <w:szCs w:val="22"/>
        </w:rPr>
        <w:t xml:space="preserve">$518,194.78</w:t>
      </w:r>
      <w:r>
        <w:rPr>
          <w:rFonts w:ascii="Calibri" w:cs="Calibri" w:eastAsia="Calibri" w:hAnsi="Calibri"/>
          <w:color w:val="1F2124"/>
          <w:sz w:val="22"/>
          <w:szCs w:val="22"/>
        </w:rPr>
        <w:t xml:space="preserve"> in active temporary imports against a physical inventory valued at </w:t>
      </w:r>
      <w:r>
        <w:rPr>
          <w:rFonts w:ascii="Calibri" w:cs="Calibri" w:eastAsia="Calibri" w:hAnsi="Calibri"/>
          <w:b/>
          <w:bCs/>
          <w:color w:val="1F2124"/>
          <w:sz w:val="22"/>
          <w:szCs w:val="22"/>
        </w:rPr>
        <w:t xml:space="preserve">$187,525.77</w:t>
      </w:r>
      <w:r>
        <w:rPr>
          <w:rFonts w:ascii="Calibri" w:cs="Calibri" w:eastAsia="Calibri" w:hAnsi="Calibri"/>
          <w:color w:val="1F2124"/>
          <w:sz w:val="22"/>
          <w:szCs w:val="22"/>
        </w:rPr>
        <w:t xml:space="preserve">, leaving a </w:t>
      </w:r>
      <w:r>
        <w:rPr>
          <w:rFonts w:ascii="Calibri" w:cs="Calibri" w:eastAsia="Calibri" w:hAnsi="Calibri"/>
          <w:b/>
          <w:bCs/>
          <w:color w:val="9A1001"/>
          <w:sz w:val="22"/>
          <w:szCs w:val="22"/>
        </w:rPr>
        <w:t xml:space="preserve">surplus balance of $330,669.51 — 64% of the annex value with no physical backing on the floor</w:t>
      </w:r>
      <w:r>
        <w:rPr>
          <w:rFonts w:ascii="Calibri" w:cs="Calibri" w:eastAsia="Calibri" w:hAnsi="Calibri"/>
          <w:color w:val="1F2124"/>
          <w:sz w:val="22"/>
          <w:szCs w:val="22"/>
        </w:rPr>
        <w:t xml:space="preserve">. The control baseline is equally conclusive: </w:t>
      </w:r>
      <w:r>
        <w:rPr>
          <w:rFonts w:ascii="Calibri" w:cs="Calibri" w:eastAsia="Calibri" w:hAnsi="Calibri"/>
          <w:b/>
          <w:bCs/>
          <w:color w:val="1F2124"/>
          <w:sz w:val="22"/>
          <w:szCs w:val="22"/>
        </w:rPr>
        <w:t xml:space="preserve">none of the 19 line items reconciles within a ±2% tolerance</w:t>
      </w:r>
      <w:r>
        <w:rPr>
          <w:rFonts w:ascii="Calibri" w:cs="Calibri" w:eastAsia="Calibri" w:hAnsi="Calibri"/>
          <w:color w:val="1F2124"/>
          <w:sz w:val="22"/>
          <w:szCs w:val="22"/>
        </w:rPr>
        <w:t xml:space="preserve"> (14 shortages, 5 surpluses, 0 reconciled) and </w:t>
      </w:r>
      <w:r>
        <w:rPr>
          <w:rFonts w:ascii="Calibri" w:cs="Calibri" w:eastAsia="Calibri" w:hAnsi="Calibri"/>
          <w:b/>
          <w:bCs/>
          <w:color w:val="9A1001"/>
          <w:sz w:val="22"/>
          <w:szCs w:val="22"/>
        </w:rPr>
        <w:t xml:space="preserve">value-based inventory accuracy stands at 36.2%</w:t>
      </w:r>
      <w:r>
        <w:rPr>
          <w:rFonts w:ascii="Calibri" w:cs="Calibri" w:eastAsia="Calibri" w:hAnsi="Calibri"/>
          <w:color w:val="1F2124"/>
          <w:sz w:val="22"/>
          <w:szCs w:val="22"/>
        </w:rPr>
        <w:t xml:space="preserve"> — against a minimum operating standard of 95%. The inverse risk was also identified: physical goods </w:t>
      </w:r>
      <w:r>
        <w:rPr>
          <w:rFonts w:ascii="Calibri" w:cs="Calibri" w:eastAsia="Calibri" w:hAnsi="Calibri"/>
          <w:b/>
          <w:bCs/>
          <w:color w:val="1F2124"/>
          <w:sz w:val="22"/>
          <w:szCs w:val="22"/>
        </w:rPr>
        <w:t xml:space="preserve">with no record in the annex</w:t>
      </w:r>
      <w:r>
        <w:rPr>
          <w:rFonts w:ascii="Calibri" w:cs="Calibri" w:eastAsia="Calibri" w:hAnsi="Calibri"/>
          <w:color w:val="1F2124"/>
          <w:sz w:val="22"/>
          <w:szCs w:val="22"/>
        </w:rPr>
        <w:t xml:space="preserve">, whose origin must be substantiated or regularized.</w:t>
      </w:r>
    </w:p>
    <w:p>
      <w:pPr>
        <w:pStyle w:val="Heading1"/>
        <w:spacing w:after="160" w:before="320"/>
      </w:pPr>
      <w:r>
        <w:rPr>
          <w:rFonts w:ascii="Calibri" w:cs="Calibri" w:eastAsia="Calibri" w:hAnsi="Calibri"/>
          <w:b/>
          <w:bCs/>
          <w:color w:val="9A1001"/>
          <w:sz w:val="28"/>
          <w:szCs w:val="28"/>
        </w:rPr>
        <w:t xml:space="preserve">2. Financial and customs exposure</w:t>
      </w:r>
    </w:p>
    <w:p>
      <w:pPr>
        <w:spacing w:after="160" w:line="276"/>
        <w:jc w:val="both"/>
      </w:pPr>
      <w:r>
        <w:rPr>
          <w:rFonts w:ascii="Calibri" w:cs="Calibri" w:eastAsia="Calibri" w:hAnsi="Calibri"/>
          <w:color w:val="1F2124"/>
          <w:sz w:val="22"/>
          <w:szCs w:val="22"/>
        </w:rPr>
        <w:t xml:space="preserve">Official balances taken from Sheet 1, cells B23:C25, of the reconciliation file:</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4200"/>
        <w:gridCol w:w="2800"/>
        <w:gridCol w:w="2800"/>
      </w:tblGrid>
      <w:tr>
        <w:trPr>
          <w:tblHeader/>
        </w:trPr>
        <w:tc>
          <w:tcPr>
            <w:tcW w:type="dxa" w:w="42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Concept (Sheet 1 · B23:C25)</w:t>
            </w:r>
          </w:p>
        </w:tc>
        <w:tc>
          <w:tcPr>
            <w:tcW w:type="dxa" w:w="280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Value (USD)</w:t>
            </w:r>
          </w:p>
        </w:tc>
        <w:tc>
          <w:tcPr>
            <w:tcW w:type="dxa" w:w="28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Reading</w:t>
            </w:r>
          </w:p>
        </w:tc>
      </w:tr>
      <w:tr>
        <w:tc>
          <w:tcPr>
            <w:tcW w:type="dxa" w:w="4200"/>
            <w:tcMar>
              <w:top w:type="dxa" w:w="60"/>
              <w:left w:type="dxa" w:w="100"/>
              <w:bottom w:type="dxa" w:w="60"/>
              <w:right w:type="dxa" w:w="100"/>
            </w:tcMar>
          </w:tcPr>
          <w:p>
            <w:pPr>
              <w:jc w:val="left"/>
            </w:pPr>
            <w:r>
              <w:rPr>
                <w:rFonts w:ascii="Calibri" w:cs="Calibri" w:eastAsia="Calibri" w:hAnsi="Calibri"/>
                <w:b/>
                <w:bCs/>
                <w:color w:val="1F2124"/>
                <w:sz w:val="19"/>
                <w:szCs w:val="19"/>
              </w:rPr>
              <w:t xml:space="preserve">Annex 24 (SEER) balance</w:t>
            </w:r>
          </w:p>
        </w:tc>
        <w:tc>
          <w:tcPr>
            <w:tcW w:type="dxa" w:w="28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$518,194.78</w:t>
            </w:r>
          </w:p>
        </w:tc>
        <w:tc>
          <w:tcPr>
            <w:tcW w:type="dxa" w:w="28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Active temporary imports</w:t>
            </w:r>
          </w:p>
        </w:tc>
      </w:tr>
      <w:tr>
        <w:tc>
          <w:tcPr>
            <w:tcW w:type="dxa" w:w="4200"/>
            <w:tcMar>
              <w:top w:type="dxa" w:w="60"/>
              <w:left w:type="dxa" w:w="100"/>
              <w:bottom w:type="dxa" w:w="60"/>
              <w:right w:type="dxa" w:w="100"/>
            </w:tcMar>
          </w:tcPr>
          <w:p>
            <w:pPr>
              <w:jc w:val="left"/>
            </w:pPr>
            <w:r>
              <w:rPr>
                <w:rFonts w:ascii="Calibri" w:cs="Calibri" w:eastAsia="Calibri" w:hAnsi="Calibri"/>
                <w:b/>
                <w:bCs/>
                <w:color w:val="1F2124"/>
                <w:sz w:val="19"/>
                <w:szCs w:val="19"/>
              </w:rPr>
              <w:t xml:space="preserve">Physical inventory balance</w:t>
            </w:r>
          </w:p>
        </w:tc>
        <w:tc>
          <w:tcPr>
            <w:tcW w:type="dxa" w:w="28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$187,525.77</w:t>
            </w:r>
          </w:p>
        </w:tc>
        <w:tc>
          <w:tcPr>
            <w:tcW w:type="dxa" w:w="28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Count valuation (Jul 2026 costs)</w:t>
            </w:r>
          </w:p>
        </w:tc>
      </w:tr>
      <w:tr>
        <w:tc>
          <w:tcPr>
            <w:tcW w:type="dxa" w:w="420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Surplus balance</w:t>
            </w:r>
          </w:p>
        </w:tc>
        <w:tc>
          <w:tcPr>
            <w:tcW w:type="dxa" w:w="280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$330,669.51</w:t>
            </w:r>
          </w:p>
        </w:tc>
        <w:tc>
          <w:tcPr>
            <w:tcW w:type="dxa" w:w="28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64% of the annex with no physical backing</w:t>
            </w:r>
          </w:p>
        </w:tc>
      </w:tr>
    </w:tbl>
    <w:p>
      <w:pPr>
        <w:spacing w:after="60"/>
        <w:jc w:val="both"/>
      </w:pPr>
    </w:p>
    <w:p>
      <w:pPr>
        <w:spacing w:after="160" w:line="276"/>
        <w:jc w:val="both"/>
      </w:pPr>
      <w:r>
        <w:rPr>
          <w:rFonts w:ascii="Calibri" w:cs="Calibri" w:eastAsia="Calibri" w:hAnsi="Calibri"/>
          <w:b/>
          <w:bCs/>
          <w:i/>
          <w:iCs/>
          <w:color w:val="1F2124"/>
          <w:sz w:val="22"/>
          <w:szCs w:val="22"/>
        </w:rPr>
        <w:t xml:space="preserve">Reconciliation note: </w:t>
      </w:r>
      <w:r>
        <w:rPr>
          <w:rFonts w:ascii="Calibri" w:cs="Calibri" w:eastAsia="Calibri" w:hAnsi="Calibri"/>
          <w:i/>
          <w:iCs/>
          <w:color w:val="1F2124"/>
          <w:sz w:val="22"/>
          <w:szCs w:val="22"/>
        </w:rPr>
        <w:t xml:space="preserve">the three figures in the sheet show a $0.50 rounding difference (518,194.78 − 187,525.77 = 330,669.01). Correcting the source cell is recommended before any presentation to management.</w:t>
      </w:r>
    </w:p>
    <w:p>
      <w:pPr>
        <w:spacing w:after="160" w:line="276"/>
        <w:jc w:val="both"/>
      </w:pPr>
      <w:r>
        <w:rPr>
          <w:rFonts w:ascii="Calibri" w:cs="Calibri" w:eastAsia="Calibri" w:hAnsi="Calibri"/>
          <w:color w:val="1F2124"/>
          <w:sz w:val="22"/>
          <w:szCs w:val="22"/>
        </w:rPr>
        <w:t xml:space="preserve">The surplus balance is the reference customs exposure: material that Annex 24 assumes to be under temporary importation and that did not appear in the count. Its probable causes are pending discharges, unreported waste and scrap, undocumented returns, and data-entry errors — all verifiable line by line against the photographic evidence of the count.</w:t>
      </w:r>
    </w:p>
    <w:p>
      <w:pPr>
        <w:pStyle w:val="Heading1"/>
        <w:pageBreakBefore/>
        <w:spacing w:after="160" w:before="0"/>
      </w:pPr>
      <w:r>
        <w:rPr>
          <w:rFonts w:ascii="Calibri" w:cs="Calibri" w:eastAsia="Calibri" w:hAnsi="Calibri"/>
          <w:b/>
          <w:bCs/>
          <w:color w:val="9A1001"/>
          <w:sz w:val="28"/>
          <w:szCs w:val="28"/>
        </w:rPr>
        <w:t xml:space="preserve">3. Accuracy baseline and KPI board</w:t>
      </w:r>
    </w:p>
    <w:p>
      <w:pPr>
        <w:spacing w:after="160" w:line="276"/>
        <w:jc w:val="both"/>
      </w:pPr>
      <w:r>
        <w:rPr>
          <w:rFonts w:ascii="Calibri" w:cs="Calibri" w:eastAsia="Calibri" w:hAnsi="Calibri"/>
          <w:color w:val="1F2124"/>
          <w:sz w:val="22"/>
          <w:szCs w:val="22"/>
        </w:rPr>
        <w:t xml:space="preserve">Program tracking metrics, calculated from the June count. Value-based accuracy is defined as 1 − (surplus balance / annex balance); line-item accuracy uses a ±2% tolerance against the annex balance. These figures feed the baseline of the training session (“Our accuracy target”).</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3050"/>
        <w:gridCol w:w="1750"/>
        <w:gridCol w:w="1750"/>
        <w:gridCol w:w="1250"/>
        <w:gridCol w:w="2000"/>
      </w:tblGrid>
      <w:tr>
        <w:trPr>
          <w:tblHeader/>
        </w:trPr>
        <w:tc>
          <w:tcPr>
            <w:tcW w:type="dxa" w:w="30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KPI</w:t>
            </w:r>
          </w:p>
        </w:tc>
        <w:tc>
          <w:tcPr>
            <w:tcW w:type="dxa" w:w="17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Baseline (Jun 2026)</w:t>
            </w:r>
          </w:p>
        </w:tc>
        <w:tc>
          <w:tcPr>
            <w:tcW w:type="dxa" w:w="17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90-day target</w:t>
            </w:r>
          </w:p>
        </w:tc>
        <w:tc>
          <w:tcPr>
            <w:tcW w:type="dxa" w:w="12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Frequency</w:t>
            </w:r>
          </w:p>
        </w:tc>
        <w:tc>
          <w:tcPr>
            <w:tcW w:type="dxa" w:w="20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Owner</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Value-based inventory accuracy (1 − surplus/annex)</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36.2%</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95%</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TACNA Inventory</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Line-item accuracy (±2% tolerance vs. annex)</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0/19 (0%)</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90% of line items</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TACNA Inventory</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Surplus balance (USD)</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$330,669.51</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$66,000 (−80%)</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Annex 24</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Open critical line items (≥90% var. or unrecorded)</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6</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Operations + TACNA</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Part numbers with no system mapping (#N/D), active line items</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Systems</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Part numbers with UoM harmonized annex ↔ count</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10/19</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19/19</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Inventory / Customs</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Waste and scrap covered by destruction notice</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100%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Annex 24</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ABC cycle-count coverage</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A: weekly · B: biweekly · C: monthly</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Warehouse</w:t>
            </w:r>
          </w:p>
        </w:tc>
      </w:tr>
    </w:tbl>
    <w:p>
      <w:pPr>
        <w:spacing w:after="160" w:line="276"/>
        <w:jc w:val="both"/>
      </w:pPr>
      <w:r>
        <w:rPr>
          <w:rFonts w:ascii="Calibri" w:cs="Calibri" w:eastAsia="Calibri" w:hAnsi="Calibri"/>
          <w:b/>
          <w:bCs/>
          <w:i/>
          <w:iCs/>
          <w:color w:val="1F2124"/>
          <w:sz w:val="22"/>
          <w:szCs w:val="22"/>
        </w:rPr>
        <w:t xml:space="preserve">Note on unmapped part numbers: </w:t>
      </w:r>
      <w:r>
        <w:rPr>
          <w:rFonts w:ascii="Calibri" w:cs="Calibri" w:eastAsia="Calibri" w:hAnsi="Calibri"/>
          <w:i/>
          <w:iCs/>
          <w:color w:val="1F2124"/>
          <w:sz w:val="22"/>
          <w:szCs w:val="22"/>
        </w:rPr>
        <w:t xml:space="preserve">the full exercise identified 7 part numbers with no system mapping (#N/D); after removing from the list 9 part numbers with no annex balance and no physical stock, 2 remain active. The target brings them to zero.</w:t>
      </w:r>
    </w:p>
    <w:p>
      <w:pPr>
        <w:pStyle w:val="Heading1"/>
        <w:spacing w:after="160" w:before="320"/>
      </w:pPr>
      <w:r>
        <w:rPr>
          <w:rFonts w:ascii="Calibri" w:cs="Calibri" w:eastAsia="Calibri" w:hAnsi="Calibri"/>
          <w:b/>
          <w:bCs/>
          <w:color w:val="9A1001"/>
          <w:sz w:val="28"/>
          <w:szCs w:val="28"/>
        </w:rPr>
        <w:t xml:space="preserve">4. Critical line items</w:t>
      </w:r>
    </w:p>
    <w:p>
      <w:pPr>
        <w:spacing w:after="160" w:line="276"/>
        <w:jc w:val="both"/>
      </w:pPr>
      <w:r>
        <w:rPr>
          <w:rFonts w:ascii="Calibri" w:cs="Calibri" w:eastAsia="Calibri" w:hAnsi="Calibri"/>
          <w:color w:val="1F2124"/>
          <w:sz w:val="22"/>
          <w:szCs w:val="22"/>
        </w:rPr>
        <w:t xml:space="preserve">Six line items concentrate the criticality of the reconciliation (variance ≥ 90% or physical existence with no record):</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1450"/>
        <w:gridCol w:w="1650"/>
        <w:gridCol w:w="1550"/>
        <w:gridCol w:w="1550"/>
        <w:gridCol w:w="900"/>
        <w:gridCol w:w="1450"/>
        <w:gridCol w:w="1250"/>
      </w:tblGrid>
      <w:tr>
        <w:trPr>
          <w:tblHeader/>
        </w:trPr>
        <w:tc>
          <w:tcPr>
            <w:tcW w:type="dxa" w:w="14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Part</w:t>
            </w:r>
          </w:p>
        </w:tc>
        <w:tc>
          <w:tcPr>
            <w:tcW w:type="dxa" w:w="16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Annex (SEER) balance</w:t>
            </w:r>
          </w:p>
        </w:tc>
        <w:tc>
          <w:tcPr>
            <w:tcW w:type="dxa" w:w="15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Physical (Loc + WIP)</w:t>
            </w:r>
          </w:p>
        </w:tc>
        <w:tc>
          <w:tcPr>
            <w:tcW w:type="dxa" w:w="15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Difference</w:t>
            </w:r>
          </w:p>
        </w:tc>
        <w:tc>
          <w:tcPr>
            <w:tcW w:type="dxa" w:w="90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 Var</w:t>
            </w:r>
          </w:p>
        </w:tc>
        <w:tc>
          <w:tcPr>
            <w:tcW w:type="dxa" w:w="14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Type</w:t>
            </w:r>
          </w:p>
        </w:tc>
        <w:tc>
          <w:tcPr>
            <w:tcW w:type="dxa" w:w="12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UoM</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LABEL</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106,798.27</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−106,798.27</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−100%</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Total 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BOTTLE-A</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2,947</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−2,947</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−100%</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Total 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LINICANR</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11,781,555.91</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349,709.73</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−11,431,846.18</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−97%</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LINICANP</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14,841,823.29</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1,179,416.77</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−13,662,406.52</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−92%</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COTICANP</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17,371,388.60</w:t>
            </w:r>
          </w:p>
        </w:tc>
        <w:tc>
          <w:tcPr>
            <w:tcW w:type="dxa" w:w="1550"/>
            <w:tcMar>
              <w:top w:type="dxa" w:w="60"/>
              <w:left w:type="dxa" w:w="100"/>
              <w:bottom w:type="dxa" w:w="60"/>
              <w:right w:type="dxa" w:w="100"/>
            </w:tcMar>
          </w:tcPr>
          <w:p>
            <w:pPr>
              <w:jc w:val="right"/>
            </w:pPr>
            <w:r>
              <w:rPr>
                <w:rFonts w:ascii="Calibri" w:cs="Calibri" w:eastAsia="Calibri" w:hAnsi="Calibri"/>
                <w:b/>
                <w:bCs/>
                <w:color w:val="8A5A00"/>
                <w:sz w:val="19"/>
                <w:szCs w:val="19"/>
              </w:rPr>
              <w:t xml:space="preserve">+17,371,388.60</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no bal.</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Unrecorded</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LABEL-PAPER</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106,629.99</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217,324</w:t>
            </w:r>
          </w:p>
        </w:tc>
        <w:tc>
          <w:tcPr>
            <w:tcW w:type="dxa" w:w="1550"/>
            <w:tcMar>
              <w:top w:type="dxa" w:w="60"/>
              <w:left w:type="dxa" w:w="100"/>
              <w:bottom w:type="dxa" w:w="60"/>
              <w:right w:type="dxa" w:w="100"/>
            </w:tcMar>
          </w:tcPr>
          <w:p>
            <w:pPr>
              <w:jc w:val="right"/>
            </w:pPr>
            <w:r>
              <w:rPr>
                <w:rFonts w:ascii="Calibri" w:cs="Calibri" w:eastAsia="Calibri" w:hAnsi="Calibri"/>
                <w:b/>
                <w:bCs/>
                <w:color w:val="8A5A00"/>
                <w:sz w:val="19"/>
                <w:szCs w:val="19"/>
              </w:rPr>
              <w:t xml:space="preserve">+110,694.01</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+104%</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Surplus</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bl>
    <w:p>
      <w:pPr>
        <w:spacing w:after="60"/>
        <w:jc w:val="both"/>
      </w:pPr>
    </w:p>
    <w:p>
      <w:pPr>
        <w:spacing w:after="160" w:line="276"/>
        <w:jc w:val="both"/>
      </w:pPr>
      <w:r>
        <w:rPr>
          <w:rFonts w:ascii="Calibri" w:cs="Calibri" w:eastAsia="Calibri" w:hAnsi="Calibri"/>
          <w:color w:val="1F2124"/>
          <w:sz w:val="22"/>
          <w:szCs w:val="22"/>
        </w:rPr>
        <w:t xml:space="preserve">In absolute magnitude, shortages concentrate in </w:t>
      </w:r>
      <w:r>
        <w:rPr>
          <w:rFonts w:ascii="Calibri" w:cs="Calibri" w:eastAsia="Calibri" w:hAnsi="Calibri"/>
          <w:b/>
          <w:bCs/>
          <w:color w:val="1F2124"/>
          <w:sz w:val="22"/>
          <w:szCs w:val="22"/>
        </w:rPr>
        <w:t xml:space="preserve">textiles and lumber</w:t>
      </w:r>
      <w:r>
        <w:rPr>
          <w:rFonts w:ascii="Calibri" w:cs="Calibri" w:eastAsia="Calibri" w:hAnsi="Calibri"/>
          <w:color w:val="1F2124"/>
          <w:sz w:val="22"/>
          <w:szCs w:val="22"/>
        </w:rPr>
        <w:t xml:space="preserve">: COTDCANP (−46.2 million IN², −65%), LINICANP/LINICANR and LUMBPINE-BF (−240,457 BFT, −83%). This confirms the instruction to verify consumption and scrap for fabric and lumber, and to apply regime change, return in the same condition, or virtual transfer (V1) as applicable.</w:t>
      </w:r>
    </w:p>
    <w:p>
      <w:pPr>
        <w:pStyle w:val="Heading1"/>
        <w:spacing w:after="160" w:before="320"/>
      </w:pPr>
      <w:r>
        <w:rPr>
          <w:rFonts w:ascii="Calibri" w:cs="Calibri" w:eastAsia="Calibri" w:hAnsi="Calibri"/>
          <w:b/>
          <w:bCs/>
          <w:color w:val="9A1001"/>
          <w:sz w:val="28"/>
          <w:szCs w:val="28"/>
        </w:rPr>
        <w:t xml:space="preserve">5. Unrecorded surpluses — regularization path</w:t>
      </w:r>
    </w:p>
    <w:p>
      <w:pPr>
        <w:spacing w:after="160" w:line="276"/>
        <w:jc w:val="both"/>
      </w:pPr>
      <w:r>
        <w:rPr>
          <w:rFonts w:ascii="Calibri" w:cs="Calibri" w:eastAsia="Calibri" w:hAnsi="Calibri"/>
          <w:color w:val="1F2124"/>
          <w:sz w:val="22"/>
          <w:szCs w:val="22"/>
        </w:rPr>
        <w:t xml:space="preserve">Unlike a shortage (which suggests operations pending to be reported), a </w:t>
      </w:r>
      <w:r>
        <w:rPr>
          <w:rFonts w:ascii="Calibri" w:cs="Calibri" w:eastAsia="Calibri" w:hAnsi="Calibri"/>
          <w:b/>
          <w:bCs/>
          <w:color w:val="1F2124"/>
          <w:sz w:val="22"/>
          <w:szCs w:val="22"/>
        </w:rPr>
        <w:t xml:space="preserve">surplus with no documentary coverage</w:t>
      </w:r>
      <w:r>
        <w:rPr>
          <w:rFonts w:ascii="Calibri" w:cs="Calibri" w:eastAsia="Calibri" w:hAnsi="Calibri"/>
          <w:color w:val="1F2124"/>
          <w:sz w:val="22"/>
          <w:szCs w:val="22"/>
        </w:rPr>
        <w:t xml:space="preserve"> implies goods on site whose legal stay is not substantiated. Here the remedy is not a return but regularization:</w:t>
      </w:r>
    </w:p>
    <w:p>
      <w:pPr>
        <w:pStyle w:val="ListParagraph"/>
        <w:numPr>
          <w:ilvl w:val="0"/>
          <w:numId w:val="2"/>
        </w:numPr>
        <w:spacing w:after="80" w:line="264"/>
        <w:jc w:val="both"/>
      </w:pPr>
      <w:r>
        <w:rPr>
          <w:rFonts w:ascii="Calibri" w:cs="Calibri" w:eastAsia="Calibri" w:hAnsi="Calibri"/>
          <w:b/>
          <w:bCs/>
          <w:color w:val="1F2124"/>
          <w:sz w:val="22"/>
          <w:szCs w:val="22"/>
        </w:rPr>
        <w:t xml:space="preserve">COTICANP: </w:t>
      </w:r>
      <w:r>
        <w:rPr>
          <w:rFonts w:ascii="Calibri" w:cs="Calibri" w:eastAsia="Calibri" w:hAnsi="Calibri"/>
          <w:color w:val="1F2124"/>
          <w:sz w:val="22"/>
          <w:szCs w:val="22"/>
        </w:rPr>
        <w:t xml:space="preserve">17,371,388.60 IN² physical with a zero annex balance — the most severe case.</w:t>
      </w:r>
    </w:p>
    <w:p>
      <w:pPr>
        <w:pStyle w:val="ListParagraph"/>
        <w:numPr>
          <w:ilvl w:val="0"/>
          <w:numId w:val="2"/>
        </w:numPr>
        <w:spacing w:after="80" w:line="264"/>
        <w:jc w:val="both"/>
      </w:pPr>
      <w:r>
        <w:rPr>
          <w:rFonts w:ascii="Calibri" w:cs="Calibri" w:eastAsia="Calibri" w:hAnsi="Calibri"/>
          <w:b/>
          <w:bCs/>
          <w:color w:val="1F2124"/>
          <w:sz w:val="22"/>
          <w:szCs w:val="22"/>
        </w:rPr>
        <w:t xml:space="preserve">LABEL-PAPER: </w:t>
      </w:r>
      <w:r>
        <w:rPr>
          <w:rFonts w:ascii="Calibri" w:cs="Calibri" w:eastAsia="Calibri" w:hAnsi="Calibri"/>
          <w:color w:val="1F2124"/>
          <w:sz w:val="22"/>
          <w:szCs w:val="22"/>
        </w:rPr>
        <w:t xml:space="preserve">217,324 pcs against 106,629.99 recorded (+104% over the covered amount).</w:t>
      </w:r>
    </w:p>
    <w:p>
      <w:pPr>
        <w:pStyle w:val="ListParagraph"/>
        <w:numPr>
          <w:ilvl w:val="0"/>
          <w:numId w:val="2"/>
        </w:numPr>
        <w:spacing w:after="80" w:line="264"/>
        <w:jc w:val="both"/>
      </w:pPr>
      <w:r>
        <w:rPr>
          <w:rFonts w:ascii="Calibri" w:cs="Calibri" w:eastAsia="Calibri" w:hAnsi="Calibri"/>
          <w:b/>
          <w:bCs/>
          <w:color w:val="1F2124"/>
          <w:sz w:val="22"/>
          <w:szCs w:val="22"/>
        </w:rPr>
        <w:t xml:space="preserve">CARTON TUBE KRAFT 84": </w:t>
      </w:r>
      <w:r>
        <w:rPr>
          <w:rFonts w:ascii="Calibri" w:cs="Calibri" w:eastAsia="Calibri" w:hAnsi="Calibri"/>
          <w:color w:val="1F2124"/>
          <w:sz w:val="22"/>
          <w:szCs w:val="22"/>
        </w:rPr>
        <w:t xml:space="preserve">2,585 physical pcs against 1,636 in the annex, with no system mapping (#N/D).</w:t>
      </w:r>
    </w:p>
    <w:p>
      <w:pPr>
        <w:spacing w:after="160" w:line="276"/>
        <w:jc w:val="both"/>
      </w:pPr>
      <w:r>
        <w:rPr>
          <w:rFonts w:ascii="Calibri" w:cs="Calibri" w:eastAsia="Calibri" w:hAnsi="Calibri"/>
          <w:color w:val="1F2124"/>
          <w:sz w:val="22"/>
          <w:szCs w:val="22"/>
        </w:rPr>
        <w:t xml:space="preserve">Actions: substantiate origin with import declarations (pedimentos) and invoices; where not possible, regularize through definitive importation with payment of duties, or perform an Annex 24 restructure to absorb those consumptions. While this is resolved, suspend consumption of these part numbers so the difference does not grow.</w:t>
      </w:r>
    </w:p>
    <w:p>
      <w:pPr>
        <w:pStyle w:val="Heading1"/>
        <w:spacing w:after="160" w:before="320"/>
      </w:pPr>
      <w:r>
        <w:rPr>
          <w:rFonts w:ascii="Calibri" w:cs="Calibri" w:eastAsia="Calibri" w:hAnsi="Calibri"/>
          <w:b/>
          <w:bCs/>
          <w:color w:val="9A1001"/>
          <w:sz w:val="28"/>
          <w:szCs w:val="28"/>
        </w:rPr>
        <w:t xml:space="preserve">6. Catalog and BOM data quality</w:t>
      </w:r>
    </w:p>
    <w:p>
      <w:pPr>
        <w:pStyle w:val="ListParagraph"/>
        <w:numPr>
          <w:ilvl w:val="0"/>
          <w:numId w:val="2"/>
        </w:numPr>
        <w:spacing w:after="80" w:line="264"/>
        <w:jc w:val="both"/>
      </w:pPr>
      <w:r>
        <w:rPr>
          <w:rFonts w:ascii="Calibri" w:cs="Calibri" w:eastAsia="Calibri" w:hAnsi="Calibri"/>
          <w:b/>
          <w:bCs/>
          <w:color w:val="1F2124"/>
          <w:sz w:val="22"/>
          <w:szCs w:val="22"/>
        </w:rPr>
        <w:t xml:space="preserve">BOMs with incorrect units of measure: </w:t>
      </w:r>
      <w:r>
        <w:rPr>
          <w:rFonts w:ascii="Calibri" w:cs="Calibri" w:eastAsia="Calibri" w:hAnsi="Calibri"/>
          <w:color w:val="1F2124"/>
          <w:sz w:val="22"/>
          <w:szCs w:val="22"/>
        </w:rPr>
        <w:t xml:space="preserve">direct BFT→M³ conversion in lumber; additionally GAL/PAIL (AlkydPrimer), PCS/Sheet (PLYWOOD), and five line items counted in units different from the annex IN²/BFT. Any consumption figure derived from these BOMs is incorrect until normalized.</w:t>
      </w:r>
    </w:p>
    <w:p>
      <w:pPr>
        <w:pStyle w:val="ListParagraph"/>
        <w:numPr>
          <w:ilvl w:val="0"/>
          <w:numId w:val="2"/>
        </w:numPr>
        <w:spacing w:after="80" w:line="264"/>
        <w:jc w:val="both"/>
      </w:pPr>
      <w:r>
        <w:rPr>
          <w:rFonts w:ascii="Calibri" w:cs="Calibri" w:eastAsia="Calibri" w:hAnsi="Calibri"/>
          <w:b/>
          <w:bCs/>
          <w:color w:val="1F2124"/>
          <w:sz w:val="22"/>
          <w:szCs w:val="22"/>
        </w:rPr>
        <w:t xml:space="preserve">Part numbers with no system mapping (#N/D): </w:t>
      </w:r>
      <w:r>
        <w:rPr>
          <w:rFonts w:ascii="Calibri" w:cs="Calibri" w:eastAsia="Calibri" w:hAnsi="Calibri"/>
          <w:color w:val="1F2124"/>
          <w:sz w:val="22"/>
          <w:szCs w:val="22"/>
        </w:rPr>
        <w:t xml:space="preserve">direct evidence of missing part numbers in the ERP.</w:t>
      </w:r>
    </w:p>
    <w:p>
      <w:pPr>
        <w:pStyle w:val="ListParagraph"/>
        <w:numPr>
          <w:ilvl w:val="0"/>
          <w:numId w:val="2"/>
        </w:numPr>
        <w:spacing w:after="80" w:line="264"/>
        <w:jc w:val="both"/>
      </w:pPr>
      <w:r>
        <w:rPr>
          <w:rFonts w:ascii="Calibri" w:cs="Calibri" w:eastAsia="Calibri" w:hAnsi="Calibri"/>
          <w:b/>
          <w:bCs/>
          <w:color w:val="1F2124"/>
          <w:sz w:val="22"/>
          <w:szCs w:val="22"/>
        </w:rPr>
        <w:t xml:space="preserve">Identical part numbers for different materials: </w:t>
      </w:r>
      <w:r>
        <w:rPr>
          <w:rFonts w:ascii="Calibri" w:cs="Calibri" w:eastAsia="Calibri" w:hAnsi="Calibri"/>
          <w:color w:val="1F2124"/>
          <w:sz w:val="22"/>
          <w:szCs w:val="22"/>
        </w:rPr>
        <w:t xml:space="preserve">these must be set up at the part-number level with their correct value, for value manifest purposes.</w:t>
      </w:r>
    </w:p>
    <w:p>
      <w:pPr>
        <w:pStyle w:val="ListParagraph"/>
        <w:numPr>
          <w:ilvl w:val="0"/>
          <w:numId w:val="2"/>
        </w:numPr>
        <w:spacing w:after="80" w:line="264"/>
        <w:jc w:val="both"/>
      </w:pPr>
      <w:r>
        <w:rPr>
          <w:rFonts w:ascii="Calibri" w:cs="Calibri" w:eastAsia="Calibri" w:hAnsi="Calibri"/>
          <w:b/>
          <w:bCs/>
          <w:color w:val="1F2124"/>
          <w:sz w:val="22"/>
          <w:szCs w:val="22"/>
        </w:rPr>
        <w:t xml:space="preserve">Labeling and descriptions inconsistent with the physical item: </w:t>
      </w:r>
      <w:r>
        <w:rPr>
          <w:rFonts w:ascii="Calibri" w:cs="Calibri" w:eastAsia="Calibri" w:hAnsi="Calibri"/>
          <w:color w:val="1F2124"/>
          <w:sz w:val="22"/>
          <w:szCs w:val="22"/>
        </w:rPr>
        <w:t xml:space="preserve">e.g., recorded description vs. plastic bottle and printed paper labels found on the floor; labels missing part number and unit of measure.</w:t>
      </w:r>
    </w:p>
    <w:p>
      <w:pPr>
        <w:pStyle w:val="Heading1"/>
        <w:spacing w:after="160" w:before="320"/>
      </w:pPr>
      <w:r>
        <w:rPr>
          <w:rFonts w:ascii="Calibri" w:cs="Calibri" w:eastAsia="Calibri" w:hAnsi="Calibri"/>
          <w:b/>
          <w:bCs/>
          <w:color w:val="9A1001"/>
          <w:sz w:val="28"/>
          <w:szCs w:val="28"/>
        </w:rPr>
        <w:t xml:space="preserve">7. Process recommendations</w:t>
      </w:r>
    </w:p>
    <w:p>
      <w:pPr>
        <w:spacing w:after="160" w:line="276"/>
        <w:jc w:val="both"/>
      </w:pPr>
      <w:r>
        <w:rPr>
          <w:rFonts w:ascii="Calibri" w:cs="Calibri" w:eastAsia="Calibri" w:hAnsi="Calibri"/>
          <w:color w:val="1F2124"/>
          <w:sz w:val="22"/>
          <w:szCs w:val="22"/>
        </w:rPr>
        <w:t xml:space="preserve">The objective is to keep material traceability from the moment it leaves the warehouse until it is consumed or becomes finished goods:</w:t>
      </w:r>
    </w:p>
    <w:p>
      <w:pPr>
        <w:pStyle w:val="ListParagraph"/>
        <w:numPr>
          <w:ilvl w:val="0"/>
          <w:numId w:val="2"/>
        </w:numPr>
        <w:spacing w:after="80" w:line="264"/>
        <w:jc w:val="both"/>
      </w:pPr>
      <w:r>
        <w:rPr>
          <w:rFonts w:ascii="Calibri" w:cs="Calibri" w:eastAsia="Calibri" w:hAnsi="Calibri"/>
          <w:b/>
          <w:bCs/>
          <w:color w:val="1F2124"/>
          <w:sz w:val="22"/>
          <w:szCs w:val="22"/>
        </w:rPr>
        <w:t xml:space="preserve">Virtual Production (WIP) warehouse: </w:t>
      </w:r>
      <w:r>
        <w:rPr>
          <w:rFonts w:ascii="Calibri" w:cs="Calibri" w:eastAsia="Calibri" w:hAnsi="Calibri"/>
          <w:color w:val="1F2124"/>
          <w:sz w:val="22"/>
          <w:szCs w:val="22"/>
        </w:rPr>
        <w:t xml:space="preserve">transfer instead of deleting; Raw Material → WIP → Finished Goods flow, preserving movement history.</w:t>
      </w:r>
    </w:p>
    <w:p>
      <w:pPr>
        <w:pStyle w:val="ListParagraph"/>
        <w:numPr>
          <w:ilvl w:val="0"/>
          <w:numId w:val="2"/>
        </w:numPr>
        <w:spacing w:after="80" w:line="264"/>
        <w:jc w:val="both"/>
      </w:pPr>
      <w:r>
        <w:rPr>
          <w:rFonts w:ascii="Calibri" w:cs="Calibri" w:eastAsia="Calibri" w:hAnsi="Calibri"/>
          <w:b/>
          <w:bCs/>
          <w:color w:val="1F2124"/>
          <w:sz w:val="22"/>
          <w:szCs w:val="22"/>
        </w:rPr>
        <w:t xml:space="preserve">Production orders: </w:t>
      </w:r>
      <w:r>
        <w:rPr>
          <w:rFonts w:ascii="Calibri" w:cs="Calibri" w:eastAsia="Calibri" w:hAnsi="Calibri"/>
          <w:color w:val="1F2124"/>
          <w:sz w:val="22"/>
          <w:szCs w:val="22"/>
        </w:rPr>
        <w:t xml:space="preserve">every material issue tied to an order; actual vs. theoretical consumption; waste detection.</w:t>
      </w:r>
    </w:p>
    <w:p>
      <w:pPr>
        <w:pStyle w:val="ListParagraph"/>
        <w:numPr>
          <w:ilvl w:val="0"/>
          <w:numId w:val="2"/>
        </w:numPr>
        <w:spacing w:after="80" w:line="264"/>
        <w:jc w:val="both"/>
      </w:pPr>
      <w:r>
        <w:rPr>
          <w:rFonts w:ascii="Calibri" w:cs="Calibri" w:eastAsia="Calibri" w:hAnsi="Calibri"/>
          <w:b/>
          <w:bCs/>
          <w:color w:val="1F2124"/>
          <w:sz w:val="22"/>
          <w:szCs w:val="22"/>
        </w:rPr>
        <w:t xml:space="preserve">Separate inventories: </w:t>
      </w:r>
      <w:r>
        <w:rPr>
          <w:rFonts w:ascii="Calibri" w:cs="Calibri" w:eastAsia="Calibri" w:hAnsi="Calibri"/>
          <w:color w:val="1F2124"/>
          <w:sz w:val="22"/>
          <w:szCs w:val="22"/>
        </w:rPr>
        <w:t xml:space="preserve">raw material, WIP, finished goods, and scrap/waste.</w:t>
      </w:r>
    </w:p>
    <w:p>
      <w:pPr>
        <w:pStyle w:val="ListParagraph"/>
        <w:numPr>
          <w:ilvl w:val="0"/>
          <w:numId w:val="2"/>
        </w:numPr>
        <w:spacing w:after="80" w:line="264"/>
        <w:jc w:val="both"/>
      </w:pPr>
      <w:r>
        <w:rPr>
          <w:rFonts w:ascii="Calibri" w:cs="Calibri" w:eastAsia="Calibri" w:hAnsi="Calibri"/>
          <w:b/>
          <w:bCs/>
          <w:color w:val="1F2124"/>
          <w:sz w:val="22"/>
          <w:szCs w:val="22"/>
        </w:rPr>
        <w:t xml:space="preserve">Barcode/QR scanning </w:t>
      </w:r>
      <w:r>
        <w:rPr>
          <w:rFonts w:ascii="Calibri" w:cs="Calibri" w:eastAsia="Calibri" w:hAnsi="Calibri"/>
          <w:color w:val="1F2124"/>
          <w:sz w:val="22"/>
          <w:szCs w:val="22"/>
        </w:rPr>
        <w:t xml:space="preserve">at issue, consumption, and finished-goods receipt.</w:t>
      </w:r>
    </w:p>
    <w:p>
      <w:pPr>
        <w:pStyle w:val="ListParagraph"/>
        <w:numPr>
          <w:ilvl w:val="0"/>
          <w:numId w:val="2"/>
        </w:numPr>
        <w:spacing w:after="80" w:line="264"/>
        <w:jc w:val="both"/>
      </w:pPr>
      <w:r>
        <w:rPr>
          <w:rFonts w:ascii="Calibri" w:cs="Calibri" w:eastAsia="Calibri" w:hAnsi="Calibri"/>
          <w:b/>
          <w:bCs/>
          <w:color w:val="1F2124"/>
          <w:sz w:val="22"/>
          <w:szCs w:val="22"/>
        </w:rPr>
        <w:t xml:space="preserve">ABC cycle counts </w:t>
      </w:r>
      <w:r>
        <w:rPr>
          <w:rFonts w:ascii="Calibri" w:cs="Calibri" w:eastAsia="Calibri" w:hAnsi="Calibri"/>
          <w:color w:val="1F2124"/>
          <w:sz w:val="22"/>
          <w:szCs w:val="22"/>
        </w:rPr>
        <w:t xml:space="preserve">and a daily production consumption report (received, consumed, returned, waste, produced).</w:t>
      </w:r>
    </w:p>
    <w:p>
      <w:pPr>
        <w:pStyle w:val="ListParagraph"/>
        <w:numPr>
          <w:ilvl w:val="0"/>
          <w:numId w:val="2"/>
        </w:numPr>
        <w:spacing w:after="80" w:line="264"/>
        <w:jc w:val="both"/>
      </w:pPr>
      <w:r>
        <w:rPr>
          <w:rFonts w:ascii="Calibri" w:cs="Calibri" w:eastAsia="Calibri" w:hAnsi="Calibri"/>
          <w:b/>
          <w:bCs/>
          <w:color w:val="1F2124"/>
          <w:sz w:val="22"/>
          <w:szCs w:val="22"/>
        </w:rPr>
        <w:t xml:space="preserve">Visual Kanban </w:t>
      </w:r>
      <w:r>
        <w:rPr>
          <w:rFonts w:ascii="Calibri" w:cs="Calibri" w:eastAsia="Calibri" w:hAnsi="Calibri"/>
          <w:color w:val="1F2124"/>
          <w:sz w:val="22"/>
          <w:szCs w:val="22"/>
        </w:rPr>
        <w:t xml:space="preserve">with coded locations (Area-Rack-Level-Position) and min/max levels.</w:t>
      </w:r>
    </w:p>
    <w:p>
      <w:pPr>
        <w:spacing w:after="160" w:line="276"/>
        <w:jc w:val="both"/>
      </w:pPr>
      <w:r>
        <w:rPr>
          <w:rFonts w:ascii="Calibri" w:cs="Calibri" w:eastAsia="Calibri" w:hAnsi="Calibri"/>
          <w:b/>
          <w:bCs/>
          <w:color w:val="1F2124"/>
          <w:sz w:val="22"/>
          <w:szCs w:val="22"/>
        </w:rPr>
        <w:t xml:space="preserve">Complementary obligation: </w:t>
      </w:r>
      <w:r>
        <w:rPr>
          <w:rFonts w:ascii="Calibri" w:cs="Calibri" w:eastAsia="Calibri" w:hAnsi="Calibri"/>
          <w:color w:val="1F2124"/>
          <w:sz w:val="22"/>
          <w:szCs w:val="22"/>
        </w:rPr>
        <w:t xml:space="preserve">waste and scrap must also be reported to the authority (destruction with prior notice); otherwise the material remains “live” in Annex 24 and the gap never closes.</w:t>
      </w:r>
    </w:p>
    <w:p>
      <w:pPr>
        <w:pStyle w:val="Heading1"/>
        <w:spacing w:after="160" w:before="320"/>
      </w:pPr>
      <w:r>
        <w:rPr>
          <w:rFonts w:ascii="Calibri" w:cs="Calibri" w:eastAsia="Calibri" w:hAnsi="Calibri"/>
          <w:b/>
          <w:bCs/>
          <w:color w:val="9A1001"/>
          <w:sz w:val="28"/>
          <w:szCs w:val="28"/>
        </w:rPr>
        <w:t xml:space="preserve">8. Risk and mitigation matrix</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1300"/>
        <w:gridCol w:w="2900"/>
        <w:gridCol w:w="2900"/>
        <w:gridCol w:w="1500"/>
        <w:gridCol w:w="1200"/>
      </w:tblGrid>
      <w:tr>
        <w:trPr>
          <w:tblHeader/>
        </w:trPr>
        <w:tc>
          <w:tcPr>
            <w:tcW w:type="dxa" w:w="13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Risk</w:t>
            </w:r>
          </w:p>
        </w:tc>
        <w:tc>
          <w:tcPr>
            <w:tcW w:type="dxa" w:w="29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Description</w:t>
            </w:r>
          </w:p>
        </w:tc>
        <w:tc>
          <w:tcPr>
            <w:tcW w:type="dxa" w:w="29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Mitigation</w:t>
            </w:r>
          </w:p>
        </w:tc>
        <w:tc>
          <w:tcPr>
            <w:tcW w:type="dxa" w:w="15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Owner</w:t>
            </w:r>
          </w:p>
        </w:tc>
        <w:tc>
          <w:tcPr>
            <w:tcW w:type="dxa" w:w="12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Severity</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Customs / IMMEX</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Physical goods without documentary coverage (COTICANP, LABEL-PAPER, CARTON TUBE): origin not substantiated before the authority.</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Regularization: definitive importation with payment of duties, or documentary substantiation, or an Annex 24 restructure to absorb those consumptions; suspend consumption of these part numbers until resolved.</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Foreign Trade TACNA</w:t>
            </w:r>
          </w:p>
        </w:tc>
        <w:tc>
          <w:tcPr>
            <w:tcW w:type="dxa" w:w="1200"/>
            <w:tcMar>
              <w:top w:type="dxa" w:w="60"/>
              <w:left w:type="dxa" w:w="100"/>
              <w:bottom w:type="dxa" w:w="60"/>
              <w:right w:type="dxa" w:w="100"/>
            </w:tcMar>
          </w:tcPr>
          <w:p>
            <w:pPr>
              <w:jc w:val="left"/>
            </w:pPr>
            <w:r>
              <w:rPr>
                <w:rFonts w:ascii="Calibri" w:cs="Calibri" w:eastAsia="Calibri" w:hAnsi="Calibri"/>
                <w:b/>
                <w:bCs/>
                <w:color w:val="9A1001"/>
                <w:sz w:val="19"/>
                <w:szCs w:val="19"/>
              </w:rPr>
              <w:t xml:space="preserve">Critical</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Tax / financial</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Surplus balance of $330,669.51 (shortages): unreported discharges, waste and returns may result in omitted duties plus surcharges.</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Clear pending discharges in Annex 24; document waste/scrap with destruction notices; regime change, return in same condition, or virtual transfer (V1) for fabric and lumber.</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Finance TACNA</w:t>
            </w:r>
          </w:p>
        </w:tc>
        <w:tc>
          <w:tcPr>
            <w:tcW w:type="dxa" w:w="1200"/>
            <w:tcMar>
              <w:top w:type="dxa" w:w="60"/>
              <w:left w:type="dxa" w:w="100"/>
              <w:bottom w:type="dxa" w:w="60"/>
              <w:right w:type="dxa" w:w="100"/>
            </w:tcMar>
          </w:tcPr>
          <w:p>
            <w:pPr>
              <w:jc w:val="left"/>
            </w:pPr>
            <w:r>
              <w:rPr>
                <w:rFonts w:ascii="Calibri" w:cs="Calibri" w:eastAsia="Calibri" w:hAnsi="Calibri"/>
                <w:b/>
                <w:bCs/>
                <w:color w:val="9A1001"/>
                <w:sz w:val="19"/>
                <w:szCs w:val="19"/>
              </w:rPr>
              <w:t xml:space="preserve">Critical</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Operational</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Records deleted when issuing materials to production: no WIP traceability, no actual vs. theoretical consumption.</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Virtual “Production/WIP” warehouse, production orders, daily consumption reporting, movement scanning.</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Operations + TACNA</w:t>
            </w:r>
          </w:p>
        </w:tc>
        <w:tc>
          <w:tcPr>
            <w:tcW w:type="dxa" w:w="1200"/>
            <w:tcMar>
              <w:top w:type="dxa" w:w="60"/>
              <w:left w:type="dxa" w:w="100"/>
              <w:bottom w:type="dxa" w:w="60"/>
              <w:right w:type="dxa" w:w="100"/>
            </w:tcMar>
          </w:tcPr>
          <w:p>
            <w:pPr>
              <w:jc w:val="left"/>
            </w:pPr>
            <w:r>
              <w:rPr>
                <w:rFonts w:ascii="Calibri" w:cs="Calibri" w:eastAsia="Calibri" w:hAnsi="Calibri"/>
                <w:b/>
                <w:bCs/>
                <w:color w:val="8A5A00"/>
                <w:sz w:val="19"/>
                <w:szCs w:val="19"/>
              </w:rPr>
              <w:t xml:space="preserve">High</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Master data</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BOMs with incorrect units of measure (BFT→M³, GAL/PAIL, PCS/Sheet, IN²), part numbers with no system mapping (#N/D), identical part numbers for different materials, descriptions that do not match the physical item.</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UoM conversion layer; part-number-level setup with correct value (value manifest); catalog and physical labeling cleanup.</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Inventory + Client Systems</w:t>
            </w:r>
          </w:p>
        </w:tc>
        <w:tc>
          <w:tcPr>
            <w:tcW w:type="dxa" w:w="1200"/>
            <w:tcMar>
              <w:top w:type="dxa" w:w="60"/>
              <w:left w:type="dxa" w:w="100"/>
              <w:bottom w:type="dxa" w:w="60"/>
              <w:right w:type="dxa" w:w="100"/>
            </w:tcMar>
          </w:tcPr>
          <w:p>
            <w:pPr>
              <w:jc w:val="left"/>
            </w:pPr>
            <w:r>
              <w:rPr>
                <w:rFonts w:ascii="Calibri" w:cs="Calibri" w:eastAsia="Calibri" w:hAnsi="Calibri"/>
                <w:b/>
                <w:bCs/>
                <w:color w:val="8A5A00"/>
                <w:sz w:val="19"/>
                <w:szCs w:val="19"/>
              </w:rPr>
              <w:t xml:space="preserve">High</w:t>
            </w:r>
          </w:p>
        </w:tc>
      </w:tr>
    </w:tbl>
    <w:p>
      <w:pPr>
        <w:pStyle w:val="Heading1"/>
        <w:spacing w:after="160" w:before="320"/>
      </w:pPr>
      <w:r>
        <w:rPr>
          <w:rFonts w:ascii="Calibri" w:cs="Calibri" w:eastAsia="Calibri" w:hAnsi="Calibri"/>
          <w:b/>
          <w:bCs/>
          <w:color w:val="9A1001"/>
          <w:sz w:val="28"/>
          <w:szCs w:val="28"/>
        </w:rPr>
        <w:t xml:space="preserve">9. Target and 90-day plan</w:t>
      </w:r>
    </w:p>
    <w:p>
      <w:pPr>
        <w:spacing w:after="160" w:line="276"/>
        <w:jc w:val="both"/>
      </w:pPr>
      <w:r>
        <w:rPr>
          <w:rFonts w:ascii="Calibri" w:cs="Calibri" w:eastAsia="Calibri" w:hAnsi="Calibri"/>
          <w:color w:val="1F2124"/>
          <w:sz w:val="22"/>
          <w:szCs w:val="22"/>
        </w:rPr>
        <w:t xml:space="preserve">This report is accompanied by two training sessions already prepared (“Inventory Accuracy” and “Kanban Induction”). The committed target is </w:t>
      </w:r>
      <w:r>
        <w:rPr>
          <w:rFonts w:ascii="Calibri" w:cs="Calibri" w:eastAsia="Calibri" w:hAnsi="Calibri"/>
          <w:b/>
          <w:bCs/>
          <w:color w:val="1F2124"/>
          <w:sz w:val="22"/>
          <w:szCs w:val="22"/>
        </w:rPr>
        <w:t xml:space="preserve">inventory accuracy ≥ 95% within 90 days</w:t>
      </w:r>
      <w:r>
        <w:rPr>
          <w:rFonts w:ascii="Calibri" w:cs="Calibri" w:eastAsia="Calibri" w:hAnsi="Calibri"/>
          <w:color w:val="1F2124"/>
          <w:sz w:val="22"/>
          <w:szCs w:val="22"/>
        </w:rPr>
        <w:t xml:space="preserve">, with the following plan (the 36.2% baseline feeds the “Our accuracy target” slide of the training):</w:t>
      </w:r>
    </w:p>
    <w:p>
      <w:pPr>
        <w:pStyle w:val="ListParagraph"/>
        <w:numPr>
          <w:ilvl w:val="0"/>
          <w:numId w:val="2"/>
        </w:numPr>
        <w:spacing w:after="80" w:line="264"/>
        <w:jc w:val="both"/>
      </w:pPr>
      <w:r>
        <w:rPr>
          <w:rFonts w:ascii="Calibri" w:cs="Calibri" w:eastAsia="Calibri" w:hAnsi="Calibri"/>
          <w:b/>
          <w:bCs/>
          <w:color w:val="1F2124"/>
          <w:sz w:val="22"/>
          <w:szCs w:val="22"/>
        </w:rPr>
        <w:t xml:space="preserve">Weeks 1–2: </w:t>
      </w:r>
      <w:r>
        <w:rPr>
          <w:rFonts w:ascii="Calibri" w:cs="Calibri" w:eastAsia="Calibri" w:hAnsi="Calibri"/>
          <w:color w:val="1F2124"/>
          <w:sz w:val="22"/>
          <w:szCs w:val="22"/>
        </w:rPr>
        <w:t xml:space="preserve">baseline — full count and initial accuracy calculation per line item.</w:t>
      </w:r>
    </w:p>
    <w:p>
      <w:pPr>
        <w:pStyle w:val="ListParagraph"/>
        <w:numPr>
          <w:ilvl w:val="0"/>
          <w:numId w:val="2"/>
        </w:numPr>
        <w:spacing w:after="80" w:line="264"/>
        <w:jc w:val="both"/>
      </w:pPr>
      <w:r>
        <w:rPr>
          <w:rFonts w:ascii="Calibri" w:cs="Calibri" w:eastAsia="Calibri" w:hAnsi="Calibri"/>
          <w:b/>
          <w:bCs/>
          <w:color w:val="1F2124"/>
          <w:sz w:val="22"/>
          <w:szCs w:val="22"/>
        </w:rPr>
        <w:t xml:space="preserve">Weeks 3–4: </w:t>
      </w:r>
      <w:r>
        <w:rPr>
          <w:rFonts w:ascii="Calibri" w:cs="Calibri" w:eastAsia="Calibri" w:hAnsi="Calibri"/>
          <w:color w:val="1F2124"/>
          <w:sz w:val="22"/>
          <w:szCs w:val="22"/>
        </w:rPr>
        <w:t xml:space="preserve">standardize units of measure and code storage locations.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5–6: </w:t>
      </w:r>
      <w:r>
        <w:rPr>
          <w:rFonts w:ascii="Calibri" w:cs="Calibri" w:eastAsia="Calibri" w:hAnsi="Calibri"/>
          <w:color w:val="1F2124"/>
          <w:sz w:val="22"/>
          <w:szCs w:val="22"/>
        </w:rPr>
        <w:t xml:space="preserve">reconcile and adjust Annex 24 with evidence (discharges, regularizations).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7–9: </w:t>
      </w:r>
      <w:r>
        <w:rPr>
          <w:rFonts w:ascii="Calibri" w:cs="Calibri" w:eastAsia="Calibri" w:hAnsi="Calibri"/>
          <w:color w:val="1F2124"/>
          <w:sz w:val="22"/>
          <w:szCs w:val="22"/>
        </w:rPr>
        <w:t xml:space="preserve">Kanban pilot on one product family + ABC cycle counts.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10–12: </w:t>
      </w:r>
      <w:r>
        <w:rPr>
          <w:rFonts w:ascii="Calibri" w:cs="Calibri" w:eastAsia="Calibri" w:hAnsi="Calibri"/>
          <w:color w:val="1F2124"/>
          <w:sz w:val="22"/>
          <w:szCs w:val="22"/>
        </w:rPr>
        <w:t xml:space="preserve">sustain — KPI board, audit, and rollout to the rest of the plant.</w:t>
      </w:r>
    </w:p>
    <w:sectPr>
      <w:footerReference w:type="default" r:id="rId7"/>
      <w:pgSz w:w="12240" w:h="15840" w:orient="portrait"/>
      <w:pgMar w:top="1200" w:right="1220" w:bottom="12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BDD" w:sz="4"/>
      </w:pBdr>
      <w:jc w:val="right"/>
    </w:pPr>
    <w:r>
      <w:rPr>
        <w:rFonts w:ascii="Calibri" w:cs="Calibri" w:eastAsia="Calibri" w:hAnsi="Calibri"/>
        <w:color w:val="5A5E63"/>
        <w:sz w:val="16"/>
        <w:szCs w:val="16"/>
      </w:rPr>
      <w:t xml:space="preserve">TACNA · MASTERPIECE Inventory Reconciliation   ·   Page </w:t>
    </w:r>
    <w:r>
      <w:rPr>
        <w:rFonts w:ascii="Calibri" w:cs="Calibri" w:eastAsia="Calibri" w:hAnsi="Calibri"/>
        <w:color w:val="5A5E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2026-07-03T00:10:45.752Z</dcterms:created>
  <dcterms:modified xsi:type="dcterms:W3CDTF">2026-07-03T00:10:45.752Z</dcterms:modified>
</cp:coreProperties>
</file>

<file path=docProps/custom.xml><?xml version="1.0" encoding="utf-8"?>
<Properties xmlns="http://schemas.openxmlformats.org/officeDocument/2006/custom-properties" xmlns:vt="http://schemas.openxmlformats.org/officeDocument/2006/docPropsVTypes"/>
</file>