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5000"/>
        <w:gridCol w:w="4300"/>
      </w:tblGrid>
      <w:tr>
        <w:tc>
          <w:tcPr>
            <w:tcW w:type="dxa" w:w="5000"/>
            <w:tcBorders>
              <w:top w:val="none" w:color="FFFFFF" w:sz="0"/>
              <w:left w:val="none" w:color="FFFFFF" w:sz="0"/>
              <w:bottom w:val="none" w:color="FFFFFF" w:sz="0"/>
              <w:right w:val="none" w:color="FFFFFF" w:sz="0"/>
            </w:tcBorders>
          </w:tcPr>
          <w:p>
            <w:pPr>
              <w:spacing w:after="0" w:line="280"/>
              <w:jc w:val="center"/>
            </w:pPr>
            <w:r>
              <w:rPr>
                <w:rFonts w:ascii="Tahoma" w:cs="Tahoma" w:eastAsia="Tahoma" w:hAnsi="Tahoma"/>
                <w:b/>
                <w:bCs/>
                <w:i w:val="false"/>
                <w:iCs w:val="false"/>
                <w:sz w:val="22"/>
                <w:szCs w:val="22"/>
              </w:rPr>
              <w:t xml:space="preserve">REPUBLIQUE DEMOCRATIQUE DU CONGO</w:t>
            </w:r>
          </w:p>
          <w:p>
            <w:pPr>
              <w:spacing w:after="0" w:line="280"/>
              <w:jc w:val="center"/>
            </w:pPr>
            <w:r>
              <w:rPr>
                <w:rFonts w:ascii="Tahoma" w:cs="Tahoma" w:eastAsia="Tahoma" w:hAnsi="Tahoma"/>
                <w:b/>
                <w:bCs/>
                <w:i w:val="false"/>
                <w:iCs w:val="false"/>
                <w:sz w:val="22"/>
                <w:szCs w:val="22"/>
              </w:rPr>
              <w:t xml:space="preserve">MINISTERE DE LA DEFENSE NATIONALE</w:t>
            </w:r>
          </w:p>
          <w:p>
            <w:pPr>
              <w:spacing w:after="0" w:line="280"/>
              <w:jc w:val="center"/>
            </w:pPr>
            <w:r>
              <w:rPr>
                <w:rFonts w:ascii="Tahoma" w:cs="Tahoma" w:eastAsia="Tahoma" w:hAnsi="Tahoma"/>
                <w:b/>
                <w:bCs/>
                <w:i w:val="false"/>
                <w:iCs w:val="false"/>
                <w:sz w:val="22"/>
                <w:szCs w:val="22"/>
              </w:rPr>
              <w:t xml:space="preserve">ET ANCIENS COMBATTANTS</w:t>
            </w:r>
          </w:p>
          <w:p>
            <w:pPr>
              <w:spacing w:after="60" w:line="280"/>
              <w:jc w:val="center"/>
            </w:pPr>
            <w:r>
              <w:rPr>
                <w:rFonts w:ascii="Tahoma" w:cs="Tahoma" w:eastAsia="Tahoma" w:hAnsi="Tahoma"/>
                <w:b/>
                <w:bCs/>
                <w:i w:val="false"/>
                <w:iCs w:val="false"/>
                <w:sz w:val="22"/>
                <w:szCs w:val="22"/>
              </w:rPr>
              <w:t xml:space="preserve">RESERVE ARMEE DE LA DEFENSE</w:t>
            </w:r>
          </w:p>
          <w:p>
            <w:pPr>
              <w:spacing w:after="0" w:line="280"/>
              <w:jc w:val="center"/>
            </w:pPr>
            <w:r>
              <w:rPr>
                <w:rFonts w:ascii="Tahoma" w:cs="Tahoma" w:eastAsia="Tahoma" w:hAnsi="Tahoma"/>
                <w:b/>
                <w:bCs/>
                <w:i w:val="false"/>
                <w:iCs w:val="false"/>
                <w:sz w:val="22"/>
                <w:szCs w:val="22"/>
              </w:rPr>
              <w:t xml:space="preserve">COORDINATION NATIONALE</w:t>
            </w:r>
          </w:p>
          <w:p>
            <w:pPr>
              <w:spacing w:after="0" w:line="280"/>
              <w:jc w:val="center"/>
            </w:pPr>
            <w:r>
              <w:rPr>
                <w:rFonts w:ascii="Tahoma" w:cs="Tahoma" w:eastAsia="Tahoma" w:hAnsi="Tahoma"/>
                <w:b w:val="false"/>
                <w:bCs w:val="false"/>
                <w:i/>
                <w:iCs/>
                <w:sz w:val="22"/>
                <w:szCs w:val="22"/>
              </w:rPr>
              <w:t xml:space="preserve">Direction d’Administration et Logistique</w:t>
            </w:r>
          </w:p>
          <w:p>
            <w:pPr>
              <w:spacing w:after="0" w:line="280"/>
              <w:jc w:val="center"/>
            </w:pPr>
            <w:r>
              <w:rPr>
                <w:rFonts w:ascii="Tahoma" w:cs="Tahoma" w:eastAsia="Tahoma" w:hAnsi="Tahoma"/>
                <w:b w:val="false"/>
                <w:bCs w:val="false"/>
                <w:i/>
                <w:iCs/>
                <w:sz w:val="22"/>
                <w:szCs w:val="22"/>
              </w:rPr>
              <w:t xml:space="preserve">Division Numérique</w:t>
            </w:r>
          </w:p>
        </w:tc>
        <w:tc>
          <w:tcPr>
            <w:tcW w:type="dxa" w:w="4300"/>
            <w:tcBorders>
              <w:top w:val="none" w:color="FFFFFF" w:sz="0"/>
              <w:left w:val="none" w:color="FFFFFF" w:sz="0"/>
              <w:bottom w:val="none" w:color="FFFFFF" w:sz="0"/>
              <w:right w:val="none" w:color="FFFFFF" w:sz="0"/>
            </w:tcBorders>
          </w:tcPr>
          <w:p>
            <w:pPr>
              <w:spacing w:after="120" w:line="280"/>
              <w:jc w:val="right"/>
            </w:pPr>
            <w:r>
              <w:rPr>
                <w:rFonts w:ascii="Tahoma" w:cs="Tahoma" w:eastAsia="Tahoma" w:hAnsi="Tahoma"/>
                <w:b w:val="false"/>
                <w:bCs w:val="false"/>
                <w:i w:val="false"/>
                <w:iCs w:val="false"/>
                <w:sz w:val="22"/>
                <w:szCs w:val="22"/>
              </w:rPr>
              <w:t xml:space="preserve">KINSHASA, le 29 juillet 2026</w:t>
            </w:r>
          </w:p>
          <w:p>
            <w:pPr>
              <w:spacing w:after="240" w:line="280"/>
              <w:jc w:val="right"/>
            </w:pPr>
            <w:r>
              <w:rPr>
                <w:rFonts w:ascii="Tahoma" w:cs="Tahoma" w:eastAsia="Tahoma" w:hAnsi="Tahoma"/>
                <w:b w:val="false"/>
                <w:bCs w:val="false"/>
                <w:i w:val="false"/>
                <w:iCs w:val="false"/>
                <w:sz w:val="22"/>
                <w:szCs w:val="22"/>
              </w:rPr>
              <w:t xml:space="preserve">N° ……/MDNAC/RAD/Coord Nat/DAL/Div Num/26</w:t>
            </w:r>
          </w:p>
          <w:p>
            <w:pPr>
              <w:spacing w:after="0" w:line="280"/>
              <w:jc w:val="right"/>
            </w:pPr>
            <w:r>
              <w:rPr>
                <w:rFonts w:ascii="Tahoma" w:cs="Tahoma" w:eastAsia="Tahoma" w:hAnsi="Tahoma"/>
                <w:b/>
                <w:bCs/>
                <w:i w:val="false"/>
                <w:iCs w:val="false"/>
                <w:sz w:val="22"/>
                <w:szCs w:val="22"/>
              </w:rPr>
              <w:t xml:space="preserve">Au Dir AdmLog</w:t>
            </w:r>
          </w:p>
          <w:p>
            <w:pPr>
              <w:spacing w:after="0" w:line="280"/>
              <w:jc w:val="right"/>
            </w:pPr>
            <w:r>
              <w:rPr>
                <w:rFonts w:ascii="Tahoma" w:cs="Tahoma" w:eastAsia="Tahoma" w:hAnsi="Tahoma"/>
                <w:b w:val="false"/>
                <w:bCs w:val="false"/>
                <w:i w:val="false"/>
                <w:iCs w:val="false"/>
                <w:sz w:val="22"/>
                <w:szCs w:val="22"/>
              </w:rPr>
              <w:t xml:space="preserve">à Kinshasa/Gombe</w:t>
            </w:r>
          </w:p>
        </w:tc>
      </w:tr>
    </w:tbl>
    <w:p>
      <w:pPr>
        <w:spacing w:after="200"/>
      </w:pPr>
      <w:r>
        <w:rPr>
          <w:rFonts w:ascii="Tahoma" w:cs="Tahoma" w:eastAsia="Tahoma" w:hAnsi="Tahoma"/>
          <w:b w:val="false"/>
          <w:bCs w:val="false"/>
          <w:i w:val="false"/>
          <w:iCs w:val="false"/>
          <w:sz w:val="28"/>
          <w:szCs w:val="28"/>
        </w:rPr>
        <w:t xml:space="preserve"/>
      </w:r>
    </w:p>
    <w:p>
      <w:pPr>
        <w:spacing w:after="100" w:line="280"/>
        <w:jc w:val="both"/>
      </w:pPr>
      <w:r>
        <w:rPr>
          <w:rFonts w:ascii="Tahoma" w:cs="Tahoma" w:eastAsia="Tahoma" w:hAnsi="Tahoma"/>
          <w:b/>
          <w:bCs/>
          <w:i w:val="false"/>
          <w:iCs w:val="false"/>
          <w:sz w:val="28"/>
          <w:szCs w:val="28"/>
        </w:rPr>
        <w:t xml:space="preserve">O B J E T : </w:t>
      </w:r>
      <w:r>
        <w:rPr>
          <w:rFonts w:ascii="Tahoma" w:cs="Tahoma" w:eastAsia="Tahoma" w:hAnsi="Tahoma"/>
          <w:b/>
          <w:bCs/>
          <w:i w:val="false"/>
          <w:iCs w:val="false"/>
          <w:sz w:val="28"/>
          <w:szCs w:val="28"/>
        </w:rPr>
        <w:t xml:space="preserve">Avis technique sur l’offre de fourniture de cartes d’identité présentée par la société CONGO ENERGY LTD.</w:t>
      </w:r>
    </w:p>
    <w:p>
      <w:pPr>
        <w:spacing w:after="240" w:line="280"/>
        <w:jc w:val="both"/>
      </w:pPr>
      <w:r>
        <w:rPr>
          <w:rFonts w:ascii="Tahoma" w:cs="Tahoma" w:eastAsia="Tahoma" w:hAnsi="Tahoma"/>
          <w:b/>
          <w:bCs/>
          <w:i w:val="false"/>
          <w:iCs w:val="false"/>
          <w:sz w:val="28"/>
          <w:szCs w:val="28"/>
        </w:rPr>
        <w:t xml:space="preserve">RÉF. : </w:t>
      </w:r>
      <w:r>
        <w:rPr>
          <w:rFonts w:ascii="Tahoma" w:cs="Tahoma" w:eastAsia="Tahoma" w:hAnsi="Tahoma"/>
          <w:b w:val="false"/>
          <w:bCs w:val="false"/>
          <w:i w:val="false"/>
          <w:iCs w:val="false"/>
          <w:sz w:val="28"/>
          <w:szCs w:val="28"/>
        </w:rPr>
        <w:t xml:space="preserve">Lettre n° 035/DG/MDJ/2026/C.E. Ltd et ses deux annexes.</w:t>
      </w:r>
    </w:p>
    <w:p>
      <w:pPr>
        <w:spacing w:after="200" w:line="280"/>
        <w:jc w:val="both"/>
      </w:pPr>
      <w:r>
        <w:rPr>
          <w:rFonts w:ascii="Tahoma" w:cs="Tahoma" w:eastAsia="Tahoma" w:hAnsi="Tahoma"/>
          <w:b w:val="false"/>
          <w:bCs w:val="false"/>
          <w:i w:val="false"/>
          <w:iCs w:val="false"/>
          <w:sz w:val="28"/>
          <w:szCs w:val="28"/>
        </w:rPr>
        <w:t xml:space="preserve">Monsieur le Directeur,</w:t>
      </w:r>
    </w:p>
    <w:p>
      <w:pPr>
        <w:spacing w:after="150" w:line="280"/>
        <w:jc w:val="both"/>
      </w:pPr>
      <w:r>
        <w:rPr>
          <w:rFonts w:ascii="Tahoma" w:cs="Tahoma" w:eastAsia="Tahoma" w:hAnsi="Tahoma"/>
          <w:b/>
          <w:bCs/>
          <w:i w:val="false"/>
          <w:iCs w:val="false"/>
          <w:sz w:val="28"/>
          <w:szCs w:val="28"/>
        </w:rPr>
        <w:t xml:space="preserve">1. </w:t>
      </w:r>
      <w:r>
        <w:rPr>
          <w:rFonts w:ascii="Tahoma" w:cs="Tahoma" w:eastAsia="Tahoma" w:hAnsi="Tahoma"/>
          <w:b w:val="false"/>
          <w:bCs w:val="false"/>
          <w:i w:val="false"/>
          <w:iCs w:val="false"/>
          <w:sz w:val="28"/>
          <w:szCs w:val="28"/>
        </w:rPr>
        <w:t xml:space="preserve">Conformément à votre transmission, j’ai procédé à l’examen technique du dossier cité en référence. Le présent avis se limite au domaine de compétence de la Division Numérique : la valeur technique de la solution proposée et sa cohérence avec la chaîne de production des cartes de service de la RAD.</w:t>
      </w:r>
    </w:p>
    <w:p>
      <w:pPr>
        <w:spacing w:after="150" w:line="280"/>
        <w:jc w:val="both"/>
      </w:pPr>
      <w:r>
        <w:rPr>
          <w:rFonts w:ascii="Tahoma" w:cs="Tahoma" w:eastAsia="Tahoma" w:hAnsi="Tahoma"/>
          <w:b/>
          <w:bCs/>
          <w:i w:val="false"/>
          <w:iCs w:val="false"/>
          <w:sz w:val="28"/>
          <w:szCs w:val="28"/>
        </w:rPr>
        <w:t xml:space="preserve">2. </w:t>
      </w:r>
      <w:r>
        <w:rPr>
          <w:rFonts w:ascii="Tahoma" w:cs="Tahoma" w:eastAsia="Tahoma" w:hAnsi="Tahoma"/>
          <w:b w:val="false"/>
          <w:bCs w:val="false"/>
          <w:i w:val="false"/>
          <w:iCs w:val="false"/>
          <w:sz w:val="28"/>
          <w:szCs w:val="28"/>
        </w:rPr>
        <w:t xml:space="preserve">Sur le principe, la démarche annoncée n’est pas contestable : l’impression par retransfert avec module de lamination, l’hologramme de surface, la puce sans contact, le serveur de base de données dédié et le pare-feu en tête de réseau correspondent bien à ce qu’exige une production de cartes sécurisées. C’est dans le détail que le dossier ne résiste pas à l’examen.</w:t>
      </w:r>
    </w:p>
    <w:p>
      <w:pPr>
        <w:spacing w:after="150" w:line="280"/>
        <w:jc w:val="left"/>
      </w:pPr>
      <w:r>
        <w:rPr>
          <w:rFonts w:ascii="Tahoma" w:cs="Tahoma" w:eastAsia="Tahoma" w:hAnsi="Tahoma"/>
          <w:b/>
          <w:bCs/>
          <w:i w:val="false"/>
          <w:iCs w:val="false"/>
          <w:sz w:val="28"/>
          <w:szCs w:val="28"/>
        </w:rPr>
        <w:t xml:space="preserve">I. ERREURS ET INCOHÉRENCES CONSTATÉES</w:t>
      </w:r>
    </w:p>
    <w:p>
      <w:pPr>
        <w:spacing w:after="150" w:line="280"/>
        <w:ind w:left="340"/>
        <w:jc w:val="both"/>
      </w:pPr>
      <w:r>
        <w:rPr>
          <w:rFonts w:ascii="Tahoma" w:cs="Tahoma" w:eastAsia="Tahoma" w:hAnsi="Tahoma"/>
          <w:b/>
          <w:bCs/>
          <w:i w:val="false"/>
          <w:iCs w:val="false"/>
          <w:sz w:val="28"/>
          <w:szCs w:val="28"/>
        </w:rPr>
        <w:t xml:space="preserve">a. </w:t>
      </w:r>
      <w:r>
        <w:rPr>
          <w:rFonts w:ascii="Tahoma" w:cs="Tahoma" w:eastAsia="Tahoma" w:hAnsi="Tahoma"/>
          <w:b/>
          <w:bCs/>
          <w:i w:val="false"/>
          <w:iCs w:val="false"/>
          <w:sz w:val="28"/>
          <w:szCs w:val="28"/>
        </w:rPr>
        <w:t xml:space="preserve">Sur le niveau de sécurité annoncé de la carte. </w:t>
      </w:r>
      <w:r>
        <w:rPr>
          <w:rFonts w:ascii="Tahoma" w:cs="Tahoma" w:eastAsia="Tahoma" w:hAnsi="Tahoma"/>
          <w:b w:val="false"/>
          <w:bCs w:val="false"/>
          <w:i w:val="false"/>
          <w:iCs w:val="false"/>
          <w:sz w:val="28"/>
          <w:szCs w:val="28"/>
        </w:rPr>
        <w:t xml:space="preserve">La lettre soutient que la carte offre une protection égale à celle du passeport biométrique et qu’elle « n’est pas falsifiable, quelle que soit la méthode utilisée ». Les spécifications annexées annoncent pourtant une puce MIFARE DESFire, qui est un composant de contrôle d’accès sans contact et non un microcontrôleur de titre régalien conforme à la norme ICAO 9303. L’annexe contredit donc la lettre. Par ailleurs, aucune carte n’est absolument infalsifiable : la sécurité d’un titre s’apprécie en niveaux de résistance et en durée de vie, jamais en invulnérabilité.</w:t>
      </w:r>
    </w:p>
    <w:p>
      <w:pPr>
        <w:spacing w:after="150" w:line="280"/>
        <w:ind w:left="340"/>
        <w:jc w:val="both"/>
      </w:pPr>
      <w:r>
        <w:rPr>
          <w:rFonts w:ascii="Tahoma" w:cs="Tahoma" w:eastAsia="Tahoma" w:hAnsi="Tahoma"/>
          <w:b/>
          <w:bCs/>
          <w:i w:val="false"/>
          <w:iCs w:val="false"/>
          <w:sz w:val="28"/>
          <w:szCs w:val="28"/>
        </w:rPr>
        <w:t xml:space="preserve">b. </w:t>
      </w:r>
      <w:r>
        <w:rPr>
          <w:rFonts w:ascii="Tahoma" w:cs="Tahoma" w:eastAsia="Tahoma" w:hAnsi="Tahoma"/>
          <w:b/>
          <w:bCs/>
          <w:i w:val="false"/>
          <w:iCs w:val="false"/>
          <w:sz w:val="28"/>
          <w:szCs w:val="28"/>
        </w:rPr>
        <w:t xml:space="preserve">Sur la terminologie des éléments de sécurité. </w:t>
      </w:r>
      <w:r>
        <w:rPr>
          <w:rFonts w:ascii="Tahoma" w:cs="Tahoma" w:eastAsia="Tahoma" w:hAnsi="Tahoma"/>
          <w:b w:val="false"/>
          <w:bCs w:val="false"/>
          <w:i w:val="false"/>
          <w:iCs w:val="false"/>
          <w:sz w:val="28"/>
          <w:szCs w:val="28"/>
        </w:rPr>
        <w:t xml:space="preserve">Plusieurs mentions de la fiche de spécifications sont inexactes ou n’existent pas. Le « verre holographique » n’a pas de sens sur une carte PVC, où l’on parle de vernis ou d’hologramme. La « sécurité Holocote visible par torche UV » confond deux technologies distinctes, les encres réactives aux ultraviolets d’une part et les dispositifs optiquement variables d’autre part. Le « dénouement des données » et la « numérotation des impacts » ne correspondent à aucune fonction de sécurité documentaire identifiable. Enfin, aucune norme n’est citée dans tout le dossier, ni ISO/IEC 7810 pour le format, ni ISO/IEC 14443 pour l’interface sans contact, ni ICAO 9303. Une solution présentée comme étant au standard international mais qui ne nomme aucun standard n’est pas vérifiable.</w:t>
      </w:r>
    </w:p>
    <w:p>
      <w:pPr>
        <w:spacing w:after="150" w:line="280"/>
        <w:ind w:left="340"/>
        <w:jc w:val="both"/>
      </w:pPr>
      <w:r>
        <w:rPr>
          <w:rFonts w:ascii="Tahoma" w:cs="Tahoma" w:eastAsia="Tahoma" w:hAnsi="Tahoma"/>
          <w:b/>
          <w:bCs/>
          <w:i w:val="false"/>
          <w:iCs w:val="false"/>
          <w:sz w:val="28"/>
          <w:szCs w:val="28"/>
        </w:rPr>
        <w:t xml:space="preserve">c. </w:t>
      </w:r>
      <w:r>
        <w:rPr>
          <w:rFonts w:ascii="Tahoma" w:cs="Tahoma" w:eastAsia="Tahoma" w:hAnsi="Tahoma"/>
          <w:b/>
          <w:bCs/>
          <w:i w:val="false"/>
          <w:iCs w:val="false"/>
          <w:sz w:val="28"/>
          <w:szCs w:val="28"/>
        </w:rPr>
        <w:t xml:space="preserve">Sur la chaîne d’impression proposée. </w:t>
      </w:r>
      <w:r>
        <w:rPr>
          <w:rFonts w:ascii="Tahoma" w:cs="Tahoma" w:eastAsia="Tahoma" w:hAnsi="Tahoma"/>
          <w:b w:val="false"/>
          <w:bCs w:val="false"/>
          <w:i w:val="false"/>
          <w:iCs w:val="false"/>
          <w:sz w:val="28"/>
          <w:szCs w:val="28"/>
        </w:rPr>
        <w:t xml:space="preserve">Les spécifications renvoient à une imprimante de marque « Smath 81 », tandis que la liste des matériels propose une imprimante Evolis Avansia accompagnée du logiciel Cardpresso. Ce sont deux écosystèmes de constructeurs différents et non interchangeables : la solution réellement proposée n’est donc pas déterminable. Le dimensionnement des consommables est lui aussi incohérent, puisque cinq rubans et cinq films de cinq cents impressions, soit une capacité de deux mille cinq cents cartes, sont prévus pour six cents cartes vierges seulement, sans aucune provision pour rebuts alors que le retransfert en génère systématiquement. Plusieurs désignations sont enfin inexploitables : le « Switch TP-Link SG121 8MP 24 PoE » ne correspond à aucune référence connue et mêle deux densités de ports contradictoires, le routeur est écrit « MiKrotic » au lieu de MikroTik, et la marque de l’imprimante est orthographiée de deux manières différentes dans le même tableau. Un matériel qui ne peut être identifié ne peut être ni commandé, ni réceptionné, ni garanti.</w:t>
      </w:r>
    </w:p>
    <w:p>
      <w:pPr>
        <w:spacing w:after="150" w:line="280"/>
        <w:ind w:left="340"/>
        <w:jc w:val="both"/>
      </w:pPr>
      <w:r>
        <w:rPr>
          <w:rFonts w:ascii="Tahoma" w:cs="Tahoma" w:eastAsia="Tahoma" w:hAnsi="Tahoma"/>
          <w:b/>
          <w:bCs/>
          <w:i w:val="false"/>
          <w:iCs w:val="false"/>
          <w:sz w:val="28"/>
          <w:szCs w:val="28"/>
        </w:rPr>
        <w:t xml:space="preserve">d. </w:t>
      </w:r>
      <w:r>
        <w:rPr>
          <w:rFonts w:ascii="Tahoma" w:cs="Tahoma" w:eastAsia="Tahoma" w:hAnsi="Tahoma"/>
          <w:b/>
          <w:bCs/>
          <w:i w:val="false"/>
          <w:iCs w:val="false"/>
          <w:sz w:val="28"/>
          <w:szCs w:val="28"/>
        </w:rPr>
        <w:t xml:space="preserve">Sur le serveur et les logiciels. </w:t>
      </w:r>
      <w:r>
        <w:rPr>
          <w:rFonts w:ascii="Tahoma" w:cs="Tahoma" w:eastAsia="Tahoma" w:hAnsi="Tahoma"/>
          <w:b w:val="false"/>
          <w:bCs w:val="false"/>
          <w:i w:val="false"/>
          <w:iCs w:val="false"/>
          <w:sz w:val="28"/>
          <w:szCs w:val="28"/>
        </w:rPr>
        <w:t xml:space="preserve">Un serveur unique est proposé, sans niveau de RAID précisé, sans alimentation redondante, sans solution de sauvegarde ni copie hors site : la base d’identification reposerait ainsi sur un seul point de défaillance. La désignation « Intel Xeon 28 CPU » est impropre, il s’agit de vingt-huit cœurs et non de vingt-huit processeurs, et la génération de serveur retenue est antérieure aux références actuelles du constructeur. Du côté logiciel, la licence Windows Server est proposée sans aucune licence d’accès client, et aucune licence SQL Server ne figure au bordereau alors que les spécifications l’exigent expressément ; ces omissions apparaîtraient comme des coûts supplémentaires après commande. La ligne « antivirus version serveur » ne porte aucune quantité, dix licences biométriques sont prévues pour deux postes de travail seulement, et la ligne « synchronisation des données » ne désigne aucun produit identifiable.</w:t>
      </w:r>
    </w:p>
    <w:p>
      <w:pPr>
        <w:spacing w:after="150" w:line="280"/>
        <w:ind w:left="340"/>
        <w:jc w:val="both"/>
      </w:pPr>
      <w:r>
        <w:rPr>
          <w:rFonts w:ascii="Tahoma" w:cs="Tahoma" w:eastAsia="Tahoma" w:hAnsi="Tahoma"/>
          <w:b/>
          <w:bCs/>
          <w:i w:val="false"/>
          <w:iCs w:val="false"/>
          <w:sz w:val="28"/>
          <w:szCs w:val="28"/>
        </w:rPr>
        <w:t xml:space="preserve">e. </w:t>
      </w:r>
      <w:r>
        <w:rPr>
          <w:rFonts w:ascii="Tahoma" w:cs="Tahoma" w:eastAsia="Tahoma" w:hAnsi="Tahoma"/>
          <w:b/>
          <w:bCs/>
          <w:i w:val="false"/>
          <w:iCs w:val="false"/>
          <w:sz w:val="28"/>
          <w:szCs w:val="28"/>
        </w:rPr>
        <w:t xml:space="preserve">Sur l’énergie, le local technique et la sécurité physique. </w:t>
      </w:r>
      <w:r>
        <w:rPr>
          <w:rFonts w:ascii="Tahoma" w:cs="Tahoma" w:eastAsia="Tahoma" w:hAnsi="Tahoma"/>
          <w:b w:val="false"/>
          <w:bCs w:val="false"/>
          <w:i w:val="false"/>
          <w:iCs w:val="false"/>
          <w:sz w:val="28"/>
          <w:szCs w:val="28"/>
        </w:rPr>
        <w:t xml:space="preserve">L’onduleur retenu est un onduleur hybride de type solaire, monophasé, et aucun parc de batteries ne figure au bordereau : sans batteries, un tel équipement n’assure aucune autonomie et ne remplace pas un onduleur rack en ligne à double conversion, seul adapté à la protection d’un serveur et d’une chaîne d’impression. Il est de plus associé à un stabilisateur annoncé en triphasé, ce qui rend l’ensemble électriquement incohérent et inexploitable en l’état. Le rack est prévu sans bandeaux de distribution électrique, sans climatisation du local et sans mise à la terre. Le pare-feu est proposé sans abonnement de sécurité, alors que sans souscription active un tel équipement se réduit à un routeur filtrant, sans mise à jour de signatures. Enfin, la sécurité physique de la zone de production se limite à une armoire métallique et à un terminal de contrôle d’accès de gamme commerciale, là où une production sécurisée exige un local à accès journalisé, un coffre pour les cartes vierges et les consommables sécurisés, et une traçabilité des rebuts.</w:t>
      </w:r>
    </w:p>
    <w:p>
      <w:pPr>
        <w:spacing w:after="150" w:line="280"/>
        <w:ind w:left="340"/>
        <w:jc w:val="both"/>
      </w:pPr>
      <w:r>
        <w:rPr>
          <w:rFonts w:ascii="Tahoma" w:cs="Tahoma" w:eastAsia="Tahoma" w:hAnsi="Tahoma"/>
          <w:b/>
          <w:bCs/>
          <w:i w:val="false"/>
          <w:iCs w:val="false"/>
          <w:sz w:val="28"/>
          <w:szCs w:val="28"/>
        </w:rPr>
        <w:t xml:space="preserve">f. </w:t>
      </w:r>
      <w:r>
        <w:rPr>
          <w:rFonts w:ascii="Tahoma" w:cs="Tahoma" w:eastAsia="Tahoma" w:hAnsi="Tahoma"/>
          <w:b/>
          <w:bCs/>
          <w:i w:val="false"/>
          <w:iCs w:val="false"/>
          <w:sz w:val="28"/>
          <w:szCs w:val="28"/>
        </w:rPr>
        <w:t xml:space="preserve">Sur les licences et la charge réellement transférée à la RAD. </w:t>
      </w:r>
      <w:r>
        <w:rPr>
          <w:rFonts w:ascii="Tahoma" w:cs="Tahoma" w:eastAsia="Tahoma" w:hAnsi="Tahoma"/>
          <w:b w:val="false"/>
          <w:bCs w:val="false"/>
          <w:i w:val="false"/>
          <w:iCs w:val="false"/>
          <w:sz w:val="28"/>
          <w:szCs w:val="28"/>
        </w:rPr>
        <w:t xml:space="preserve">Les rubriques « licence des données biométriques » et « licence des données sur la micro puce » sont mentionnées sans éditeur, sans périmètre, sans nombre de postes et sans durée. C’est le point le plus lourd du dossier : si la clé ou le droit d’écriture sur la puce demeure chez le fournisseur, la RAD perd la capacité de produire et de remplacer elle-même ses cartes. Il faut relever à ce sujet que les spécifications mettent déjà à la charge de la RAD l’environnement sécurisé, l’encodage de la puce, la base de données, le câblage et le réseau. La maîtrise de la chaîne repose donc, de l’aveu même du soumissionnaire, sur la Division Numérique, l’apport résiduel se limitant à des matériels, des consommables et des licences non définies. Les prestations de service réseau et d’installation du câblage annoncées après livraison sont du reste étrangères à l’objet de l’offre et recoupent des travaux déjà instruits par la Division.</w:t>
      </w:r>
    </w:p>
    <w:p>
      <w:pPr>
        <w:spacing w:after="150" w:line="280"/>
        <w:jc w:val="left"/>
      </w:pPr>
      <w:r>
        <w:rPr>
          <w:rFonts w:ascii="Tahoma" w:cs="Tahoma" w:eastAsia="Tahoma" w:hAnsi="Tahoma"/>
          <w:b/>
          <w:bCs/>
          <w:i w:val="false"/>
          <w:iCs w:val="false"/>
          <w:sz w:val="28"/>
          <w:szCs w:val="28"/>
        </w:rPr>
        <w:t xml:space="preserve">II. CAPACITÉ EXISTANTE DE LA DIVISION NUMÉRIQUE</w:t>
      </w:r>
    </w:p>
    <w:p>
      <w:pPr>
        <w:spacing w:after="150" w:line="280"/>
        <w:jc w:val="both"/>
      </w:pPr>
      <w:r>
        <w:rPr>
          <w:rFonts w:ascii="Tahoma" w:cs="Tahoma" w:eastAsia="Tahoma" w:hAnsi="Tahoma"/>
          <w:b/>
          <w:bCs/>
          <w:i w:val="false"/>
          <w:iCs w:val="false"/>
          <w:sz w:val="28"/>
          <w:szCs w:val="28"/>
        </w:rPr>
        <w:t xml:space="preserve">3. </w:t>
      </w:r>
      <w:r>
        <w:rPr>
          <w:rFonts w:ascii="Tahoma" w:cs="Tahoma" w:eastAsia="Tahoma" w:hAnsi="Tahoma"/>
          <w:b w:val="false"/>
          <w:bCs w:val="false"/>
          <w:i w:val="false"/>
          <w:iCs w:val="false"/>
          <w:sz w:val="28"/>
          <w:szCs w:val="28"/>
        </w:rPr>
        <w:t xml:space="preserve">La Division Numérique dispose déjà, en interne, d’une machine de personnalisation de cartes et d’une équipe constituée pour la conception, l’impression et l’encodage des cartes de service de la RAD. La chaîne de production, la base de données et les éléments de sécurité du titre sont maîtrisés par nos propres agents, sans recours à un intermédiaire.</w:t>
      </w:r>
    </w:p>
    <w:p>
      <w:pPr>
        <w:spacing w:after="150" w:line="280"/>
        <w:jc w:val="both"/>
      </w:pPr>
      <w:r>
        <w:rPr>
          <w:rFonts w:ascii="Tahoma" w:cs="Tahoma" w:eastAsia="Tahoma" w:hAnsi="Tahoma"/>
          <w:b/>
          <w:bCs/>
          <w:i w:val="false"/>
          <w:iCs w:val="false"/>
          <w:sz w:val="28"/>
          <w:szCs w:val="28"/>
        </w:rPr>
        <w:t xml:space="preserve">4. </w:t>
      </w:r>
      <w:r>
        <w:rPr>
          <w:rFonts w:ascii="Tahoma" w:cs="Tahoma" w:eastAsia="Tahoma" w:hAnsi="Tahoma"/>
          <w:b w:val="false"/>
          <w:bCs w:val="false"/>
          <w:i w:val="false"/>
          <w:iCs w:val="false"/>
          <w:sz w:val="28"/>
          <w:szCs w:val="28"/>
        </w:rPr>
        <w:t xml:space="preserve">La facture pro forma relative à la station de production a par ailleurs déjà été introduite, et les équipements de même nature que ceux figurant dans la liste annexée à cette offre ont déjà été commandés auprès de notre fournisseur. L’offre examinée fait donc doublon avec une capacité déjà engagée, dont elle reprend l’essentiel du périmètre matériel en y ajoutant des licences non définies et des prestations étrangères à son objet.</w:t>
      </w:r>
    </w:p>
    <w:p>
      <w:pPr>
        <w:spacing w:after="150" w:line="280"/>
        <w:jc w:val="both"/>
      </w:pPr>
      <w:r>
        <w:rPr>
          <w:rFonts w:ascii="Tahoma" w:cs="Tahoma" w:eastAsia="Tahoma" w:hAnsi="Tahoma"/>
          <w:b/>
          <w:bCs/>
          <w:i w:val="false"/>
          <w:iCs w:val="false"/>
          <w:sz w:val="28"/>
          <w:szCs w:val="28"/>
        </w:rPr>
        <w:t xml:space="preserve">5. </w:t>
      </w:r>
      <w:r>
        <w:rPr>
          <w:rFonts w:ascii="Tahoma" w:cs="Tahoma" w:eastAsia="Tahoma" w:hAnsi="Tahoma"/>
          <w:b w:val="false"/>
          <w:bCs w:val="false"/>
          <w:i w:val="false"/>
          <w:iCs w:val="false"/>
          <w:sz w:val="28"/>
          <w:szCs w:val="28"/>
        </w:rPr>
        <w:t xml:space="preserve">La Division est en mesure de produire ces cartes en interne, dans les conditions de sécurité requises, pour autant que les moyens adéquats lui soient accordés : achèvement de la commande en cours, complément de consommables, sécurisation du local de production et de la chaîne d’énergie, licences complètes et formation continue des agents concernés.</w:t>
      </w:r>
    </w:p>
    <w:p>
      <w:pPr>
        <w:spacing w:after="150" w:line="280"/>
        <w:jc w:val="left"/>
      </w:pPr>
      <w:r>
        <w:rPr>
          <w:rFonts w:ascii="Tahoma" w:cs="Tahoma" w:eastAsia="Tahoma" w:hAnsi="Tahoma"/>
          <w:b/>
          <w:bCs/>
          <w:i w:val="false"/>
          <w:iCs w:val="false"/>
          <w:sz w:val="28"/>
          <w:szCs w:val="28"/>
        </w:rPr>
        <w:t xml:space="preserve">III. AVIS</w:t>
      </w:r>
    </w:p>
    <w:p>
      <w:pPr>
        <w:spacing w:after="150" w:line="280"/>
        <w:jc w:val="both"/>
      </w:pPr>
      <w:r>
        <w:rPr>
          <w:rFonts w:ascii="Tahoma" w:cs="Tahoma" w:eastAsia="Tahoma" w:hAnsi="Tahoma"/>
          <w:b/>
          <w:bCs/>
          <w:i w:val="false"/>
          <w:iCs w:val="false"/>
          <w:sz w:val="28"/>
          <w:szCs w:val="28"/>
        </w:rPr>
        <w:t xml:space="preserve">6. </w:t>
      </w:r>
      <w:r>
        <w:rPr>
          <w:rFonts w:ascii="Tahoma" w:cs="Tahoma" w:eastAsia="Tahoma" w:hAnsi="Tahoma"/>
          <w:b w:val="false"/>
          <w:bCs w:val="false"/>
          <w:i w:val="false"/>
          <w:iCs w:val="false"/>
          <w:sz w:val="28"/>
          <w:szCs w:val="28"/>
        </w:rPr>
        <w:t xml:space="preserve">Sur le plan technique, j’émets un avis défavorable à la suite à donner à cette offre. Le dossier n’est pas cohérent avec lui-même, les matériels ne sont pas tous identifiables, le niveau de sécurité annoncé est contredit par les composants proposés, l’architecture serveur, énergie et local n’est pas exploitable en l’état, et les licences déterminantes ne sont pas définies.</w:t>
      </w:r>
    </w:p>
    <w:p>
      <w:pPr>
        <w:spacing w:after="150" w:line="280"/>
        <w:jc w:val="both"/>
      </w:pPr>
      <w:r>
        <w:rPr>
          <w:rFonts w:ascii="Tahoma" w:cs="Tahoma" w:eastAsia="Tahoma" w:hAnsi="Tahoma"/>
          <w:b/>
          <w:bCs/>
          <w:i w:val="false"/>
          <w:iCs w:val="false"/>
          <w:sz w:val="28"/>
          <w:szCs w:val="28"/>
        </w:rPr>
        <w:t xml:space="preserve">7. </w:t>
      </w:r>
      <w:r>
        <w:rPr>
          <w:rFonts w:ascii="Tahoma" w:cs="Tahoma" w:eastAsia="Tahoma" w:hAnsi="Tahoma"/>
          <w:b w:val="false"/>
          <w:bCs w:val="false"/>
          <w:i w:val="false"/>
          <w:iCs w:val="false"/>
          <w:sz w:val="28"/>
          <w:szCs w:val="28"/>
        </w:rPr>
        <w:t xml:space="preserve">Je propose en conséquence de classer ce dossier sans suite sur le plan technique et de concentrer l’effort sur la solution interne déjà engagée, en dotant la Division Numérique des moyens nécessaires à son achèvement. Je reste disponible pour élaborer, sur cette base, le cahier des charges technique de référence de la RAD en matière de cartes de service.</w:t>
      </w:r>
    </w:p>
    <w:p>
      <w:pPr>
        <w:spacing w:after="200"/>
      </w:pPr>
      <w:r>
        <w:rPr>
          <w:rFonts w:ascii="Tahoma" w:cs="Tahoma" w:eastAsia="Tahoma" w:hAnsi="Tahoma"/>
          <w:b w:val="false"/>
          <w:bCs w:val="false"/>
          <w:i w:val="false"/>
          <w:iCs w:val="false"/>
          <w:sz w:val="28"/>
          <w:szCs w:val="28"/>
        </w:rPr>
        <w:t xml:space="preserve"/>
      </w:r>
    </w:p>
    <w:p>
      <w:pPr>
        <w:spacing w:after="400" w:line="280"/>
        <w:jc w:val="both"/>
      </w:pPr>
      <w:r>
        <w:rPr>
          <w:rFonts w:ascii="Tahoma" w:cs="Tahoma" w:eastAsia="Tahoma" w:hAnsi="Tahoma"/>
          <w:b w:val="false"/>
          <w:bCs w:val="false"/>
          <w:i w:val="false"/>
          <w:iCs w:val="false"/>
          <w:sz w:val="28"/>
          <w:szCs w:val="28"/>
        </w:rPr>
        <w:t xml:space="preserve">Veuillez agréer, Monsieur le Directeur, l’expression de ma parfaite considération.</w:t>
      </w:r>
    </w:p>
    <w:p>
      <w:pPr>
        <w:spacing w:after="0" w:line="280"/>
        <w:jc w:val="right"/>
      </w:pPr>
      <w:r>
        <w:rPr>
          <w:rFonts w:ascii="Tahoma" w:cs="Tahoma" w:eastAsia="Tahoma" w:hAnsi="Tahoma"/>
          <w:b/>
          <w:bCs/>
          <w:i w:val="false"/>
          <w:iCs w:val="false"/>
          <w:sz w:val="28"/>
          <w:szCs w:val="28"/>
        </w:rPr>
        <w:t xml:space="preserve">MUFALME BULENDA Josué</w:t>
      </w:r>
    </w:p>
    <w:p>
      <w:pPr>
        <w:spacing w:after="0" w:line="280"/>
        <w:jc w:val="right"/>
      </w:pPr>
      <w:r>
        <w:rPr>
          <w:rFonts w:ascii="Tahoma" w:cs="Tahoma" w:eastAsia="Tahoma" w:hAnsi="Tahoma"/>
          <w:b w:val="false"/>
          <w:bCs w:val="false"/>
          <w:i w:val="false"/>
          <w:iCs w:val="false"/>
          <w:sz w:val="28"/>
          <w:szCs w:val="28"/>
        </w:rPr>
        <w:t xml:space="preserve">Chef Div Numérique</w:t>
      </w:r>
    </w:p>
    <w:sectPr>
      <w:pgSz w:w="11906" w:h="16838" w:orient="portrait"/>
      <w:pgMar w:top="1000" w:right="10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2026-07-29T20:30:13.223Z</dcterms:created>
  <dcterms:modified xsi:type="dcterms:W3CDTF">2026-07-29T20:30:13.237Z</dcterms:modified>
</cp:coreProperties>
</file>

<file path=docProps/custom.xml><?xml version="1.0" encoding="utf-8"?>
<Properties xmlns="http://schemas.openxmlformats.org/officeDocument/2006/custom-properties" xmlns:vt="http://schemas.openxmlformats.org/officeDocument/2006/docPropsVTypes"/>
</file>