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bookmarkEnd w:id="0"/>
    <w:p w:rsidR="00EF4C90" w:rsidRPr="005D029A" w:rsidRDefault="00EF4C90" w:rsidP="00EF4C90">
      <w:pPr>
        <w:spacing w:after="0"/>
        <w:rPr>
          <w:rFonts w:ascii="Tahoma" w:hAnsi="Tahoma" w:cs="Tahoma"/>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29A">
        <w:rPr>
          <w:rFonts w:ascii="Tahoma" w:hAnsi="Tahoma" w:cs="Tahoma"/>
          <w:noProof/>
          <w:lang w:eastAsia="fr-FR"/>
        </w:rPr>
        <mc:AlternateContent>
          <mc:Choice Requires="wps">
            <w:drawing>
              <wp:anchor distT="0" distB="0" distL="114300" distR="114300" simplePos="0" relativeHeight="251659264" behindDoc="0" locked="0" layoutInCell="1" allowOverlap="1" wp14:anchorId="03D2CFB6" wp14:editId="49772B78">
                <wp:simplePos x="0" y="0"/>
                <wp:positionH relativeFrom="column">
                  <wp:posOffset>-369298</wp:posOffset>
                </wp:positionH>
                <wp:positionV relativeFrom="paragraph">
                  <wp:posOffset>-454140</wp:posOffset>
                </wp:positionV>
                <wp:extent cx="3253839" cy="1995054"/>
                <wp:effectExtent l="0" t="0" r="3810" b="5715"/>
                <wp:wrapNone/>
                <wp:docPr id="1"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3839" cy="199505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F4C90" w:rsidRPr="006228D0" w:rsidRDefault="00EF4C90" w:rsidP="00EF4C90">
                            <w:pPr>
                              <w:spacing w:after="0"/>
                              <w:jc w:val="center"/>
                              <w:rPr>
                                <w:rFonts w:ascii="Bookman Old Style" w:hAnsi="Bookman Old Style" w:cs="Monotype Corsiva"/>
                                <w:b/>
                                <w:bCs/>
                                <w:sz w:val="16"/>
                                <w:szCs w:val="14"/>
                              </w:rPr>
                            </w:pPr>
                          </w:p>
                          <w:p w:rsidR="00EF4C90" w:rsidRPr="006228D0" w:rsidRDefault="00123768" w:rsidP="00EF4C90">
                            <w:pPr>
                              <w:spacing w:after="0"/>
                              <w:jc w:val="center"/>
                              <w:rPr>
                                <w:sz w:val="18"/>
                                <w:szCs w:val="14"/>
                              </w:rPr>
                            </w:pPr>
                            <w:r>
                              <w:rPr>
                                <w:noProof/>
                                <w:lang w:eastAsia="fr-FR"/>
                              </w:rPr>
                              <w:drawing>
                                <wp:inline distT="0" distB="0" distL="0" distR="0" wp14:anchorId="5AFABA11" wp14:editId="31FB9B6C">
                                  <wp:extent cx="2658207" cy="1890346"/>
                                  <wp:effectExtent l="0" t="0" r="0" b="0"/>
                                  <wp:docPr id="3" name="Image 3" descr="G:\EN TETE DAL.jpg"/>
                                  <wp:cNvGraphicFramePr/>
                                  <a:graphic xmlns:a="http://schemas.openxmlformats.org/drawingml/2006/main">
                                    <a:graphicData uri="http://schemas.openxmlformats.org/drawingml/2006/picture">
                                      <pic:pic xmlns:pic="http://schemas.openxmlformats.org/drawingml/2006/picture">
                                        <pic:nvPicPr>
                                          <pic:cNvPr id="1" name="Image 1" descr="G:\EN TETE DAL.jpg"/>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62433" cy="1893351"/>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D2CFB6" id="_x0000_t202" coordsize="21600,21600" o:spt="202" path="m,l,21600r21600,l21600,xe">
                <v:stroke joinstyle="miter"/>
                <v:path gradientshapeok="t" o:connecttype="rect"/>
              </v:shapetype>
              <v:shape id="Zone de texte 3" o:spid="_x0000_s1026" type="#_x0000_t202" style="position:absolute;margin-left:-29.1pt;margin-top:-35.75pt;width:256.2pt;height:157.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" stroked="f">
                <v:textbox>
                  <w:txbxContent>
                    <w:p w:rsidR="00EF4C90" w:rsidRPr="006228D0" w:rsidRDefault="00EF4C90" w:rsidP="00EF4C90">
                      <w:pPr>
                        <w:spacing w:after="0"/>
                        <w:jc w:val="center"/>
                        <w:rPr>
                          <w:rFonts w:ascii="Bookman Old Style" w:hAnsi="Bookman Old Style" w:cs="Monotype Corsiva"/>
                          <w:b/>
                          <w:bCs/>
                          <w:sz w:val="16"/>
                          <w:szCs w:val="14"/>
                        </w:rPr>
                      </w:pPr>
                    </w:p>
                    <w:p w:rsidR="00EF4C90" w:rsidRPr="006228D0" w:rsidRDefault="00123768" w:rsidP="00EF4C90">
                      <w:pPr>
                        <w:spacing w:after="0"/>
                        <w:jc w:val="center"/>
                        <w:rPr>
                          <w:sz w:val="18"/>
                          <w:szCs w:val="14"/>
                        </w:rPr>
                      </w:pPr>
                      <w:r>
                        <w:rPr>
                          <w:noProof/>
                          <w:lang w:eastAsia="fr-FR"/>
                        </w:rPr>
                        <w:drawing>
                          <wp:inline distT="0" distB="0" distL="0" distR="0" wp14:anchorId="5AFABA11" wp14:editId="31FB9B6C">
                            <wp:extent cx="2658207" cy="1890346"/>
                            <wp:effectExtent l="0" t="0" r="0" b="0"/>
                            <wp:docPr id="3" name="Image 3" descr="G:\EN TETE DAL.jpg"/>
                            <wp:cNvGraphicFramePr/>
                            <a:graphic xmlns:a="http://schemas.openxmlformats.org/drawingml/2006/main">
                              <a:graphicData uri="http://schemas.openxmlformats.org/drawingml/2006/picture">
                                <pic:pic xmlns:pic="http://schemas.openxmlformats.org/drawingml/2006/picture">
                                  <pic:nvPicPr>
                                    <pic:cNvPr id="1" name="Image 1" descr="G:\EN TETE DAL.jpg"/>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62433" cy="1893351"/>
                                    </a:xfrm>
                                    <a:prstGeom prst="rect">
                                      <a:avLst/>
                                    </a:prstGeom>
                                    <a:noFill/>
                                    <a:ln>
                                      <a:noFill/>
                                    </a:ln>
                                  </pic:spPr>
                                </pic:pic>
                              </a:graphicData>
                            </a:graphic>
                          </wp:inline>
                        </w:drawing>
                      </w:r>
                    </w:p>
                  </w:txbxContent>
                </v:textbox>
              </v:shape>
            </w:pict>
          </mc:Fallback>
        </mc:AlternateContent>
      </w:r>
      <w:r w:rsidRPr="005D029A">
        <w:rPr>
          <w:rFonts w:ascii="Tahoma" w:hAnsi="Tahoma" w:cs="Tahoma"/>
          <w:lang w:val="en-GB"/>
        </w:rPr>
        <w:t xml:space="preserve">         </w:t>
      </w:r>
      <w:r w:rsidRPr="005D029A">
        <w:rPr>
          <w:rFonts w:ascii="Tahoma" w:hAnsi="Tahoma" w:cs="Tahoma"/>
          <w:lang w:val="en-GB"/>
        </w:rPr>
        <w:tab/>
      </w:r>
      <w:r w:rsidRPr="005D029A">
        <w:rPr>
          <w:rFonts w:ascii="Tahoma" w:hAnsi="Tahoma" w:cs="Tahoma"/>
          <w:lang w:val="en-GB"/>
        </w:rPr>
        <w:tab/>
      </w:r>
      <w:r w:rsidRPr="005D029A">
        <w:rPr>
          <w:rFonts w:ascii="Tahoma" w:hAnsi="Tahoma" w:cs="Tahoma"/>
          <w:lang w:val="en-GB"/>
        </w:rPr>
        <w:tab/>
      </w:r>
      <w:r w:rsidRPr="005D029A">
        <w:rPr>
          <w:rFonts w:ascii="Tahoma" w:hAnsi="Tahoma" w:cs="Tahoma"/>
          <w:lang w:val="en-GB"/>
        </w:rPr>
        <w:tab/>
      </w:r>
      <w:r w:rsidRPr="005D029A">
        <w:rPr>
          <w:rFonts w:ascii="Tahoma" w:hAnsi="Tahoma" w:cs="Tahoma"/>
          <w:lang w:val="en-GB"/>
        </w:rPr>
        <w:tab/>
      </w:r>
      <w:r w:rsidRPr="005D029A">
        <w:rPr>
          <w:rFonts w:ascii="Tahoma" w:hAnsi="Tahoma" w:cs="Tahoma"/>
          <w:lang w:val="en-GB"/>
        </w:rPr>
        <w:tab/>
      </w:r>
      <w:r w:rsidRPr="005D029A">
        <w:rPr>
          <w:rFonts w:ascii="Tahoma" w:hAnsi="Tahoma" w:cs="Tahoma"/>
          <w:sz w:val="20"/>
          <w:szCs w:val="20"/>
          <w:lang w:val="en-GB"/>
        </w:rPr>
        <w:t xml:space="preserve">    </w:t>
      </w:r>
      <w:r w:rsidR="005D029A">
        <w:rPr>
          <w:rFonts w:ascii="Tahoma" w:hAnsi="Tahoma" w:cs="Tahoma"/>
          <w:sz w:val="20"/>
          <w:szCs w:val="20"/>
          <w:lang w:val="en-GB"/>
        </w:rPr>
        <w:t xml:space="preserve">        </w:t>
      </w:r>
      <w:r w:rsidR="005D029A" w:rsidRPr="005D029A">
        <w:rPr>
          <w:rFonts w:ascii="Tahoma" w:hAnsi="Tahoma" w:cs="Tahoma"/>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KINSHASA</w:t>
      </w:r>
      <w:r w:rsidRPr="005D029A">
        <w:rPr>
          <w:rFonts w:ascii="Tahoma" w:hAnsi="Tahoma" w:cs="Tahoma"/>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le 29 juillet 2026</w:t>
      </w:r>
    </w:p>
    <w:p w:rsidR="00EF4C90" w:rsidRPr="005D029A" w:rsidRDefault="00EF4C90" w:rsidP="00EF4C90">
      <w:pPr>
        <w:tabs>
          <w:tab w:val="left" w:pos="-567"/>
        </w:tabs>
        <w:spacing w:after="0" w:line="240" w:lineRule="auto"/>
        <w:rPr>
          <w:rFonts w:ascii="Tahoma" w:hAnsi="Tahoma" w:cs="Tahoma"/>
          <w:color w:val="000000" w:themeColor="text1"/>
          <w:sz w:val="28"/>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EF4C90" w:rsidRPr="005D029A" w:rsidRDefault="00EF4C90" w:rsidP="005D029A">
      <w:pPr>
        <w:tabs>
          <w:tab w:val="left" w:pos="-567"/>
        </w:tabs>
        <w:spacing w:after="0" w:line="240" w:lineRule="auto"/>
        <w:ind w:right="-283"/>
        <w:rPr>
          <w:rFonts w:ascii="Tahoma" w:hAnsi="Tahoma" w:cs="Tahoma"/>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29A">
        <w:rPr>
          <w:rFonts w:ascii="Tahoma" w:hAnsi="Tahoma" w:cs="Tahoma"/>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5D029A">
        <w:rPr>
          <w:rFonts w:ascii="Tahoma" w:hAnsi="Tahoma" w:cs="Tahoma"/>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5D029A">
        <w:rPr>
          <w:rFonts w:ascii="Tahoma" w:hAnsi="Tahoma" w:cs="Tahoma"/>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5D029A">
        <w:rPr>
          <w:rFonts w:ascii="Tahoma" w:hAnsi="Tahoma" w:cs="Tahoma"/>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5D029A">
        <w:rPr>
          <w:rFonts w:ascii="Tahoma" w:hAnsi="Tahoma" w:cs="Tahoma"/>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5D029A">
        <w:rPr>
          <w:rFonts w:ascii="Tahoma" w:hAnsi="Tahoma" w:cs="Tahoma"/>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B631C5" w:rsidRPr="005D029A">
        <w:rPr>
          <w:rFonts w:ascii="Tahoma" w:hAnsi="Tahoma" w:cs="Tahoma"/>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ahoma" w:hAnsi="Tahoma" w:cs="Tahoma"/>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     /MDNAC/RAD/Coord Nat/DAL/Div Num/26</w:t>
      </w:r>
    </w:p>
    <w:p w:rsidR="00EF4C90" w:rsidRPr="005D029A" w:rsidRDefault="00EF4C90" w:rsidP="00EF4C90">
      <w:pPr>
        <w:spacing w:after="0" w:line="240" w:lineRule="auto"/>
        <w:ind w:left="4956"/>
        <w:rPr>
          <w:rFonts w:ascii="Tahoma" w:hAnsi="Tahoma" w:cs="Tahoma"/>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EF4C90" w:rsidRPr="005D029A" w:rsidRDefault="00EF4C90" w:rsidP="00EF4C90">
      <w:pPr>
        <w:spacing w:after="0"/>
        <w:ind w:left="4320" w:firstLine="720"/>
        <w:rPr>
          <w:rFonts w:ascii="Tahoma" w:hAnsi="Tahoma" w:cs="Tahoma"/>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29A">
        <w:rPr>
          <w:rFonts w:ascii="Tahoma" w:hAnsi="Tahoma" w:cs="Tahoma"/>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317FAA" w:rsidRPr="00127509" w:rsidRDefault="00317FAA" w:rsidP="00EF4C90">
      <w:pPr>
        <w:spacing w:after="0"/>
        <w:rPr>
          <w:rFonts w:ascii="Tahoma" w:hAnsi="Tahoma" w:cs="Tahoma"/>
          <w:b/>
          <w:color w:val="000000" w:themeColor="text1"/>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317FAA" w:rsidRPr="00127509" w:rsidRDefault="00317FAA" w:rsidP="00317FAA">
      <w:pPr>
        <w:pStyle w:val="Paragraphedeliste"/>
        <w:ind w:left="0"/>
        <w:jc w:val="both"/>
        <w:rPr>
          <w:rFonts w:ascii="Tahoma" w:hAnsi="Tahoma" w:cs="Tahoma"/>
          <w:sz w:val="10"/>
          <w:lang w:val="en-US"/>
        </w:rPr>
      </w:pPr>
    </w:p>
    <w:p w:rsidR="00317FAA" w:rsidRPr="005E3AA7" w:rsidRDefault="005E3AA7" w:rsidP="005E3AA7">
      <w:pPr>
        <w:ind w:left="4320"/>
        <w:jc w:val="both"/>
        <w:rPr>
          <w:rFonts w:ascii="Tahoma" w:hAnsi="Tahoma" w:cs="Tahoma"/>
          <w:b/>
          <w:sz w:val="24"/>
        </w:rPr>
      </w:pPr>
      <w:r>
        <w:rPr>
          <w:rFonts w:ascii="Tahoma" w:hAnsi="Tahoma" w:cs="Tahoma"/>
          <w:b/>
          <w:sz w:val="24"/>
        </w:rPr>
        <w:t xml:space="preserve">           Au Dir AdmLog</w:t>
      </w:r>
      <w:proofErr w:type="spellEnd"/>
    </w:p>
    <w:p w:rsidR="00B6099A" w:rsidRPr="005D029A" w:rsidRDefault="00B6099A" w:rsidP="00B6099A">
      <w:pPr>
        <w:pStyle w:val="Paragraphedeliste"/>
        <w:ind w:left="0" w:firstLine="5387"/>
        <w:jc w:val="both"/>
        <w:rPr>
          <w:rFonts w:ascii="Tahoma" w:hAnsi="Tahoma" w:cs="Tahoma"/>
          <w:b/>
          <w:sz w:val="24"/>
        </w:rPr>
      </w:pPr>
      <w:r>
        <w:rPr>
          <w:rFonts w:ascii="Tahoma" w:hAnsi="Tahoma" w:cs="Tahoma"/>
          <w:b/>
          <w:sz w:val="24"/>
        </w:rPr>
        <w:t xml:space="preserve">à Kinshasa/Gombe</w:t>
      </w:r>
    </w:p>
    <w:p w:rsidR="00317FAA" w:rsidRPr="000A4D91" w:rsidRDefault="00317FAA" w:rsidP="00EF4C90">
      <w:pPr>
        <w:spacing w:after="0"/>
        <w:rPr>
          <w:rFonts w:ascii="Tahoma" w:hAnsi="Tahoma" w:cs="Tahoma"/>
          <w:b/>
          <w:color w:val="000000" w:themeColor="text1"/>
          <w:sz w:val="1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317FAA" w:rsidRPr="00127509" w:rsidRDefault="00317FAA" w:rsidP="00127509">
      <w:pPr>
        <w:pStyle w:val="Paragraphedeliste"/>
        <w:ind w:left="142" w:right="-567"/>
        <w:jc w:val="both"/>
        <w:rPr>
          <w:rFonts w:ascii="Tahoma" w:hAnsi="Tahoma" w:cs="Tahom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29A">
        <w:rPr>
          <w:rFonts w:ascii="Tahoma" w:hAnsi="Tahoma" w:cs="Tahoma"/>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 B J E T</w:t>
      </w:r>
      <w:r w:rsidRPr="005D029A">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00567682" w:rsidRPr="00567682">
        <w:rPr>
          <w:rFonts w:ascii="Tahoma" w:eastAsia="Tahoma" w:hAnsi="Tahoma" w:cs="Tahoma"/>
          <w:sz w:val="28"/>
        </w:rPr>
        <w:t xml:space="preserve"> </w:t>
      </w:r>
      <w:r>
        <w:rPr>
          <w:rFonts w:ascii="Tahoma" w:hAnsi="Tahoma" w:cs="Tahoma"/>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Avis technique sur l’offre de fourniture de cartes d’identité présentée par la société CONGO ENERGY LTD.</w:t>
      </w:r>
    </w:p>
    <w:p w:rsidR="00317FAA" w:rsidRPr="00127509" w:rsidRDefault="00317FAA" w:rsidP="00127509">
      <w:pPr>
        <w:pStyle w:val="Paragraphedeliste"/>
        <w:ind w:left="142" w:right="-567"/>
        <w:jc w:val="both"/>
        <w:rPr>
          <w:rFonts w:ascii="Tahoma" w:hAnsi="Tahoma" w:cs="Tahom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ahoma" w:hAnsi="Tahoma" w:cs="Tahoma"/>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RÉF. : </w:t>
      </w:r>
      <w:r>
        <w:rPr>
          <w:rFonts w:ascii="Tahoma" w:hAnsi="Tahoma" w:cs="Tahom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Lettre n° 035/DG/MDJ/2026/C.E. Ltd d’avril 2026 et ses deux annexes.</w:t>
      </w:r>
    </w:p>
    <w:p w:rsidR="00317FAA" w:rsidRPr="000A4D91" w:rsidRDefault="00317FAA" w:rsidP="00B0260A">
      <w:pPr>
        <w:pStyle w:val="Paragraphedeliste"/>
        <w:ind w:left="0"/>
        <w:jc w:val="both"/>
        <w:rPr>
          <w:rFonts w:ascii="Tahoma" w:hAnsi="Tahoma" w:cs="Tahoma"/>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29A">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266433" w:rsidRDefault="00266433" w:rsidP="00266433">
      <w:pPr>
        <w:pStyle w:val="Paragraphedeliste"/>
        <w:spacing w:after="160" w:line="259" w:lineRule="auto"/>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Monsieur le Directeur,</w:t>
      </w:r>
    </w:p>
    <w:p w:rsidR="00266433" w:rsidRPr="00266433" w:rsidRDefault="00266433" w:rsidP="00266433">
      <w:pPr>
        <w:pStyle w:val="Paragraphedeliste"/>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66433" w:rsidRDefault="00266433" w:rsidP="00266433">
      <w:pPr>
        <w:pStyle w:val="Paragraphedeliste"/>
        <w:numPr>
          <w:ilvl w:val="0"/>
          <w:numId w:val="2"/>
        </w:numPr>
        <w:spacing w:after="160" w:line="259" w:lineRule="auto"/>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Conformément à votre transmission, j’ai procédé à l’examen technique de l’offre spontanée de la société CONGO ENERGY LTD, composée de la lettre d’offre, d’une fiche de spécifications de la carte et d’une liste des matériels, logiciels, serveur et équipements réseau. Le présent avis se limite au registre technique : la valeur de la solution proposée et sa cohérence avec la chaîne de production des cartes de service de la RAD. Il ne porte aucune appréciation d’un autre ordre. Dans chacun des points qui suivent, l’exposé énonce d’abord ce qui est vérifiable dans les pièces du dossier ou dans la documentation des constructeurs, puis, sous la mention </w:t>
      </w:r>
      <w:r>
        <w:rPr>
          <w:rFonts w:ascii="Tahoma" w:hAnsi="Tahoma" w:cs="Tahoma"/>
          <w:b/>
          <w:bC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Appréciation</w:t>
      </w:r>
      <w:r>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 conclusion technique que j’en tire.</w:t>
      </w:r>
    </w:p>
    <w:p w:rsidR="00266433" w:rsidRPr="00266433" w:rsidRDefault="00266433" w:rsidP="00266433">
      <w:pPr>
        <w:pStyle w:val="Paragraphedeliste"/>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66433" w:rsidRDefault="00266433" w:rsidP="00266433">
      <w:pPr>
        <w:pStyle w:val="Paragraphedeliste"/>
        <w:numPr>
          <w:ilvl w:val="0"/>
          <w:numId w:val="2"/>
        </w:numPr>
        <w:spacing w:after="160" w:line="259" w:lineRule="auto"/>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Sur le principe, la démarche annoncée n’est pas contestable : l’impression par retransfert avec module de lamination, un élément optique de surface, une puce sans contact, un serveur de base de données dédié et un pare-feu en tête de réseau correspondent bien à ce qu’exige une production de cartes sécurisées. Mais les neuf fonctions de sécurité annoncées et le bordereau qui les accompagne ne se recoupent pas : les pièces du dossier se contredisent entre elles, plusieurs fonctions annoncées n’ont aucun moyen de production dans la liste livrée, et les organes qui porteraient la base d’identification ne sont pas identifiables avec certitude. C’est dans ce détail, et non dans l’intention, que le dossier ne résiste pas à l’examen.</w:t>
      </w:r>
    </w:p>
    <w:p w:rsidR="00266433" w:rsidRPr="00266433" w:rsidRDefault="00266433" w:rsidP="00266433">
      <w:pPr>
        <w:pStyle w:val="Paragraphedeliste"/>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66433" w:rsidRDefault="00266433" w:rsidP="00266433">
      <w:pPr>
        <w:pStyle w:val="Paragraphedeliste"/>
        <w:spacing w:after="160" w:line="259" w:lineRule="auto"/>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ahoma" w:hAnsi="Tahoma" w:cs="Tahoma"/>
          <w:b/>
          <w:bC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ERREURS ET INCOHÉRENCES CONSTATÉES</w:t>
      </w:r>
    </w:p>
    <w:p w:rsidR="00266433" w:rsidRPr="00266433" w:rsidRDefault="00266433" w:rsidP="00266433">
      <w:pPr>
        <w:pStyle w:val="Paragraphedeliste"/>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66433" w:rsidRDefault="00266433" w:rsidP="00266433">
      <w:pPr>
        <w:pStyle w:val="Paragraphedeliste"/>
        <w:numPr>
          <w:ilvl w:val="0"/>
          <w:numId w:val="7"/>
        </w:numPr>
        <w:spacing w:after="160" w:line="259" w:lineRule="auto"/>
        <w:ind w:left="1080" w:hanging="360"/>
        <w:rPr>
          <w:rFonts w:ascii="Tahoma" w:hAnsi="Tahoma" w:cs="Tahoma"/>
          <w:b/>
          <w:bC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ahoma" w:hAnsi="Tahoma" w:cs="Tahoma"/>
          <w:b/>
          <w:bC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 chaîne d’encodage de la puce est inopérante en l’état.</w:t>
      </w:r>
      <w:r>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Le bordereau retient une licence cardPresso en version XL. Cette version prend en charge l’encodage des puces ISO/IEC 14443-A des familles NTAG, MIFARE Classic et MIFARE Ultralight, mais non MIFARE DESFire, qui relève de la version XXL. Or les spécifications annoncent précisément une puce DESFire et réservent l’encodage à l’informatique de la RAD. Le bordereau ne retient par ailleurs aucune option d’encodage sans contact sur l’imprimante — ces options sont facturées séparément par le constructeur — et ne prévoit aucun lecteur-encodeur externe. </w:t>
      </w:r>
      <w:r>
        <w:rPr>
          <w:rFonts w:ascii="Tahoma" w:hAnsi="Tahoma" w:cs="Tahoma"/>
          <w:b/>
          <w:bC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Appréciation :</w:t>
      </w:r>
      <w:r>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 RAD recevrait la charge exclusive d’une opération qu’aucun élément livré ne lui permet d’exécuter. À la réception, la carte annoncée ne pourrait pas être encodée.</w:t>
      </w:r>
    </w:p>
    <w:p w:rsidR="00266433" w:rsidRDefault="00266433" w:rsidP="00266433">
      <w:pPr>
        <w:pStyle w:val="Paragraphedeliste"/>
        <w:numPr>
          <w:ilvl w:val="0"/>
          <w:numId w:val="7"/>
        </w:numPr>
        <w:spacing w:after="160" w:line="259" w:lineRule="auto"/>
        <w:ind w:left="1080" w:hanging="360"/>
        <w:rPr>
          <w:rFonts w:ascii="Tahoma" w:hAnsi="Tahoma" w:cs="Tahoma"/>
          <w:b/>
          <w:bC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ahoma" w:hAnsi="Tahoma" w:cs="Tahoma"/>
          <w:b/>
          <w:bC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 composant électronique réellement livré n’est pas déterminé.</w:t>
      </w:r>
      <w:r>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Les spécifications annoncent une micro-puce désignée « Milfaré Desfire ». Le bordereau ne mentionne pour sa part que 600 cartes PVC « à technologie MIFARE », sans famille, sans génération et sans capacité mémoire. Cette désignation englobe notamment MIFARE Classic, dont le chiffrement Crypto1 est publiquement compromis et dont les cartes sont clonables. </w:t>
      </w:r>
      <w:r>
        <w:rPr>
          <w:rFonts w:ascii="Tahoma" w:hAnsi="Tahoma" w:cs="Tahoma"/>
          <w:b/>
          <w:bC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Appréciation :</w:t>
      </w:r>
      <w:r>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deux pièces du même dossier annoncent deux niveaux de sécurité très éloignés, et rien ne permet de savoir lequel serait effectivement livré. Un titre d’identification ne peut reposer sur un composant que le marché ne définit pas.</w:t>
      </w:r>
    </w:p>
    <w:p w:rsidR="00266433" w:rsidRDefault="00266433" w:rsidP="00266433">
      <w:pPr>
        <w:pStyle w:val="Paragraphedeliste"/>
        <w:numPr>
          <w:ilvl w:val="0"/>
          <w:numId w:val="7"/>
        </w:numPr>
        <w:spacing w:after="160" w:line="259" w:lineRule="auto"/>
        <w:ind w:left="1080" w:hanging="360"/>
        <w:rPr>
          <w:rFonts w:ascii="Tahoma" w:hAnsi="Tahoma" w:cs="Tahoma"/>
          <w:b/>
          <w:bC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ahoma" w:hAnsi="Tahoma" w:cs="Tahoma"/>
          <w:b/>
          <w:bC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Plusieurs éléments de sécurité annoncés n’ont aucun moyen de production, et le dimensionnement des consommables est incohérent.</w:t>
      </w:r>
      <w:r>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Le dossier ne désigne d’abord pas une machine unique : les spécifications renvoient à un « fabricant imprimante Smath 81 », vraisemblablement l’IDP SMART-81, tandis que le bordereau propose une Evolis Avansia, soit deux écosystèmes de constructeurs distincts et non interchangeables. Le module de lamination Avansia est ensuite proposé sans laminat : seuls figurent des rubans couleur et des films de retransfert, alors que les vernis, patchs et hologrammes de lamination constituent une gamme de consommables distincte, absente du bordereau. L’élément fluorescent sous ultraviolet suppose un ruban à panneau fluorescent de type YMCFK, quand seul du ruban couleur YMCK est commandé, et aucune torche UV n’est livrée alors que les spécifications en mettent la charge sur la RAD. L’encre thermochromique exige une pré-impression du corps de carte, or seules des cartes PVC nues sont prévues. Le gaufrage exige une embosseuse, absente du bordereau, et endommagerait l’antenne d’une carte sans contact. La fonction « Holocote » — HoloKote — est enfin une fonction propriétaire du constructeur Magicard, réellement fluorescente sous ultraviolet sur ses modèles à retransfert, mais non reproductible sur l’Evolis Avansia du bordereau ni sur la machine visée par les spécifications. Quant aux quantités, cinq rubans et cinq films de 500 impressions offrent une capacité de 2 500 cartes pour 600 cartes vierges seulement, et ni les 600 cartes ni les 600 timbres holographiques ne comportent de marge de rebut, alors que le retransfert en génère systématiquement. </w:t>
      </w:r>
      <w:r>
        <w:rPr>
          <w:rFonts w:ascii="Tahoma" w:hAnsi="Tahoma" w:cs="Tahoma"/>
          <w:b/>
          <w:bC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Appréciation :</w:t>
      </w:r>
      <w:r>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cinq des neuf fonctions annoncées ne pourraient pas être produites avec ce qui est livré, le module de lamination serait inexploitable dès la réception, et les consommables sont surdimensionnés là où les supports manquent.</w:t>
      </w:r>
    </w:p>
    <w:p w:rsidR="00266433" w:rsidRDefault="00266433" w:rsidP="00266433">
      <w:pPr>
        <w:pStyle w:val="Paragraphedeliste"/>
        <w:numPr>
          <w:ilvl w:val="0"/>
          <w:numId w:val="7"/>
        </w:numPr>
        <w:spacing w:after="160" w:line="259" w:lineRule="auto"/>
        <w:ind w:left="1080" w:hanging="360"/>
        <w:rPr>
          <w:rFonts w:ascii="Tahoma" w:hAnsi="Tahoma" w:cs="Tahoma"/>
          <w:b/>
          <w:bC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ahoma" w:hAnsi="Tahoma" w:cs="Tahoma"/>
          <w:b/>
          <w:bC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 niveau de sécurité annoncé n’est pas établi et le dossier ne cite aucun référentiel.</w:t>
      </w:r>
      <w:r>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 lettre d’offre soutient que la carte « n’est pas falsifiable, quelle que soit la méthode utilisée » et que sa protection égale celle du passeport biométrique. Sur le premier point, aucune carte n’est absolument infalsifiable : la sécurité d’un titre s’apprécie en niveaux de résistance et en durée de vie, non en invulnérabilité. Sur le second, la comparaison ne tient pas. La puce annoncée est un composant sérieux — le DESFire EV3 est certifié Common Criteria au niveau EAL5+ — mais ce n’est pas une plateforme de titre régalien : elle ne met en œuvre ni structure de données normalisée du type LDS, ni authentification passive par infrastructure à clés publiques, ni protocole d’accès BAC ou PACE, qui sont ce qui fonde la confiance dans un passeport biométrique. La certification d’une puce ne dit rien, au surplus, de la résistance du corps de carte, qui est le premier objet de la fraude documentaire. Enfin, aucune norme n’est citée dans l’ensemble du dossier, ni l’ISO/IEC 7810 pour le format, ni l’ISO/IEC 14443 pour l’interface sans contact, et les mentions « verre holographique », « dénouement des données » et « numérotation des impacts » ne correspondent à aucune fonction de sécurité documentaire identifiable. </w:t>
      </w:r>
      <w:r>
        <w:rPr>
          <w:rFonts w:ascii="Tahoma" w:hAnsi="Tahoma" w:cs="Tahoma"/>
          <w:b/>
          <w:bC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Appréciation :</w:t>
      </w:r>
      <w:r>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l’équivalence revendiquée avec le passeport biométrique est infondée, et une solution présentée comme conforme au standard international sans nommer aucun standard n’est pas vérifiable. Je précise qu’une carte de service n’a pas à satisfaire le document 9303 de l’OACI, qui régit les documents de voyage : c’est la comparaison qui est en cause, non le niveau d’exigence.</w:t>
      </w:r>
    </w:p>
    <w:p w:rsidR="00266433" w:rsidRDefault="00266433" w:rsidP="00266433">
      <w:pPr>
        <w:pStyle w:val="Paragraphedeliste"/>
        <w:numPr>
          <w:ilvl w:val="0"/>
          <w:numId w:val="7"/>
        </w:numPr>
        <w:spacing w:after="160" w:line="259" w:lineRule="auto"/>
        <w:ind w:left="1080" w:hanging="360"/>
        <w:rPr>
          <w:rFonts w:ascii="Tahoma" w:hAnsi="Tahoma" w:cs="Tahoma"/>
          <w:b/>
          <w:bC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ahoma" w:hAnsi="Tahoma" w:cs="Tahoma"/>
          <w:b/>
          <w:bC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Serveur, logiciels, base de données et équipements réseau.</w:t>
      </w:r>
      <w:r>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Le dossier propose un serveur unique HPE ProLiant DL380 Gen10, sans niveau de RAID précisé, sans alimentation redondante, sans solution de sauvegarde ni copie hors site. La désignation « Xeon 28 CPU » vise vingt-huit cœurs et non vingt-huit processeurs. Aucun moteur de base de données ne figure au bordereau : seule une licence Windows Server Standard 2022 est prévue, sans licence d’accès client, alors que les spécifications renvoient à « MS SQL server ou autre base de données » et confient cette base à la RAD. La ligne « antivirus version serveur » ne porte aucune quantité, dix licences biométriques sont prévues pour deux postes de travail, et la ligne « synchronisation des données » ne désigne aucun produit identifiable. La gamme HPE Gen10 a par ailleurs été arrêtée en 2024, la dernière date de commande du DL380 Gen10 ayant été portée au 31 mars 2025, ce modèle étant remplacé par le Gen11 puis le Gen12. Le switch est enfin désigné « SG121 8MP 24 PoE » et le routeur « MiKrotic » L009UiGS : ces matériels sont identifiables sous une orthographe fautive, mais leur désignation n’est pas normalisée, et la mention « 24 PoE » contredit la densité de ports du modèle visé. </w:t>
      </w:r>
      <w:r>
        <w:rPr>
          <w:rFonts w:ascii="Tahoma" w:hAnsi="Tahoma" w:cs="Tahoma"/>
          <w:b/>
          <w:bC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Appréciation :</w:t>
      </w:r>
      <w:r>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 base d’identification reposerait sur un point unique de défaillance et sur un matériel sorti du catalogue du constructeur avant la date de l’offre, dont la provenance et la couverture de garantie ne sont pas vérifiables ; le moteur de base de données et les licences d’accès apparaîtraient en coûts supplémentaires après commande ; et un matériel dont la désignation n’est pas normalisée ne peut être ni commandé, ni réceptionné, ni garanti.</w:t>
      </w:r>
    </w:p>
    <w:p w:rsidR="00266433" w:rsidRDefault="00266433" w:rsidP="00266433">
      <w:pPr>
        <w:pStyle w:val="Paragraphedeliste"/>
        <w:numPr>
          <w:ilvl w:val="0"/>
          <w:numId w:val="7"/>
        </w:numPr>
        <w:spacing w:after="160" w:line="259" w:lineRule="auto"/>
        <w:ind w:left="1080" w:hanging="360"/>
        <w:rPr>
          <w:rFonts w:ascii="Tahoma" w:hAnsi="Tahoma" w:cs="Tahoma"/>
          <w:b/>
          <w:bC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ahoma" w:hAnsi="Tahoma" w:cs="Tahoma"/>
          <w:b/>
          <w:bC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Énergie, local technique et sécurité physique.</w:t>
      </w:r>
      <w:r>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L’onduleur retenu est un modèle hybride solaire Deye de 3,6 kW en 48 V monophasé, et aucun parc de batteries ne figure au bordereau ; il est associé à un stabilisateur annoncé en 5 000 VA triphasé. Le rack 42U est prévu sans bandeaux de distribution électrique, et le local sans climatisation ni mise à la terre. Le pare-feu FortiGate 200E est proposé sans abonnement de sécurité, et il est en fin de commercialisation depuis le 13 octobre 2025, son support constructeur courant jusqu’au 13 octobre 2030. La sécurité physique de la zone de production se limite à une armoire métallique de 90 × 180 et à un terminal Hikvision MinMoe assurant la reconnaissance faciale et la lecture de carte sans contact. Sur ce dernier point, et sans invoquer aucune interdiction en droit congolais, il est établi que ce constructeur figure sur la liste couverte de la Federal Communications Commission américaine et relève de la section 889 du National Defense Authorization Act, que le Royaume-Uni a ordonné en 2022 le retrait de ses équipements des sites gouvernementaux sensibles et que le Canada les a exclus de ses marchés fédéraux en 2024. </w:t>
      </w:r>
      <w:r>
        <w:rPr>
          <w:rFonts w:ascii="Tahoma" w:hAnsi="Tahoma" w:cs="Tahoma"/>
          <w:b/>
          <w:bC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Appréciation :</w:t>
      </w:r>
      <w:r>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sans batteries, l’onduleur proposé n’assure aucune autonomie, et son association à un stabilisateur triphasé rend l’ensemble électriquement incohérent et inexploitable en l’état ; la protection d’un serveur et d’une chaîne d’impression appelle un onduleur rack en ligne à double conversion. Sans souscription active, le pare-feu se réduit à un routeur filtrant, sans mise à jour de signatures. Confier les gabarits biométriques de personnels des FARDC à un terminal de gamme commerciale issu de ce constructeur contredit l’objet même de l’offre, présentée comme une réponse au risque d’infiltration. Une production sécurisée exige enfin un local à accès journalisé, un coffre pour les cartes vierges et les consommables sécurisés, et une traçabilité des rebuts.</w:t>
      </w:r>
    </w:p>
    <w:p w:rsidR="00266433" w:rsidRDefault="00266433" w:rsidP="00266433">
      <w:pPr>
        <w:pStyle w:val="Paragraphedeliste"/>
        <w:numPr>
          <w:ilvl w:val="0"/>
          <w:numId w:val="7"/>
        </w:numPr>
        <w:spacing w:after="160" w:line="259" w:lineRule="auto"/>
        <w:ind w:left="1080" w:hanging="360"/>
        <w:rPr>
          <w:rFonts w:ascii="Tahoma" w:hAnsi="Tahoma" w:cs="Tahoma"/>
          <w:b/>
          <w:bC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ahoma" w:hAnsi="Tahoma" w:cs="Tahoma"/>
          <w:b/>
          <w:bC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Licences et charge réellement transférée à la RAD.</w:t>
      </w:r>
      <w:r>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Les rubriques « licence des données biométriques » et « licence des données sur la micro puce » sont mentionnées sans éditeur, sans périmètre, sans nombre de postes et sans durée, et elles sont contradictoires avec des spécifications qui réservent l’encodage à la seule informatique de la RAD. Les mêmes spécifications mettent déjà à la charge de la RAD l’environnement sécurisé, l’encodage de la puce, la base de données, la torche UV, les terminaux portables, le câblage et le réseau. Les prestations de service réseau DATA et d’installation du câblage annoncées après livraison sont, quant à elles, étrangères à l’objet de l’offre et recoupent des travaux déjà instruits par la Division. </w:t>
      </w:r>
      <w:r>
        <w:rPr>
          <w:rFonts w:ascii="Tahoma" w:hAnsi="Tahoma" w:cs="Tahoma"/>
          <w:b/>
          <w:bC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Appréciation :</w:t>
      </w:r>
      <w:r>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 la clé ou le droit d’écriture sur la puce demeure chez le fournisseur, la RAD perd la capacité de produire et de remplacer elle-même ses cartes. La maîtrise de la chaîne repose donc, de l’aveu même du soumissionnaire, sur la Division Numérique, l’apport résiduel se limitant à des matériels, des consommables et des licences non définies.</w:t>
      </w:r>
    </w:p>
    <w:p w:rsidR="00266433" w:rsidRPr="00266433" w:rsidRDefault="00266433" w:rsidP="00266433">
      <w:pPr>
        <w:pStyle w:val="Paragraphedeliste"/>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66433" w:rsidRDefault="00266433" w:rsidP="00266433">
      <w:pPr>
        <w:pStyle w:val="Paragraphedeliste"/>
        <w:spacing w:after="160" w:line="259" w:lineRule="auto"/>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ahoma" w:hAnsi="Tahoma" w:cs="Tahoma"/>
          <w:b/>
          <w:bC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II. CAPACITÉ EXISTANTE DE LA DIVISION NUMÉRIQUE</w:t>
      </w:r>
    </w:p>
    <w:p w:rsidR="00266433" w:rsidRPr="00266433" w:rsidRDefault="00266433" w:rsidP="00266433">
      <w:pPr>
        <w:pStyle w:val="Paragraphedeliste"/>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66433" w:rsidRDefault="00266433" w:rsidP="00266433">
      <w:pPr>
        <w:pStyle w:val="Paragraphedeliste"/>
        <w:numPr>
          <w:ilvl w:val="0"/>
          <w:numId w:val="2"/>
        </w:numPr>
        <w:spacing w:after="160" w:line="259" w:lineRule="auto"/>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 Division Numérique dispose déjà, en interne, d’une machine de personnalisation de cartes et d’une équipe constituée pour la conception, l’impression et l’encodage des cartes de service de la RAD. La chaîne de production, la base de données et les éléments de sécurité du titre sont maîtrisés par nos propres agents, sans recours à un intermédiaire.</w:t>
      </w:r>
    </w:p>
    <w:p w:rsidR="00266433" w:rsidRPr="00266433" w:rsidRDefault="00266433" w:rsidP="00266433">
      <w:pPr>
        <w:pStyle w:val="Paragraphedeliste"/>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66433" w:rsidRDefault="00266433" w:rsidP="00266433">
      <w:pPr>
        <w:pStyle w:val="Paragraphedeliste"/>
        <w:numPr>
          <w:ilvl w:val="0"/>
          <w:numId w:val="2"/>
        </w:numPr>
        <w:spacing w:after="160" w:line="259" w:lineRule="auto"/>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 facture pro forma relative à la station de production a par ailleurs déjà été introduite, et des équipements de même nature que ceux figurant dans la liste annexée à cette offre ont déjà été commandés auprès de notre fournisseur. L’offre examinée fait donc doublon avec une capacité déjà engagée, dont elle reprend l’essentiel du périmètre matériel en y ajoutant des licences non définies et des prestations étrangères à son objet.</w:t>
      </w:r>
    </w:p>
    <w:p w:rsidR="00266433" w:rsidRPr="00266433" w:rsidRDefault="00266433" w:rsidP="00266433">
      <w:pPr>
        <w:pStyle w:val="Paragraphedeliste"/>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66433" w:rsidRDefault="00266433" w:rsidP="00266433">
      <w:pPr>
        <w:pStyle w:val="Paragraphedeliste"/>
        <w:numPr>
          <w:ilvl w:val="0"/>
          <w:numId w:val="2"/>
        </w:numPr>
        <w:spacing w:after="160" w:line="259" w:lineRule="auto"/>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 Division est en mesure de produire ces cartes en interne, dans les conditions de sécurité requises, pour autant que les moyens adéquats lui soient accordés : achèvement de la commande en cours, complément de consommables — notamment les laminats, les rubans à panneau fluorescent et une marge de rebut —, sécurisation du local de production et de la chaîne d’énergie, licences complètes d’encodage et de gestion de la base, et formation continue des agents concernés.</w:t>
      </w:r>
    </w:p>
    <w:p w:rsidR="00266433" w:rsidRPr="00266433" w:rsidRDefault="00266433" w:rsidP="00266433">
      <w:pPr>
        <w:pStyle w:val="Paragraphedeliste"/>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66433" w:rsidRDefault="00266433" w:rsidP="00266433">
      <w:pPr>
        <w:pStyle w:val="Paragraphedeliste"/>
        <w:spacing w:after="160" w:line="259" w:lineRule="auto"/>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ahoma" w:hAnsi="Tahoma" w:cs="Tahoma"/>
          <w:b/>
          <w:bCs/>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III. AVIS</w:t>
      </w:r>
    </w:p>
    <w:p w:rsidR="00266433" w:rsidRPr="00266433" w:rsidRDefault="00266433" w:rsidP="00266433">
      <w:pPr>
        <w:pStyle w:val="Paragraphedeliste"/>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66433" w:rsidRDefault="00266433" w:rsidP="00266433">
      <w:pPr>
        <w:pStyle w:val="Paragraphedeliste"/>
        <w:numPr>
          <w:ilvl w:val="0"/>
          <w:numId w:val="2"/>
        </w:numPr>
        <w:spacing w:after="160" w:line="259" w:lineRule="auto"/>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Sur le plan technique, j’émets un avis défavorable à la suite à donner à cette offre. Les pièces du dossier se contredisent entre elles, la chaîne d’encodage de la puce annoncée est inopérante en l’état, cinq des neuf fonctions de sécurité annoncées n’ont aucun moyen de production, le composant électronique réellement livré n’est pas déterminé, le niveau de sécurité allégué n’est pas établi, l’architecture serveur, énergie et local n’est pas exploitable, et les licences déterminantes ne sont pas définies.</w:t>
      </w:r>
    </w:p>
    <w:p w:rsidR="00266433" w:rsidRPr="00266433" w:rsidRDefault="00266433" w:rsidP="00266433">
      <w:pPr>
        <w:pStyle w:val="Paragraphedeliste"/>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66433" w:rsidRDefault="00266433" w:rsidP="00266433">
      <w:pPr>
        <w:pStyle w:val="Paragraphedeliste"/>
        <w:numPr>
          <w:ilvl w:val="0"/>
          <w:numId w:val="2"/>
        </w:numPr>
        <w:spacing w:after="160" w:line="259" w:lineRule="auto"/>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Je propose en conséquence de classer ce dossier sans suite sur le plan technique et de concentrer l’effort sur la solution interne déjà engagée, en dotant la Division Numérique des moyens nécessaires à son achèvement. Je reste disponible pour élaborer, sur cette base, le cahier des charges technique de référence de la RAD en matière de cartes de service, qui permettra d’apprécier toute offre future sur des critères nommés et vérifiables.</w:t>
      </w:r>
    </w:p>
    <w:p w:rsidR="00266433" w:rsidRPr="00266433" w:rsidRDefault="00266433" w:rsidP="00266433">
      <w:pPr>
        <w:pStyle w:val="Paragraphedeliste"/>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66433" w:rsidRDefault="00266433" w:rsidP="00266433">
      <w:pPr>
        <w:pStyle w:val="Paragraphedeliste"/>
        <w:spacing w:after="160" w:line="259" w:lineRule="auto"/>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ahoma" w:hAnsi="Tahoma" w:cs="Tahoma"/>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Veuillez agréer, Monsieur le Directeur, l’expression de ma parfaite considération.</w:t>
      </w:r>
    </w:p>
    <w:p w:rsidR="00317FAA" w:rsidRPr="005D029A" w:rsidRDefault="00317FAA" w:rsidP="00317FAA">
      <w:pPr>
        <w:rPr>
          <w:rFonts w:ascii="Tahoma" w:hAnsi="Tahoma" w:cs="Tahom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49512F" w:rsidRDefault="00022666" w:rsidP="00517E08">
      <w:pPr>
        <w:spacing w:after="0" w:line="240" w:lineRule="auto"/>
        <w:ind w:left="3540"/>
        <w:jc w:val="center"/>
        <w:rPr>
          <w:rFonts w:ascii="Tahoma" w:hAnsi="Tahoma" w:cs="Tahoma"/>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029A">
        <w:rPr>
          <w:rFonts w:ascii="Tahoma" w:hAnsi="Tahoma" w:cs="Tahoma"/>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17E08" w:rsidRPr="005D029A">
        <w:rPr>
          <w:rFonts w:ascii="Tahoma" w:hAnsi="Tahoma" w:cs="Tahoma"/>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517E08" w:rsidRPr="000349E5" w:rsidRDefault="00517E08" w:rsidP="00517E08">
      <w:pPr>
        <w:spacing w:after="0" w:line="240" w:lineRule="auto"/>
        <w:ind w:left="3540"/>
        <w:jc w:val="center"/>
        <w:rPr>
          <w:rFonts w:ascii="Tahoma" w:hAnsi="Tahoma" w:cs="Tahoma"/>
          <w:b/>
          <w:sz w:val="24"/>
          <w:szCs w:val="24"/>
        </w:rPr>
      </w:pPr>
      <w:r w:rsidRPr="005D029A">
        <w:rPr>
          <w:rFonts w:ascii="Tahoma" w:hAnsi="Tahoma" w:cs="Tahoma"/>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22666" w:rsidRPr="005D029A">
        <w:rPr>
          <w:rFonts w:ascii="Tahoma" w:hAnsi="Tahoma" w:cs="Tahoma"/>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ahoma" w:hAnsi="Tahoma" w:cs="Tahoma"/>
          <w:b/>
          <w:sz w:val="24"/>
          <w:szCs w:val="24"/>
        </w:rPr>
        <w:t xml:space="preserve">MUFALME BULENDA Josué</w:t>
      </w:r>
    </w:p>
    <w:p w:rsidR="00517E08" w:rsidRPr="000349E5" w:rsidRDefault="00517E08" w:rsidP="00C72EBC">
      <w:pPr>
        <w:spacing w:after="0" w:line="240" w:lineRule="auto"/>
        <w:ind w:left="3540"/>
        <w:jc w:val="center"/>
        <w:rPr>
          <w:rFonts w:ascii="Tahoma" w:hAnsi="Tahoma" w:cs="Tahoma"/>
          <w:sz w:val="24"/>
          <w:szCs w:val="24"/>
        </w:rPr>
      </w:pPr>
      <w:r>
        <w:rPr>
          <w:rFonts w:ascii="Tahoma" w:hAnsi="Tahoma" w:cs="Tahoma"/>
          <w:sz w:val="24"/>
          <w:szCs w:val="24"/>
        </w:rPr>
        <w:t xml:space="preserve">                   Chef Div Numérique</w:t>
      </w:r>
    </w:p>
    <w:p w:rsidR="00517E08" w:rsidRPr="005D029A" w:rsidRDefault="00517E08" w:rsidP="00517E08">
      <w:pPr>
        <w:spacing w:after="0" w:line="240" w:lineRule="auto"/>
        <w:ind w:left="3540"/>
        <w:jc w:val="center"/>
        <w:rPr>
          <w:rFonts w:ascii="Tahoma" w:hAnsi="Tahoma" w:cs="Tahom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317FAA" w:rsidRPr="005D029A" w:rsidRDefault="00317FAA" w:rsidP="00517E08">
      <w:pPr>
        <w:spacing w:after="0"/>
        <w:ind w:left="2880"/>
        <w:jc w:val="center"/>
        <w:rPr>
          <w:rFonts w:ascii="Tahoma" w:hAnsi="Tahoma" w:cs="Tahoma"/>
        </w:rPr>
      </w:pPr>
    </w:p>
    <w:sectPr w:rsidR="00317FAA" w:rsidRPr="005D029A" w:rsidSect="00022666">
      <w:headerReference w:type="even" r:id="rId9"/>
      <w:headerReference w:type="default" r:id="rId10"/>
      <w:footerReference w:type="even" r:id="rId11"/>
      <w:footerReference w:type="default" r:id="rId12"/>
      <w:headerReference w:type="first" r:id="rId13"/>
      <w:footerReference w:type="first" r:id="rId14"/>
      <w:pgSz w:w="11741" w:h="16838"/>
      <w:pgMar w:top="1135" w:right="1109" w:bottom="284" w:left="1134"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E4654" w:rsidRDefault="006E4654">
      <w:pPr>
        <w:spacing w:after="0" w:line="240" w:lineRule="auto"/>
      </w:pPr>
      <w:r>
        <w:separator/>
      </w:r>
    </w:p>
  </w:endnote>
  <w:endnote w:type="continuationSeparator" w:id="0">
    <w:p w:rsidR="006E4654" w:rsidRDefault="006E46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onotype Corsiva">
    <w:panose1 w:val="03010101010201010101"/>
    <w:charset w:val="00"/>
    <w:family w:val="script"/>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04D2" w:rsidRPr="005E4B60" w:rsidRDefault="002C69B8" w:rsidP="00EF74AE">
    <w:pPr>
      <w:pStyle w:val="Pieddepage"/>
      <w:pBdr>
        <w:top w:val="thinThickSmallGap" w:sz="24" w:space="1" w:color="823B0B"/>
      </w:pBdr>
      <w:spacing w:line="276" w:lineRule="auto"/>
      <w:ind w:left="360"/>
      <w:jc w:val="center"/>
      <w:rPr>
        <w:rFonts w:ascii="Bookman Old Style" w:hAnsi="Bookman Old Style"/>
        <w:sz w:val="20"/>
      </w:rPr>
    </w:pPr>
    <w:r w:rsidRPr="005E4B60">
      <w:rPr>
        <w:rFonts w:ascii="Bookman Old Style" w:hAnsi="Bookman Old Style"/>
        <w:sz w:val="20"/>
      </w:rPr>
      <w:t xml:space="preserve">Camp </w:t>
    </w:r>
    <w:proofErr w:type="spellStart"/>
    <w:r w:rsidRPr="005E4B60">
      <w:rPr>
        <w:rFonts w:ascii="Bookman Old Style" w:hAnsi="Bookman Old Style"/>
        <w:sz w:val="20"/>
      </w:rPr>
      <w:t>LtCol</w:t>
    </w:r>
    <w:proofErr w:type="spellEnd"/>
    <w:r w:rsidRPr="005E4B60">
      <w:rPr>
        <w:rFonts w:ascii="Bookman Old Style" w:hAnsi="Bookman Old Style"/>
        <w:sz w:val="20"/>
      </w:rPr>
      <w:t xml:space="preserve"> KOKOLO.                                    </w:t>
    </w:r>
    <w:r>
      <w:rPr>
        <w:rFonts w:ascii="Bookman Old Style" w:hAnsi="Bookman Old Style"/>
        <w:sz w:val="20"/>
      </w:rPr>
      <w:t xml:space="preserve">                         </w:t>
    </w:r>
    <w:r w:rsidRPr="005E4B60">
      <w:rPr>
        <w:rFonts w:ascii="Bookman Old Style" w:hAnsi="Bookman Old Style"/>
        <w:sz w:val="20"/>
      </w:rPr>
      <w:t xml:space="preserve">E-mail : </w:t>
    </w:r>
    <w:hyperlink r:id="rId1" w:history="1">
      <w:r w:rsidRPr="005E4B60">
        <w:rPr>
          <w:rStyle w:val="Lienhypertexte"/>
          <w:rFonts w:ascii="Bookman Old Style" w:hAnsi="Bookman Old Style"/>
          <w:sz w:val="20"/>
        </w:rPr>
        <w:t>fardcsecas01@gmail.com</w:t>
      </w:r>
    </w:hyperlink>
  </w:p>
  <w:p w:rsidR="003A04D2" w:rsidRPr="005E4B60" w:rsidRDefault="002C69B8" w:rsidP="00EF74AE">
    <w:pPr>
      <w:pStyle w:val="Pieddepage"/>
      <w:pBdr>
        <w:top w:val="thinThickSmallGap" w:sz="24" w:space="1" w:color="823B0B"/>
      </w:pBdr>
      <w:spacing w:line="276" w:lineRule="auto"/>
      <w:ind w:left="360"/>
      <w:jc w:val="center"/>
      <w:rPr>
        <w:sz w:val="20"/>
      </w:rPr>
    </w:pPr>
    <w:proofErr w:type="spellStart"/>
    <w:r w:rsidRPr="005E4B60">
      <w:rPr>
        <w:rFonts w:ascii="Bookman Old Style" w:hAnsi="Bookman Old Style"/>
        <w:b/>
        <w:sz w:val="20"/>
      </w:rPr>
      <w:t>f</w:t>
    </w:r>
    <w:r w:rsidRPr="005E4B60">
      <w:rPr>
        <w:rFonts w:ascii="Bookman Old Style" w:hAnsi="Bookman Old Style"/>
        <w:sz w:val="20"/>
      </w:rPr>
      <w:t>.secasfardc</w:t>
    </w:r>
    <w:proofErr w:type="spellEnd"/>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04D2" w:rsidRPr="00483760" w:rsidRDefault="002C69B8" w:rsidP="00C352CA">
    <w:pPr>
      <w:pStyle w:val="Pieddepage"/>
      <w:pBdr>
        <w:top w:val="thinThickSmallGap" w:sz="24" w:space="1" w:color="823B0B"/>
      </w:pBdr>
      <w:spacing w:line="276" w:lineRule="auto"/>
      <w:ind w:left="360"/>
      <w:jc w:val="center"/>
      <w:rPr>
        <w:sz w:val="18"/>
      </w:rPr>
    </w:pPr>
    <w:r w:rsidRPr="00483760">
      <w:rPr>
        <w:sz w:val="18"/>
      </w:rPr>
      <w:t xml:space="preserve">Réserve Armée de la Défense, Av de la Gombe N°306/Kinshasa Gombe. Email : </w:t>
    </w:r>
    <w:hyperlink r:id="rId1" w:history="1">
      <w:r w:rsidRPr="00483760">
        <w:rPr>
          <w:rStyle w:val="Lienhypertexte"/>
          <w:sz w:val="18"/>
        </w:rPr>
        <w:t>rad.rdcongo@gmail.com</w:t>
      </w:r>
    </w:hyperlink>
    <w:r w:rsidRPr="00483760">
      <w:rPr>
        <w:sz w:val="18"/>
      </w:rPr>
      <w:t xml:space="preserve"> Tel :+243824180385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04D2" w:rsidRPr="00A72662" w:rsidRDefault="002C69B8" w:rsidP="00850E2E">
    <w:pPr>
      <w:pStyle w:val="Pieddepage"/>
      <w:pBdr>
        <w:top w:val="thinThickSmallGap" w:sz="24" w:space="1" w:color="622423"/>
      </w:pBdr>
      <w:tabs>
        <w:tab w:val="clear" w:pos="4536"/>
        <w:tab w:val="clear" w:pos="9072"/>
        <w:tab w:val="right" w:pos="10348"/>
      </w:tabs>
      <w:ind w:left="-284" w:right="-425"/>
      <w:jc w:val="center"/>
      <w:rPr>
        <w:rFonts w:ascii="Cambria" w:hAnsi="Cambria"/>
        <w:sz w:val="20"/>
      </w:rPr>
    </w:pPr>
    <w:r w:rsidRPr="00A72662">
      <w:rPr>
        <w:rFonts w:ascii="Bookman Old Style" w:hAnsi="Bookman Old Style" w:cs="Tahoma"/>
        <w:sz w:val="16"/>
      </w:rPr>
      <w:t xml:space="preserve">Réserve Armée de la Défense, Av de la Gombe N°306/Kinshasa Gombe. Email : </w:t>
    </w:r>
    <w:hyperlink r:id="rId1" w:history="1">
      <w:r w:rsidRPr="00A72662">
        <w:rPr>
          <w:rStyle w:val="Lienhypertexte"/>
          <w:rFonts w:ascii="Bookman Old Style" w:hAnsi="Bookman Old Style" w:cs="Tahoma"/>
          <w:sz w:val="16"/>
        </w:rPr>
        <w:t>rad.rdcongo@gmail.com</w:t>
      </w:r>
    </w:hyperlink>
    <w:r w:rsidRPr="00A72662">
      <w:rPr>
        <w:rFonts w:ascii="Bookman Old Style" w:hAnsi="Bookman Old Style" w:cs="Tahoma"/>
        <w:sz w:val="16"/>
      </w:rPr>
      <w:t xml:space="preserve"> Tel : +243 824180385</w:t>
    </w:r>
  </w:p>
  <w:p w:rsidR="003A04D2" w:rsidRDefault="003A04D2">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E4654" w:rsidRDefault="006E4654">
      <w:pPr>
        <w:spacing w:after="0" w:line="240" w:lineRule="auto"/>
      </w:pPr>
      <w:r>
        <w:separator/>
      </w:r>
    </w:p>
  </w:footnote>
  <w:footnote w:type="continuationSeparator" w:id="0">
    <w:p w:rsidR="006E4654" w:rsidRDefault="006E465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04D2" w:rsidRDefault="006E4654">
    <w:pPr>
      <w:pStyle w:val="En-tte"/>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75171626" o:spid="_x0000_s2049" type="#_x0000_t75" style="position:absolute;margin-left:0;margin-top:0;width:502.9pt;height:711.4pt;z-index:-251659776;mso-position-horizontal:center;mso-position-horizontal-relative:margin;mso-position-vertical:center;mso-position-vertical-relative:margin" o:allowincell="f">
          <v:imagedata r:id="rId1" o:title="bien"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04D2" w:rsidRDefault="006E4654" w:rsidP="00317FAA">
    <w:pPr>
      <w:pStyle w:val="En-tte"/>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75171627" o:spid="_x0000_s2050" type="#_x0000_t75" style="position:absolute;margin-left:0;margin-top:0;width:502.9pt;height:711.4pt;z-index:-251658752;mso-position-horizontal:center;mso-position-horizontal-relative:margin;mso-position-vertical:center;mso-position-vertical-relative:margin" o:allowincell="f">
          <v:imagedata r:id="rId1" o:title="bien" gain="19661f" blacklevel="22938f"/>
          <w10:wrap anchorx="margin" anchory="margin"/>
        </v:shape>
      </w:pict>
    </w:r>
  </w:p>
  <w:p w:rsidR="003A04D2" w:rsidRDefault="003A04D2">
    <w:pPr>
      <w:pStyle w:val="En-tt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04D2" w:rsidRDefault="006E4654">
    <w:pPr>
      <w:pStyle w:val="En-tte"/>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75171625" o:spid="_x0000_s2051" type="#_x0000_t75" style="position:absolute;margin-left:0;margin-top:0;width:502.9pt;height:711.4pt;z-index:-251657728;mso-position-horizontal:center;mso-position-horizontal-relative:margin;mso-position-vertical:center;mso-position-vertical-relative:margin" o:allowincell="f">
          <v:imagedata r:id="rId1" o:title="bien" gain="19661f" blacklevel="22938f"/>
          <w10:wrap anchorx="margin" anchory="margin"/>
        </v:shape>
      </w:pict>
    </w:r>
    <w:r w:rsidR="002C69B8">
      <w:t>²</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1">
    <w:nsid w:val="06AB7202"/>
    <w:multiLevelType w:val="hybridMultilevel"/>
    <w:tmpl w:val="AEB875DE"/>
    <w:lvl w:ilvl="0" w:tplc="FDE61EBE">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nsid w:val="15D2524B"/>
    <w:multiLevelType w:val="hybridMultilevel"/>
    <w:tmpl w:val="A224EAF2"/>
    <w:lvl w:ilvl="0" w:tplc="D5001A1A">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239F4D9B"/>
    <w:multiLevelType w:val="hybridMultilevel"/>
    <w:tmpl w:val="6E18F838"/>
    <w:lvl w:ilvl="0" w:tplc="1904278C">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nsid w:val="4E9B6521"/>
    <w:multiLevelType w:val="hybridMultilevel"/>
    <w:tmpl w:val="2E9676A2"/>
    <w:lvl w:ilvl="0" w:tplc="05B0B00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
    <w:nsid w:val="5C376C54"/>
    <w:multiLevelType w:val="hybridMultilevel"/>
    <w:tmpl w:val="E0A49772"/>
    <w:lvl w:ilvl="0" w:tplc="8018BD8A">
      <w:start w:val="5"/>
      <w:numFmt w:val="bullet"/>
      <w:lvlText w:val="-"/>
      <w:lvlJc w:val="left"/>
      <w:pPr>
        <w:ind w:left="720" w:hanging="360"/>
      </w:pPr>
      <w:rPr>
        <w:rFonts w:ascii="Bookman Old Style" w:eastAsia="Calibri" w:hAnsi="Bookman Old Styl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5D932743"/>
    <w:multiLevelType w:val="hybridMultilevel"/>
    <w:tmpl w:val="4F2E0EB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66AE68C7"/>
    <w:multiLevelType w:val="hybridMultilevel"/>
    <w:tmpl w:val="E7727E7C"/>
    <w:lvl w:ilvl="0" w:tplc="9A80C166">
      <w:start w:val="5"/>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nsid w:val="706B1843"/>
    <w:multiLevelType w:val="hybridMultilevel"/>
    <w:tmpl w:val="B1AECC46"/>
    <w:lvl w:ilvl="0" w:tplc="C2F02234">
      <w:start w:val="14"/>
      <w:numFmt w:val="bullet"/>
      <w:lvlText w:val="-"/>
      <w:lvlJc w:val="left"/>
      <w:pPr>
        <w:ind w:left="720" w:hanging="360"/>
      </w:pPr>
      <w:rPr>
        <w:rFonts w:ascii="Bookman Old Style" w:eastAsiaTheme="minorHAnsi" w:hAnsi="Bookman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C662E68"/>
    <w:multiLevelType w:val="hybridMultilevel"/>
    <w:tmpl w:val="E544EF6E"/>
    <w:lvl w:ilvl="0" w:tplc="4E26871C">
      <w:start w:val="1"/>
      <w:numFmt w:val="lowerLetter"/>
      <w:lvlText w:val="%1."/>
      <w:lvlJc w:val="left"/>
      <w:pPr>
        <w:ind w:left="1070" w:hanging="360"/>
      </w:pPr>
      <w:rPr>
        <w:rFonts w:hint="default"/>
      </w:rPr>
    </w:lvl>
    <w:lvl w:ilvl="1" w:tplc="040C0019" w:tentative="1">
      <w:start w:val="1"/>
      <w:numFmt w:val="lowerLetter"/>
      <w:lvlText w:val="%2."/>
      <w:lvlJc w:val="left"/>
      <w:pPr>
        <w:ind w:left="1790" w:hanging="360"/>
      </w:pPr>
    </w:lvl>
    <w:lvl w:ilvl="2" w:tplc="040C001B" w:tentative="1">
      <w:start w:val="1"/>
      <w:numFmt w:val="lowerRoman"/>
      <w:lvlText w:val="%3."/>
      <w:lvlJc w:val="right"/>
      <w:pPr>
        <w:ind w:left="2510" w:hanging="180"/>
      </w:pPr>
    </w:lvl>
    <w:lvl w:ilvl="3" w:tplc="040C000F" w:tentative="1">
      <w:start w:val="1"/>
      <w:numFmt w:val="decimal"/>
      <w:lvlText w:val="%4."/>
      <w:lvlJc w:val="left"/>
      <w:pPr>
        <w:ind w:left="3230" w:hanging="360"/>
      </w:pPr>
    </w:lvl>
    <w:lvl w:ilvl="4" w:tplc="040C0019" w:tentative="1">
      <w:start w:val="1"/>
      <w:numFmt w:val="lowerLetter"/>
      <w:lvlText w:val="%5."/>
      <w:lvlJc w:val="left"/>
      <w:pPr>
        <w:ind w:left="3950" w:hanging="360"/>
      </w:pPr>
    </w:lvl>
    <w:lvl w:ilvl="5" w:tplc="040C001B" w:tentative="1">
      <w:start w:val="1"/>
      <w:numFmt w:val="lowerRoman"/>
      <w:lvlText w:val="%6."/>
      <w:lvlJc w:val="right"/>
      <w:pPr>
        <w:ind w:left="4670" w:hanging="180"/>
      </w:pPr>
    </w:lvl>
    <w:lvl w:ilvl="6" w:tplc="040C000F" w:tentative="1">
      <w:start w:val="1"/>
      <w:numFmt w:val="decimal"/>
      <w:lvlText w:val="%7."/>
      <w:lvlJc w:val="left"/>
      <w:pPr>
        <w:ind w:left="5390" w:hanging="360"/>
      </w:pPr>
    </w:lvl>
    <w:lvl w:ilvl="7" w:tplc="040C0019" w:tentative="1">
      <w:start w:val="1"/>
      <w:numFmt w:val="lowerLetter"/>
      <w:lvlText w:val="%8."/>
      <w:lvlJc w:val="left"/>
      <w:pPr>
        <w:ind w:left="6110" w:hanging="360"/>
      </w:pPr>
    </w:lvl>
    <w:lvl w:ilvl="8" w:tplc="040C001B" w:tentative="1">
      <w:start w:val="1"/>
      <w:numFmt w:val="lowerRoman"/>
      <w:lvlText w:val="%9."/>
      <w:lvlJc w:val="right"/>
      <w:pPr>
        <w:ind w:left="6830" w:hanging="180"/>
      </w:pPr>
    </w:lvl>
  </w:abstractNum>
  <w:num w:numId="1">
    <w:abstractNumId w:val="8"/>
  </w:num>
  <w:num w:numId="2">
    <w:abstractNumId w:val="2"/>
  </w:num>
  <w:num w:numId="3">
    <w:abstractNumId w:val="6"/>
  </w:num>
  <w:num w:numId="4">
    <w:abstractNumId w:val="4"/>
  </w:num>
  <w:num w:numId="5">
    <w:abstractNumId w:val="5"/>
  </w:num>
  <w:num w:numId="6">
    <w:abstractNumId w:val="9"/>
  </w:num>
  <w:num w:numId="7">
    <w:abstractNumId w:val="1"/>
  </w:num>
  <w:num w:numId="8">
    <w:abstractNumId w:val="3"/>
  </w:num>
  <w:num w:numId="9">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4C90"/>
    <w:rsid w:val="00002650"/>
    <w:rsid w:val="000122CC"/>
    <w:rsid w:val="00013F8C"/>
    <w:rsid w:val="00022666"/>
    <w:rsid w:val="0002602E"/>
    <w:rsid w:val="000335E3"/>
    <w:rsid w:val="000349E5"/>
    <w:rsid w:val="00047FA6"/>
    <w:rsid w:val="00052233"/>
    <w:rsid w:val="000A4D91"/>
    <w:rsid w:val="000B3294"/>
    <w:rsid w:val="000F592B"/>
    <w:rsid w:val="000F6585"/>
    <w:rsid w:val="00100A08"/>
    <w:rsid w:val="0012155F"/>
    <w:rsid w:val="00123768"/>
    <w:rsid w:val="00127509"/>
    <w:rsid w:val="00177A72"/>
    <w:rsid w:val="00182C0F"/>
    <w:rsid w:val="00184E13"/>
    <w:rsid w:val="001F3410"/>
    <w:rsid w:val="00213B48"/>
    <w:rsid w:val="00241078"/>
    <w:rsid w:val="00241CFA"/>
    <w:rsid w:val="0025667A"/>
    <w:rsid w:val="00266433"/>
    <w:rsid w:val="00277DE6"/>
    <w:rsid w:val="0029457B"/>
    <w:rsid w:val="00297C55"/>
    <w:rsid w:val="002C69B8"/>
    <w:rsid w:val="002F4F0C"/>
    <w:rsid w:val="0030439C"/>
    <w:rsid w:val="00317FAA"/>
    <w:rsid w:val="003302A0"/>
    <w:rsid w:val="00331D6F"/>
    <w:rsid w:val="00332088"/>
    <w:rsid w:val="00342524"/>
    <w:rsid w:val="003550D9"/>
    <w:rsid w:val="003A04D2"/>
    <w:rsid w:val="003A6128"/>
    <w:rsid w:val="003A6801"/>
    <w:rsid w:val="003D4202"/>
    <w:rsid w:val="003F7E0F"/>
    <w:rsid w:val="00413B5C"/>
    <w:rsid w:val="0042789C"/>
    <w:rsid w:val="0045044D"/>
    <w:rsid w:val="00463F75"/>
    <w:rsid w:val="0049512F"/>
    <w:rsid w:val="0051715E"/>
    <w:rsid w:val="00517B7D"/>
    <w:rsid w:val="00517E08"/>
    <w:rsid w:val="00556807"/>
    <w:rsid w:val="00567682"/>
    <w:rsid w:val="005735C8"/>
    <w:rsid w:val="005862A3"/>
    <w:rsid w:val="005D029A"/>
    <w:rsid w:val="005D2508"/>
    <w:rsid w:val="005D452A"/>
    <w:rsid w:val="005E3AA7"/>
    <w:rsid w:val="00604A30"/>
    <w:rsid w:val="00621B42"/>
    <w:rsid w:val="006223A5"/>
    <w:rsid w:val="0062545D"/>
    <w:rsid w:val="00631467"/>
    <w:rsid w:val="006757D8"/>
    <w:rsid w:val="0068577E"/>
    <w:rsid w:val="00685A15"/>
    <w:rsid w:val="006C0445"/>
    <w:rsid w:val="006D38E9"/>
    <w:rsid w:val="006E4654"/>
    <w:rsid w:val="006E68E6"/>
    <w:rsid w:val="006F3C34"/>
    <w:rsid w:val="007741CD"/>
    <w:rsid w:val="00797A4B"/>
    <w:rsid w:val="007A02D2"/>
    <w:rsid w:val="007A3A4B"/>
    <w:rsid w:val="007D2150"/>
    <w:rsid w:val="00823AD6"/>
    <w:rsid w:val="00836D0E"/>
    <w:rsid w:val="00844977"/>
    <w:rsid w:val="00844B00"/>
    <w:rsid w:val="00850E2E"/>
    <w:rsid w:val="0085331C"/>
    <w:rsid w:val="008B6352"/>
    <w:rsid w:val="008E570E"/>
    <w:rsid w:val="009148ED"/>
    <w:rsid w:val="0092076D"/>
    <w:rsid w:val="00935433"/>
    <w:rsid w:val="00943418"/>
    <w:rsid w:val="00945FBC"/>
    <w:rsid w:val="00956E6D"/>
    <w:rsid w:val="00967506"/>
    <w:rsid w:val="00981E1E"/>
    <w:rsid w:val="00994DA7"/>
    <w:rsid w:val="009A6D0E"/>
    <w:rsid w:val="009E452C"/>
    <w:rsid w:val="00A17454"/>
    <w:rsid w:val="00A20B79"/>
    <w:rsid w:val="00A85994"/>
    <w:rsid w:val="00AA2C89"/>
    <w:rsid w:val="00AD148D"/>
    <w:rsid w:val="00B0133A"/>
    <w:rsid w:val="00B0260A"/>
    <w:rsid w:val="00B14008"/>
    <w:rsid w:val="00B33A1E"/>
    <w:rsid w:val="00B5433F"/>
    <w:rsid w:val="00B6099A"/>
    <w:rsid w:val="00B631C5"/>
    <w:rsid w:val="00B84DB9"/>
    <w:rsid w:val="00BB154A"/>
    <w:rsid w:val="00BF70A6"/>
    <w:rsid w:val="00C1520B"/>
    <w:rsid w:val="00C31ABE"/>
    <w:rsid w:val="00C72EBC"/>
    <w:rsid w:val="00CA58CC"/>
    <w:rsid w:val="00CB56AF"/>
    <w:rsid w:val="00CE38FF"/>
    <w:rsid w:val="00CE4724"/>
    <w:rsid w:val="00D30A7A"/>
    <w:rsid w:val="00D851CD"/>
    <w:rsid w:val="00DD0D1A"/>
    <w:rsid w:val="00DE385C"/>
    <w:rsid w:val="00DE4E5A"/>
    <w:rsid w:val="00DF2B14"/>
    <w:rsid w:val="00E0228B"/>
    <w:rsid w:val="00E51A3B"/>
    <w:rsid w:val="00E67556"/>
    <w:rsid w:val="00E74E38"/>
    <w:rsid w:val="00E77CF8"/>
    <w:rsid w:val="00E826CB"/>
    <w:rsid w:val="00E96333"/>
    <w:rsid w:val="00EB11B2"/>
    <w:rsid w:val="00EB3629"/>
    <w:rsid w:val="00EB76D6"/>
    <w:rsid w:val="00EF4C90"/>
    <w:rsid w:val="00F01C01"/>
    <w:rsid w:val="00F03077"/>
    <w:rsid w:val="00F142A4"/>
    <w:rsid w:val="00F41164"/>
    <w:rsid w:val="00F43384"/>
    <w:rsid w:val="00FC0843"/>
    <w:rsid w:val="00FD06CE"/>
    <w:rsid w:val="00FD41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chartTrackingRefBased/>
  <w15:docId w15:val="{82598757-549E-446A-8E88-8021025B9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4C90"/>
    <w:pPr>
      <w:spacing w:after="200" w:line="276" w:lineRule="auto"/>
    </w:pPr>
    <w:rPr>
      <w:rFonts w:ascii="Calibri" w:eastAsia="Calibri" w:hAnsi="Calibri" w:cs="Times New Roman"/>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F4C90"/>
    <w:pPr>
      <w:ind w:left="720"/>
      <w:contextualSpacing/>
    </w:pPr>
  </w:style>
  <w:style w:type="paragraph" w:styleId="En-tte">
    <w:name w:val="header"/>
    <w:basedOn w:val="Normal"/>
    <w:link w:val="En-tteCar"/>
    <w:uiPriority w:val="99"/>
    <w:unhideWhenUsed/>
    <w:rsid w:val="00EF4C90"/>
    <w:pPr>
      <w:tabs>
        <w:tab w:val="center" w:pos="4536"/>
        <w:tab w:val="right" w:pos="9072"/>
      </w:tabs>
      <w:spacing w:after="0" w:line="240" w:lineRule="auto"/>
    </w:pPr>
  </w:style>
  <w:style w:type="character" w:customStyle="1" w:styleId="En-tteCar">
    <w:name w:val="En-tête Car"/>
    <w:basedOn w:val="Policepardfaut"/>
    <w:link w:val="En-tte"/>
    <w:uiPriority w:val="99"/>
    <w:rsid w:val="00EF4C90"/>
    <w:rPr>
      <w:rFonts w:ascii="Calibri" w:eastAsia="Calibri" w:hAnsi="Calibri" w:cs="Times New Roman"/>
      <w:lang w:val="fr-FR"/>
    </w:rPr>
  </w:style>
  <w:style w:type="paragraph" w:styleId="Pieddepage">
    <w:name w:val="footer"/>
    <w:basedOn w:val="Normal"/>
    <w:link w:val="PieddepageCar"/>
    <w:uiPriority w:val="99"/>
    <w:unhideWhenUsed/>
    <w:rsid w:val="00EF4C9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F4C90"/>
    <w:rPr>
      <w:rFonts w:ascii="Calibri" w:eastAsia="Calibri" w:hAnsi="Calibri" w:cs="Times New Roman"/>
      <w:lang w:val="fr-FR"/>
    </w:rPr>
  </w:style>
  <w:style w:type="character" w:styleId="Lienhypertexte">
    <w:name w:val="Hyperlink"/>
    <w:uiPriority w:val="99"/>
    <w:unhideWhenUsed/>
    <w:rsid w:val="00EF4C90"/>
    <w:rPr>
      <w:color w:val="0563C1"/>
      <w:u w:val="single"/>
    </w:rPr>
  </w:style>
  <w:style w:type="paragraph" w:styleId="Textedebulles">
    <w:name w:val="Balloon Text"/>
    <w:basedOn w:val="Normal"/>
    <w:link w:val="TextedebullesCar"/>
    <w:uiPriority w:val="99"/>
    <w:semiHidden/>
    <w:unhideWhenUsed/>
    <w:rsid w:val="00CE38FF"/>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CE38FF"/>
    <w:rPr>
      <w:rFonts w:ascii="Segoe UI" w:eastAsia="Calibri" w:hAnsi="Segoe UI" w:cs="Segoe UI"/>
      <w:sz w:val="18"/>
      <w:szCs w:val="18"/>
      <w:lang w:val="fr-FR"/>
    </w:rPr>
  </w:style>
  <w:style w:type="paragraph" w:styleId="Listepuces2">
    <w:name w:val="List Bullet 2"/>
    <w:basedOn w:val="Normal"/>
    <w:uiPriority w:val="99"/>
    <w:unhideWhenUsed/>
    <w:rsid w:val="000349E5"/>
    <w:pPr>
      <w:numPr>
        <w:numId w:val="10"/>
      </w:numPr>
      <w:contextualSpacing/>
    </w:pPr>
    <w:rPr>
      <w:rFonts w:ascii="Tahoma" w:eastAsia="Tahoma" w:hAnsi="Tahoma" w:cs="Tahoma"/>
      <w:sz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hyperlink" Target="mailto:fardcsecas01@gmail.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rad.rdcongo@gmail.co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mailto:rad.rdcongo@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210</Words>
  <Characters>1160</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cp:lastPrinted>2025-01-14T11:36:00Z</cp:lastPrinted>
  <dcterms:created xsi:type="dcterms:W3CDTF">2026-04-14T06:31:00Z</dcterms:created>
  <dcterms:modified xsi:type="dcterms:W3CDTF">2026-04-14T06:31:00Z</dcterms:modified>
</cp:coreProperties>
</file>