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before="0"/>
      </w:pPr>
      <w:r>
        <w:t xml:space="preserve"/>
      </w:r>
    </w:p>
    <w:p>
      <w:pPr>
        <w:spacing w:after="80" w:before="0"/>
      </w:pPr>
      <w:r>
        <w:rPr>
          <w:rFonts w:ascii="Calibri" w:cs="Calibri" w:eastAsia="Calibri" w:hAnsi="Calibri"/>
          <w:b/>
          <w:bCs/>
          <w:color w:val="6B4FBB"/>
          <w:spacing w:val="60"/>
          <w:sz w:val="16"/>
          <w:szCs w:val="16"/>
        </w:rPr>
        <w:t xml:space="preserve">RELATÓRIO TÉCNICO</w:t>
      </w:r>
    </w:p>
    <w:p>
      <w:pPr>
        <w:spacing w:after="240" w:before="0"/>
      </w:pPr>
      <w:r>
        <w:rPr>
          <w:rFonts w:ascii="Cambria" w:cs="Cambria" w:eastAsia="Cambria" w:hAnsi="Cambria"/>
          <w:b/>
          <w:bCs/>
          <w:color w:val="111111"/>
          <w:sz w:val="72"/>
          <w:szCs w:val="72"/>
        </w:rPr>
        <w:t xml:space="preserve">Benchmark NUXS</w:t>
      </w:r>
    </w:p>
    <w:p>
      <w:pPr>
        <w:spacing w:after="600" w:before="0"/>
      </w:pPr>
      <w:r>
        <w:rPr>
          <w:rFonts w:ascii="Cambria" w:cs="Cambria" w:eastAsia="Cambria" w:hAnsi="Cambria"/>
          <w:i/>
          <w:iCs/>
          <w:color w:val="555555"/>
          <w:sz w:val="32"/>
          <w:szCs w:val="32"/>
        </w:rPr>
        <w:t xml:space="preserve">Estudo auditável de compressão de contexto</w:t>
      </w:r>
    </w:p>
    <w:p>
      <w:pPr>
        <w:pBdr>
          <w:bottom w:val="single" w:color="BFBFBF" w:sz="6" w:space="1"/>
        </w:pBdr>
        <w:spacing w:after="120" w:before="120"/>
      </w:pPr>
      <w:r>
        <w:t xml:space="preserve"/>
      </w:r>
    </w:p>
    <w:p>
      <w:pPr>
        <w:spacing w:after="100" w:before="0" w:line="300"/>
        <w:jc w:val="left"/>
      </w:pPr>
      <w:r>
        <w:rPr>
          <w:rFonts w:ascii="Calibri" w:cs="Calibri" w:eastAsia="Calibri" w:hAnsi="Calibri"/>
          <w:b/>
          <w:bCs/>
          <w:i w:val="false"/>
          <w:iCs w:val="false"/>
          <w:color w:val="111111"/>
          <w:sz w:val="22"/>
          <w:szCs w:val="22"/>
        </w:rPr>
        <w:t xml:space="preserve">Escopo: </w:t>
      </w:r>
      <w:r>
        <w:rPr>
          <w:rFonts w:ascii="Calibri" w:cs="Calibri" w:eastAsia="Calibri" w:hAnsi="Calibri"/>
          <w:color w:val="111111"/>
          <w:sz w:val="22"/>
          <w:szCs w:val="22"/>
        </w:rPr>
        <w:t xml:space="preserve">17 cápsulas de texto + 3 capacidades multimodais.</w:t>
      </w:r>
    </w:p>
    <w:p>
      <w:pPr>
        <w:spacing w:after="100" w:before="0" w:line="300"/>
        <w:jc w:val="left"/>
      </w:pPr>
      <w:r>
        <w:rPr>
          <w:rFonts w:ascii="Calibri" w:cs="Calibri" w:eastAsia="Calibri" w:hAnsi="Calibri"/>
          <w:b/>
          <w:bCs/>
          <w:i w:val="false"/>
          <w:iCs w:val="false"/>
          <w:color w:val="111111"/>
          <w:sz w:val="22"/>
          <w:szCs w:val="22"/>
        </w:rPr>
        <w:t xml:space="preserve">Volume auditável: </w:t>
      </w:r>
      <w:r>
        <w:rPr>
          <w:rFonts w:ascii="Calibri" w:cs="Calibri" w:eastAsia="Calibri" w:hAnsi="Calibri"/>
          <w:color w:val="111111"/>
          <w:sz w:val="22"/>
          <w:szCs w:val="22"/>
        </w:rPr>
        <w:t xml:space="preserve">180.590.521 tokens em 9.609 amostras.</w:t>
      </w:r>
    </w:p>
    <w:p>
      <w:pPr>
        <w:spacing w:after="100" w:before="0" w:line="300"/>
        <w:jc w:val="left"/>
      </w:pPr>
      <w:r>
        <w:rPr>
          <w:rFonts w:ascii="Calibri" w:cs="Calibri" w:eastAsia="Calibri" w:hAnsi="Calibri"/>
          <w:b/>
          <w:bCs/>
          <w:i w:val="false"/>
          <w:iCs w:val="false"/>
          <w:color w:val="111111"/>
          <w:sz w:val="22"/>
          <w:szCs w:val="22"/>
        </w:rPr>
        <w:t xml:space="preserve">Tokenizer: </w:t>
      </w:r>
      <w:r>
        <w:rPr>
          <w:rFonts w:ascii="Calibri" w:cs="Calibri" w:eastAsia="Calibri" w:hAnsi="Calibri"/>
          <w:color w:val="111111"/>
          <w:sz w:val="22"/>
          <w:szCs w:val="22"/>
        </w:rPr>
        <w:t xml:space="preserve">cl100k_base, declarado como proxy reproduzível.</w:t>
      </w:r>
    </w:p>
    <w:p>
      <w:pPr>
        <w:spacing w:after="100" w:before="0" w:line="300"/>
        <w:jc w:val="left"/>
      </w:pPr>
      <w:r>
        <w:rPr>
          <w:rFonts w:ascii="Calibri" w:cs="Calibri" w:eastAsia="Calibri" w:hAnsi="Calibri"/>
          <w:b/>
          <w:bCs/>
          <w:i w:val="false"/>
          <w:iCs w:val="false"/>
          <w:color w:val="111111"/>
          <w:sz w:val="22"/>
          <w:szCs w:val="22"/>
        </w:rPr>
        <w:t xml:space="preserve">Motor de referência: </w:t>
      </w:r>
      <w:r>
        <w:rPr>
          <w:rFonts w:ascii="Calibri" w:cs="Calibri" w:eastAsia="Calibri" w:hAnsi="Calibri"/>
          <w:color w:val="111111"/>
          <w:sz w:val="22"/>
          <w:szCs w:val="22"/>
        </w:rPr>
        <w:t xml:space="preserve">nuxs-capsule 0.1.57.</w:t>
      </w:r>
    </w:p>
    <w:p>
      <w:pPr>
        <w:spacing w:after="100" w:before="0" w:line="300"/>
        <w:jc w:val="left"/>
      </w:pPr>
      <w:r>
        <w:rPr>
          <w:rFonts w:ascii="Calibri" w:cs="Calibri" w:eastAsia="Calibri" w:hAnsi="Calibri"/>
          <w:b/>
          <w:bCs/>
          <w:i w:val="false"/>
          <w:iCs w:val="false"/>
          <w:color w:val="111111"/>
          <w:sz w:val="22"/>
          <w:szCs w:val="22"/>
        </w:rPr>
        <w:t xml:space="preserve">Data: </w:t>
      </w:r>
      <w:r>
        <w:rPr>
          <w:rFonts w:ascii="Calibri" w:cs="Calibri" w:eastAsia="Calibri" w:hAnsi="Calibri"/>
          <w:color w:val="111111"/>
          <w:sz w:val="22"/>
          <w:szCs w:val="22"/>
        </w:rPr>
        <w:t xml:space="preserve">06 de junho de 2026.</w:t>
      </w:r>
    </w:p>
    <w:p>
      <w:pPr>
        <w:pBdr>
          <w:bottom w:val="single" w:color="BFBFBF" w:sz="6" w:space="1"/>
        </w:pBdr>
        <w:spacing w:after="120" w:before="120"/>
      </w:pPr>
      <w:r>
        <w:t xml:space="preserve"/>
      </w:r>
    </w:p>
    <w:p>
      <w:pPr>
        <w:spacing w:after="800" w:before="0"/>
      </w:pPr>
      <w:r>
        <w:t xml:space="preserve"/>
      </w:r>
    </w:p>
    <w:p>
      <w:pPr>
        <w:spacing w:after="100" w:before="0" w:line="320"/>
        <w:jc w:val="left"/>
      </w:pPr>
      <w:r>
        <w:rPr>
          <w:rFonts w:ascii="Calibri" w:cs="Calibri" w:eastAsia="Calibri" w:hAnsi="Calibri"/>
          <w:b w:val="false"/>
          <w:bCs w:val="false"/>
          <w:i/>
          <w:iCs/>
          <w:color w:val="555555"/>
          <w:sz w:val="22"/>
          <w:szCs w:val="22"/>
        </w:rPr>
        <w:t xml:space="preserve">Este documento reporta resultados auditáveis de compressão de contexto. As métricas são recomputáveis a partir dos arquivos brutos publicados em anexo.</w:t>
      </w:r>
    </w:p>
    <w:p>
      <w:pPr>
        <w:pageBreakBefore/>
      </w:pPr>
      <w:r>
        <w:t xml:space="preserve"/>
      </w:r>
    </w:p>
    <w:p>
      <w:pPr>
        <w:spacing w:after="80" w:before="0"/>
      </w:pPr>
      <w:r>
        <w:rPr>
          <w:rFonts w:ascii="Calibri" w:cs="Calibri" w:eastAsia="Calibri" w:hAnsi="Calibri"/>
          <w:b/>
          <w:bCs/>
          <w:color w:val="6B4FBB"/>
          <w:spacing w:val="60"/>
          <w:sz w:val="16"/>
          <w:szCs w:val="16"/>
        </w:rPr>
        <w:t xml:space="preserve">1</w:t>
      </w:r>
    </w:p>
    <w:p>
      <w:pPr>
        <w:pStyle w:val="Heading1"/>
        <w:spacing w:after="180" w:before="360"/>
      </w:pPr>
      <w:r>
        <w:rPr>
          <w:rFonts w:ascii="Calibri" w:cs="Calibri" w:eastAsia="Calibri" w:hAnsi="Calibri"/>
          <w:b/>
          <w:bCs/>
          <w:color w:val="111111"/>
          <w:sz w:val="36"/>
          <w:szCs w:val="36"/>
        </w:rPr>
        <w:t xml:space="preserve">Sumário executivo</w:t>
      </w:r>
    </w:p>
    <w:p>
      <w:pPr>
        <w:spacing w:after="100" w:before="0" w:line="300"/>
        <w:jc w:val="left"/>
      </w:pPr>
      <w:r>
        <w:rPr>
          <w:rFonts w:ascii="Calibri" w:cs="Calibri" w:eastAsia="Calibri" w:hAnsi="Calibri"/>
          <w:b w:val="false"/>
          <w:bCs w:val="false"/>
          <w:i w:val="false"/>
          <w:iCs w:val="false"/>
          <w:color w:val="111111"/>
          <w:sz w:val="22"/>
          <w:szCs w:val="22"/>
        </w:rPr>
        <w:t xml:space="preserve">A NUXS é uma camada de compressão de contexto para agentes de IA, organizada em cápsulas especializadas por tipo de dado. Este estudo mede a compressão obtida em condições controladas, reproduzíveis e auditáveis, combinando amostras sintéticas seeded e amostras reais.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rPr>
          <w:tblHeader/>
        </w:trPr>
        <w:tc>
          <w:tcPr>
            <w:tcW w:type="dxa" w:w="4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Métrica</w:t>
            </w:r>
          </w:p>
        </w:tc>
        <w:tc>
          <w:tcPr>
            <w:tcW w:type="dxa" w:w="48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Valor</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Volume auditável (com raw preservado)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180.590.521 tokens</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Amostras auditáveis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9.609</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Tokens economizados (auditável)</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157.948.621</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Margem agregada (17 cápsulas)</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87,46%</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Margem em uso real (perfil código)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Margem em uso real (perfil RAG/LLM)</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95,4%</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Cápsulas com margem ≥ 95% (sintético)</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11 de 17</w:t>
            </w:r>
          </w:p>
        </w:tc>
      </w:tr>
      <w:tr>
        <w:trPr>
          <w:tblHeader w:val="false"/>
        </w:trPr>
        <w:tc>
          <w:tcPr>
            <w:tcW w:type="dxa" w:w="4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Multimodais validadas (pipeline)</w:t>
            </w:r>
          </w:p>
        </w:tc>
        <w:tc>
          <w:tcPr>
            <w:tcW w:type="dxa" w:w="4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 (image, video, meeting)</w:t>
            </w:r>
          </w:p>
        </w:tc>
      </w:tr>
    </w:tbl>
    <w:p>
      <w:pPr>
        <w:spacing w:after="160" w:before="0"/>
      </w:pPr>
      <w:r>
        <w:t xml:space="preserve"/>
      </w:r>
    </w:p>
    <w:p>
      <w:pPr>
        <w:spacing w:after="100" w:before="100" w:line="300"/>
        <w:jc w:val="left"/>
      </w:pPr>
      <w:r>
        <w:rPr>
          <w:rFonts w:ascii="Calibri" w:cs="Calibri" w:eastAsia="Calibri" w:hAnsi="Calibri"/>
          <w:b w:val="false"/>
          <w:bCs w:val="false"/>
          <w:i w:val="false"/>
          <w:iCs w:val="false"/>
          <w:color w:val="111111"/>
          <w:sz w:val="22"/>
          <w:szCs w:val="22"/>
        </w:rPr>
        <w:t xml:space="preserve">Três observações qualificam a leitura dos números:</w:t>
      </w:r>
    </w:p>
    <w:p>
      <w:pPr>
        <w:spacing w:after="100" w:before="0" w:line="300"/>
        <w:jc w:val="left"/>
      </w:pPr>
      <w:r>
        <w:rPr>
          <w:rFonts w:ascii="Calibri" w:cs="Calibri" w:eastAsia="Calibri" w:hAnsi="Calibri"/>
          <w:b w:val="false"/>
          <w:bCs w:val="false"/>
          <w:i w:val="false"/>
          <w:iCs w:val="false"/>
          <w:color w:val="111111"/>
          <w:sz w:val="22"/>
          <w:szCs w:val="22"/>
        </w:rPr>
        <w:t xml:space="preserve">O estudo é deliberadamente conservador. A maior parte do volume usa inputs sintéticos com alta entropia e pouca redundância, justamente para medir o piso. Inputs reais, por carregarem redundância natural, comprimem consistentemente mais.</w:t>
      </w:r>
    </w:p>
    <w:p>
      <w:pPr>
        <w:spacing w:after="100" w:before="0" w:line="300"/>
        <w:jc w:val="left"/>
      </w:pPr>
      <w:r>
        <w:rPr>
          <w:rFonts w:ascii="Calibri" w:cs="Calibri" w:eastAsia="Calibri" w:hAnsi="Calibri"/>
          <w:b w:val="false"/>
          <w:bCs w:val="false"/>
          <w:i w:val="false"/>
          <w:iCs w:val="false"/>
          <w:color w:val="111111"/>
          <w:sz w:val="22"/>
          <w:szCs w:val="22"/>
        </w:rPr>
        <w:t xml:space="preserve">Há cápsulas que escalam com o tamanho do input e cápsulas que estabilizam num platô. As que escalam atingem razões de centenas a milhares de vezes em entradas grandes; as em platô refletem o teto técnico do próprio tipo de dado.</w:t>
      </w:r>
    </w:p>
    <w:p>
      <w:pPr>
        <w:spacing w:after="100" w:before="0" w:line="300"/>
        <w:jc w:val="left"/>
      </w:pPr>
      <w:r>
        <w:rPr>
          <w:rFonts w:ascii="Calibri" w:cs="Calibri" w:eastAsia="Calibri" w:hAnsi="Calibri"/>
          <w:b w:val="false"/>
          <w:bCs w:val="false"/>
          <w:i w:val="false"/>
          <w:iCs w:val="false"/>
          <w:color w:val="111111"/>
          <w:sz w:val="22"/>
          <w:szCs w:val="22"/>
        </w:rPr>
        <w:t xml:space="preserve">O estudo declara onde a compressão é limitada por propriedade do dado: entradas muito pequenas resultam em passthrough, e tipos densos têm teto físico documentado.</w:t>
      </w:r>
    </w:p>
    <w:p>
      <w:pPr>
        <w:pageBreakBefore/>
      </w:pPr>
      <w:r>
        <w:t xml:space="preserve"/>
      </w:r>
    </w:p>
    <w:p>
      <w:pPr>
        <w:spacing w:after="80" w:before="0"/>
      </w:pPr>
      <w:r>
        <w:rPr>
          <w:rFonts w:ascii="Calibri" w:cs="Calibri" w:eastAsia="Calibri" w:hAnsi="Calibri"/>
          <w:b/>
          <w:bCs/>
          <w:color w:val="6B4FBB"/>
          <w:spacing w:val="60"/>
          <w:sz w:val="16"/>
          <w:szCs w:val="16"/>
        </w:rPr>
        <w:t xml:space="preserve">2</w:t>
      </w:r>
    </w:p>
    <w:p>
      <w:pPr>
        <w:pStyle w:val="Heading1"/>
        <w:spacing w:after="180" w:before="360"/>
      </w:pPr>
      <w:r>
        <w:rPr>
          <w:rFonts w:ascii="Calibri" w:cs="Calibri" w:eastAsia="Calibri" w:hAnsi="Calibri"/>
          <w:b/>
          <w:bCs/>
          <w:color w:val="111111"/>
          <w:sz w:val="36"/>
          <w:szCs w:val="36"/>
        </w:rPr>
        <w:t xml:space="preserve">Metodologia</w:t>
      </w:r>
    </w:p>
    <w:p>
      <w:pPr>
        <w:pStyle w:val="Heading2"/>
        <w:spacing w:after="140" w:before="280"/>
      </w:pPr>
      <w:r>
        <w:rPr>
          <w:rFonts w:ascii="Calibri" w:cs="Calibri" w:eastAsia="Calibri" w:hAnsi="Calibri"/>
          <w:b/>
          <w:bCs/>
          <w:color w:val="111111"/>
          <w:sz w:val="30"/>
          <w:szCs w:val="30"/>
        </w:rPr>
        <w:t xml:space="preserve">2.1 Tokenizer de referência</w:t>
      </w:r>
    </w:p>
    <w:p>
      <w:pPr>
        <w:spacing w:after="100" w:before="0" w:line="300"/>
        <w:jc w:val="left"/>
      </w:pPr>
      <w:r>
        <w:rPr>
          <w:rFonts w:ascii="Calibri" w:cs="Calibri" w:eastAsia="Calibri" w:hAnsi="Calibri"/>
          <w:b w:val="false"/>
          <w:bCs w:val="false"/>
          <w:i w:val="false"/>
          <w:iCs w:val="false"/>
          <w:color w:val="111111"/>
          <w:sz w:val="22"/>
          <w:szCs w:val="22"/>
        </w:rPr>
        <w:t xml:space="preserve">Todas as medições — entrada e saída — usam o tokenizer OpenAI cl100k_base. O cl100k é declarado explicitamente como proxy: tokenizers de outros provedores diferem em poucos pontos percentuais nas contagens absolutas. As razões reportadas são robustas a essa escolha, porque entrada e saída são medidas com a mesma régua.</w:t>
      </w:r>
    </w:p>
    <w:p>
      <w:pPr>
        <w:pStyle w:val="Heading2"/>
        <w:spacing w:after="140" w:before="280"/>
      </w:pPr>
      <w:r>
        <w:rPr>
          <w:rFonts w:ascii="Calibri" w:cs="Calibri" w:eastAsia="Calibri" w:hAnsi="Calibri"/>
          <w:b/>
          <w:bCs/>
          <w:color w:val="111111"/>
          <w:sz w:val="30"/>
          <w:szCs w:val="30"/>
        </w:rPr>
        <w:t xml:space="preserve">2.2 Métricas</w:t>
      </w:r>
    </w:p>
    <w:p>
      <w:pPr>
        <w:spacing w:after="100" w:before="0" w:line="300"/>
        <w:jc w:val="left"/>
      </w:pPr>
      <w:r>
        <w:rPr>
          <w:rFonts w:ascii="Calibri" w:cs="Calibri" w:eastAsia="Calibri" w:hAnsi="Calibri"/>
          <w:b/>
          <w:bCs/>
          <w:i w:val="false"/>
          <w:iCs w:val="false"/>
          <w:color w:val="111111"/>
          <w:sz w:val="22"/>
          <w:szCs w:val="22"/>
        </w:rPr>
        <w:t xml:space="preserve">ratio</w:t>
      </w:r>
      <w:r>
        <w:rPr>
          <w:rFonts w:ascii="Calibri" w:cs="Calibri" w:eastAsia="Calibri" w:hAnsi="Calibri"/>
          <w:color w:val="111111"/>
          <w:sz w:val="22"/>
          <w:szCs w:val="22"/>
        </w:rPr>
        <w:t xml:space="preserve"> = in_tokens / out_tokens — quantas vezes a entrada foi reduzida.</w:t>
      </w:r>
    </w:p>
    <w:p>
      <w:pPr>
        <w:spacing w:after="100" w:before="0" w:line="300"/>
        <w:jc w:val="left"/>
      </w:pPr>
      <w:r>
        <w:rPr>
          <w:rFonts w:ascii="Calibri" w:cs="Calibri" w:eastAsia="Calibri" w:hAnsi="Calibri"/>
          <w:b/>
          <w:bCs/>
          <w:i w:val="false"/>
          <w:iCs w:val="false"/>
          <w:color w:val="111111"/>
          <w:sz w:val="22"/>
          <w:szCs w:val="22"/>
        </w:rPr>
        <w:t xml:space="preserve">pct_saved</w:t>
      </w:r>
      <w:r>
        <w:rPr>
          <w:rFonts w:ascii="Calibri" w:cs="Calibri" w:eastAsia="Calibri" w:hAnsi="Calibri"/>
          <w:color w:val="111111"/>
          <w:sz w:val="22"/>
          <w:szCs w:val="22"/>
        </w:rPr>
        <w:t xml:space="preserve"> = (1 − out_tokens / in_tokens) × 100 — percentual de tokens eliminados.</w:t>
      </w:r>
    </w:p>
    <w:p>
      <w:pPr>
        <w:spacing w:after="100" w:before="0" w:line="300"/>
        <w:jc w:val="left"/>
      </w:pPr>
      <w:r>
        <w:rPr>
          <w:rFonts w:ascii="Calibri" w:cs="Calibri" w:eastAsia="Calibri" w:hAnsi="Calibri"/>
          <w:b w:val="false"/>
          <w:bCs w:val="false"/>
          <w:i w:val="false"/>
          <w:iCs w:val="false"/>
          <w:color w:val="111111"/>
          <w:sz w:val="22"/>
          <w:szCs w:val="22"/>
        </w:rPr>
        <w:t xml:space="preserve">Para distribuições, reporta-se p10, p50 (mediana) e p90 dos valores observados em cada bucket de tamanho.</w:t>
      </w:r>
    </w:p>
    <w:p>
      <w:pPr>
        <w:pStyle w:val="Heading2"/>
        <w:spacing w:after="140" w:before="280"/>
      </w:pPr>
      <w:r>
        <w:rPr>
          <w:rFonts w:ascii="Calibri" w:cs="Calibri" w:eastAsia="Calibri" w:hAnsi="Calibri"/>
          <w:b/>
          <w:bCs/>
          <w:color w:val="111111"/>
          <w:sz w:val="30"/>
          <w:szCs w:val="30"/>
        </w:rPr>
        <w:t xml:space="preserve">2.3 Regra de passthrough</w:t>
      </w:r>
    </w:p>
    <w:p>
      <w:pPr>
        <w:spacing w:after="100" w:before="0" w:line="300"/>
        <w:jc w:val="left"/>
      </w:pPr>
      <w:r>
        <w:rPr>
          <w:rFonts w:ascii="Calibri" w:cs="Calibri" w:eastAsia="Calibri" w:hAnsi="Calibri"/>
          <w:b w:val="false"/>
          <w:bCs w:val="false"/>
          <w:i w:val="false"/>
          <w:iCs w:val="false"/>
          <w:color w:val="111111"/>
          <w:sz w:val="22"/>
          <w:szCs w:val="22"/>
        </w:rPr>
        <w:t xml:space="preserve">Quando a saída de uma cápsula seria igual ou maior que a entrada, o motor retorna o input intacto e registra ratio = 1,0×. Esses pontos refletem entradas com redundância insuficiente para compensar o custo de comprimir; ficam preservados no raw e contam normalmente na estatística.</w:t>
      </w:r>
    </w:p>
    <w:p>
      <w:pPr>
        <w:pStyle w:val="Heading2"/>
        <w:spacing w:after="140" w:before="280"/>
      </w:pPr>
      <w:r>
        <w:rPr>
          <w:rFonts w:ascii="Calibri" w:cs="Calibri" w:eastAsia="Calibri" w:hAnsi="Calibri"/>
          <w:b/>
          <w:bCs/>
          <w:color w:val="111111"/>
          <w:sz w:val="30"/>
          <w:szCs w:val="30"/>
        </w:rPr>
        <w:t xml:space="preserve">2.4 Origem dos inputs</w:t>
      </w:r>
    </w:p>
    <w:p>
      <w:pPr>
        <w:spacing w:after="100" w:before="0" w:line="300"/>
        <w:jc w:val="left"/>
      </w:pPr>
      <w:r>
        <w:rPr>
          <w:rFonts w:ascii="Calibri" w:cs="Calibri" w:eastAsia="Calibri" w:hAnsi="Calibri"/>
          <w:b/>
          <w:bCs/>
          <w:i w:val="false"/>
          <w:iCs w:val="false"/>
          <w:color w:val="111111"/>
          <w:sz w:val="22"/>
          <w:szCs w:val="22"/>
        </w:rPr>
        <w:t xml:space="preserve">Sintético seeded </w:t>
      </w:r>
      <w:r>
        <w:rPr>
          <w:rFonts w:ascii="Calibri" w:cs="Calibri" w:eastAsia="Calibri" w:hAnsi="Calibri"/>
          <w:color w:val="111111"/>
          <w:sz w:val="22"/>
          <w:szCs w:val="22"/>
        </w:rPr>
        <w:t xml:space="preserve">— gerado por PRNG determinístico. Cada amostra registra seed e sha256(input). Os geradores produzem formatos válidos com alta entropia interna, medindo o piso de compressão.</w:t>
      </w:r>
    </w:p>
    <w:p>
      <w:pPr>
        <w:spacing w:after="100" w:before="0" w:line="300"/>
        <w:jc w:val="left"/>
      </w:pPr>
      <w:r>
        <w:rPr>
          <w:rFonts w:ascii="Calibri" w:cs="Calibri" w:eastAsia="Calibri" w:hAnsi="Calibri"/>
          <w:b/>
          <w:bCs/>
          <w:i w:val="false"/>
          <w:iCs w:val="false"/>
          <w:color w:val="111111"/>
          <w:sz w:val="22"/>
          <w:szCs w:val="22"/>
        </w:rPr>
        <w:t xml:space="preserve">Real </w:t>
      </w:r>
      <w:r>
        <w:rPr>
          <w:rFonts w:ascii="Calibri" w:cs="Calibri" w:eastAsia="Calibri" w:hAnsi="Calibri"/>
          <w:color w:val="111111"/>
          <w:sz w:val="22"/>
          <w:szCs w:val="22"/>
        </w:rPr>
        <w:t xml:space="preserve">— um run sobre corpus real de código (7.035 amostras, 12,9M tokens) e um run sobre 40 arquivos reais selecionados deterministicamente em dois repositórios internos de produção, conforme critério reproduzível detalhado no anexo. Refletem a redundância encontrada em uso de produção.</w:t>
      </w:r>
    </w:p>
    <w:p>
      <w:pPr>
        <w:pStyle w:val="Heading2"/>
        <w:spacing w:after="140" w:before="280"/>
      </w:pPr>
      <w:r>
        <w:rPr>
          <w:rFonts w:ascii="Calibri" w:cs="Calibri" w:eastAsia="Calibri" w:hAnsi="Calibri"/>
          <w:b/>
          <w:bCs/>
          <w:color w:val="111111"/>
          <w:sz w:val="30"/>
          <w:szCs w:val="30"/>
        </w:rPr>
        <w:t xml:space="preserve">2.5 Determinismo</w:t>
      </w:r>
    </w:p>
    <w:p>
      <w:pPr>
        <w:spacing w:after="100" w:before="0" w:line="300"/>
        <w:jc w:val="left"/>
      </w:pPr>
      <w:r>
        <w:rPr>
          <w:rFonts w:ascii="Calibri" w:cs="Calibri" w:eastAsia="Calibri" w:hAnsi="Calibri"/>
          <w:b w:val="false"/>
          <w:bCs w:val="false"/>
          <w:i w:val="false"/>
          <w:iCs w:val="false"/>
          <w:color w:val="111111"/>
          <w:sz w:val="22"/>
          <w:szCs w:val="22"/>
        </w:rPr>
        <w:t xml:space="preserve">Cápsulas algorítmicas são determinísticas: a mesma entrada produz a mesma saída byte-a-byte. Cápsulas baseadas em modelo de linguagem usam temperatura 0.1 e relatam N amostras por configuração. Cada linha do raw contém seed, sha256, in/out tokens, ratio e flag de passthrough.</w:t>
      </w:r>
    </w:p>
    <w:p>
      <w:pPr>
        <w:pStyle w:val="Heading2"/>
        <w:spacing w:after="140" w:before="280"/>
      </w:pPr>
      <w:r>
        <w:rPr>
          <w:rFonts w:ascii="Calibri" w:cs="Calibri" w:eastAsia="Calibri" w:hAnsi="Calibri"/>
          <w:b/>
          <w:bCs/>
          <w:color w:val="111111"/>
          <w:sz w:val="30"/>
          <w:szCs w:val="30"/>
        </w:rPr>
        <w:t xml:space="preserve">2.6 Tipos de cápsula</w:t>
      </w:r>
    </w:p>
    <w:p>
      <w:pPr>
        <w:spacing w:after="100" w:before="0" w:line="300"/>
        <w:jc w:val="left"/>
      </w:pPr>
      <w:r>
        <w:rPr>
          <w:rFonts w:ascii="Calibri" w:cs="Calibri" w:eastAsia="Calibri" w:hAnsi="Calibri"/>
          <w:b/>
          <w:bCs/>
          <w:i w:val="false"/>
          <w:iCs w:val="false"/>
          <w:color w:val="111111"/>
          <w:sz w:val="22"/>
          <w:szCs w:val="22"/>
        </w:rPr>
        <w:t xml:space="preserve">Algorítmicas (10): </w:t>
      </w:r>
      <w:r>
        <w:rPr>
          <w:rFonts w:ascii="Calibri" w:cs="Calibri" w:eastAsia="Calibri" w:hAnsi="Calibri"/>
          <w:color w:val="111111"/>
          <w:sz w:val="22"/>
          <w:szCs w:val="22"/>
        </w:rPr>
        <w:t xml:space="preserve">log, api, network, diff, test, build, schema, apispec, prompt, codebase. Execução local, custo computacional marginal.</w:t>
      </w:r>
    </w:p>
    <w:p>
      <w:pPr>
        <w:spacing w:after="100" w:before="0" w:line="300"/>
        <w:jc w:val="left"/>
      </w:pPr>
      <w:r>
        <w:rPr>
          <w:rFonts w:ascii="Calibri" w:cs="Calibri" w:eastAsia="Calibri" w:hAnsi="Calibri"/>
          <w:b/>
          <w:bCs/>
          <w:i w:val="false"/>
          <w:iCs w:val="false"/>
          <w:color w:val="111111"/>
          <w:sz w:val="22"/>
          <w:szCs w:val="22"/>
        </w:rPr>
        <w:t xml:space="preserve">Baseadas em LLM (7): </w:t>
      </w:r>
      <w:r>
        <w:rPr>
          <w:rFonts w:ascii="Calibri" w:cs="Calibri" w:eastAsia="Calibri" w:hAnsi="Calibri"/>
          <w:color w:val="111111"/>
          <w:sz w:val="22"/>
          <w:szCs w:val="22"/>
        </w:rPr>
        <w:t xml:space="preserve">stack, sql, events, session, threads, pdf, rag. Dependem de chamada a um modelo de linguagem.</w:t>
      </w:r>
    </w:p>
    <w:p>
      <w:pPr>
        <w:spacing w:after="100" w:before="0" w:line="300"/>
        <w:jc w:val="left"/>
      </w:pPr>
      <w:r>
        <w:rPr>
          <w:rFonts w:ascii="Calibri" w:cs="Calibri" w:eastAsia="Calibri" w:hAnsi="Calibri"/>
          <w:b w:val="false"/>
          <w:bCs w:val="false"/>
          <w:i w:val="false"/>
          <w:iCs w:val="false"/>
          <w:color w:val="111111"/>
          <w:sz w:val="22"/>
          <w:szCs w:val="22"/>
        </w:rPr>
        <w:t xml:space="preserve">As três multimodais (image, video, meeting) traduzem mídia em contexto textual denso e são reportadas em validação de pipeline, fora do agregado de volume.</w:t>
      </w:r>
    </w:p>
    <w:p>
      <w:pPr>
        <w:pStyle w:val="Heading2"/>
        <w:spacing w:after="140" w:before="280"/>
      </w:pPr>
      <w:r>
        <w:rPr>
          <w:rFonts w:ascii="Calibri" w:cs="Calibri" w:eastAsia="Calibri" w:hAnsi="Calibri"/>
          <w:b/>
          <w:bCs/>
          <w:color w:val="111111"/>
          <w:sz w:val="30"/>
          <w:szCs w:val="30"/>
        </w:rPr>
        <w:t xml:space="preserve">2.7 Condução do estudo</w:t>
      </w:r>
    </w:p>
    <w:p>
      <w:pPr>
        <w:spacing w:after="100" w:before="0" w:line="300"/>
        <w:jc w:val="left"/>
      </w:pPr>
      <w:r>
        <w:rPr>
          <w:rFonts w:ascii="Calibri" w:cs="Calibri" w:eastAsia="Calibri" w:hAnsi="Calibri"/>
          <w:b w:val="false"/>
          <w:bCs w:val="false"/>
          <w:i w:val="false"/>
          <w:iCs w:val="false"/>
          <w:color w:val="111111"/>
          <w:sz w:val="22"/>
          <w:szCs w:val="22"/>
        </w:rPr>
        <w:t xml:space="preserve">O estudo foi conduzido internamente pela equipe NUXS. Todos os arquivos brutos referenciados na seção de reprodutibilidade são publicados para permitir reauditoria independente.</w:t>
      </w:r>
    </w:p>
    <w:p>
      <w:pPr>
        <w:pStyle w:val="Heading2"/>
        <w:spacing w:after="140" w:before="280"/>
      </w:pPr>
      <w:r>
        <w:rPr>
          <w:rFonts w:ascii="Calibri" w:cs="Calibri" w:eastAsia="Calibri" w:hAnsi="Calibri"/>
          <w:b/>
          <w:bCs/>
          <w:color w:val="111111"/>
          <w:sz w:val="30"/>
          <w:szCs w:val="30"/>
        </w:rPr>
        <w:t xml:space="preserve">2.8 Sanitização dos inputs reais</w:t>
      </w:r>
    </w:p>
    <w:p>
      <w:pPr>
        <w:spacing w:after="100" w:before="0" w:line="300"/>
        <w:jc w:val="left"/>
      </w:pPr>
      <w:r>
        <w:rPr>
          <w:rFonts w:ascii="Calibri" w:cs="Calibri" w:eastAsia="Calibri" w:hAnsi="Calibri"/>
          <w:b w:val="false"/>
          <w:bCs w:val="false"/>
          <w:i w:val="false"/>
          <w:iCs w:val="false"/>
          <w:color w:val="111111"/>
          <w:sz w:val="22"/>
          <w:szCs w:val="22"/>
        </w:rPr>
        <w:t xml:space="preserve">Os inputs reais incluídos no raw publicado foram sanitizados antes da publicação: credenciais, tokens de API, segredos e dados pessoais identificáveis foram removidos. Caminhos absolutos de máquina local foram substituídos por identificadores neutros. O conteúdo preservado é suficiente para recomputar todas as métricas reportadas.</w:t>
      </w:r>
    </w:p>
    <w:p>
      <w:pPr>
        <w:pageBreakBefore/>
      </w:pPr>
      <w:r>
        <w:t xml:space="preserve"/>
      </w:r>
    </w:p>
    <w:p>
      <w:pPr>
        <w:spacing w:after="80" w:before="0"/>
      </w:pPr>
      <w:r>
        <w:rPr>
          <w:rFonts w:ascii="Calibri" w:cs="Calibri" w:eastAsia="Calibri" w:hAnsi="Calibri"/>
          <w:b/>
          <w:bCs/>
          <w:color w:val="6B4FBB"/>
          <w:spacing w:val="60"/>
          <w:sz w:val="16"/>
          <w:szCs w:val="16"/>
        </w:rPr>
        <w:t xml:space="preserve">3</w:t>
      </w:r>
    </w:p>
    <w:p>
      <w:pPr>
        <w:pStyle w:val="Heading1"/>
        <w:spacing w:after="180" w:before="360"/>
      </w:pPr>
      <w:r>
        <w:rPr>
          <w:rFonts w:ascii="Calibri" w:cs="Calibri" w:eastAsia="Calibri" w:hAnsi="Calibri"/>
          <w:b/>
          <w:bCs/>
          <w:color w:val="111111"/>
          <w:sz w:val="36"/>
          <w:szCs w:val="36"/>
        </w:rPr>
        <w:t xml:space="preserve">Volume e totais</w:t>
      </w:r>
    </w:p>
    <w:p>
      <w:pPr>
        <w:spacing w:after="100" w:before="0" w:line="300"/>
        <w:jc w:val="left"/>
      </w:pPr>
      <w:r>
        <w:rPr>
          <w:rFonts w:ascii="Calibri" w:cs="Calibri" w:eastAsia="Calibri" w:hAnsi="Calibri"/>
          <w:b w:val="false"/>
          <w:bCs w:val="false"/>
          <w:i w:val="false"/>
          <w:iCs w:val="false"/>
          <w:color w:val="111111"/>
          <w:sz w:val="22"/>
          <w:szCs w:val="22"/>
        </w:rPr>
        <w:t xml:space="preserve">O estudo acumulou 180,6 milhões de tokens em arquivos finais auditáveis, com raw preservado e recomputável a partir dos dados publicados.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rPr>
          <w:tblHeader/>
        </w:trPr>
        <w:tc>
          <w:tcPr>
            <w:tcW w:type="dxa" w:w="54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Categoria</w:t>
            </w:r>
          </w:p>
        </w:tc>
        <w:tc>
          <w:tcPr>
            <w:tcW w:type="dxa" w:w="39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Tokens</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Volume auditável (raw preservado)</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180.590.521</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Tokens economizados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157.948.621</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Margem agregada</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87,46%</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Amostras auditáveis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9.609</w:t>
            </w:r>
          </w:p>
        </w:tc>
      </w:tr>
      <w:tr>
        <w:trPr>
          <w:tblHeader w:val="false"/>
        </w:trPr>
        <w:tc>
          <w:tcPr>
            <w:tcW w:type="dxa" w:w="5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Runs auditáveis distintos</w:t>
            </w:r>
          </w:p>
        </w:tc>
        <w:tc>
          <w:tcPr>
            <w:tcW w:type="dxa" w:w="3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w:t>
            </w:r>
          </w:p>
        </w:tc>
      </w:tr>
    </w:tbl>
    <w:p>
      <w:pPr>
        <w:pageBreakBefore/>
      </w:pPr>
      <w:r>
        <w:t xml:space="preserve"/>
      </w:r>
    </w:p>
    <w:p>
      <w:pPr>
        <w:spacing w:after="80" w:before="0"/>
      </w:pPr>
      <w:r>
        <w:rPr>
          <w:rFonts w:ascii="Calibri" w:cs="Calibri" w:eastAsia="Calibri" w:hAnsi="Calibri"/>
          <w:b/>
          <w:bCs/>
          <w:color w:val="6B4FBB"/>
          <w:spacing w:val="60"/>
          <w:sz w:val="16"/>
          <w:szCs w:val="16"/>
        </w:rPr>
        <w:t xml:space="preserve">4</w:t>
      </w:r>
    </w:p>
    <w:p>
      <w:pPr>
        <w:pStyle w:val="Heading1"/>
        <w:spacing w:after="180" w:before="360"/>
      </w:pPr>
      <w:r>
        <w:rPr>
          <w:rFonts w:ascii="Calibri" w:cs="Calibri" w:eastAsia="Calibri" w:hAnsi="Calibri"/>
          <w:b/>
          <w:bCs/>
          <w:color w:val="111111"/>
          <w:sz w:val="36"/>
          <w:szCs w:val="36"/>
        </w:rPr>
        <w:t xml:space="preserve">Resultados por run</w:t>
      </w:r>
    </w:p>
    <w:p>
      <w:pPr>
        <w:spacing w:after="100" w:before="0" w:line="300"/>
        <w:jc w:val="left"/>
      </w:pPr>
      <w:r>
        <w:rPr>
          <w:rFonts w:ascii="Calibri" w:cs="Calibri" w:eastAsia="Calibri" w:hAnsi="Calibri"/>
          <w:b w:val="false"/>
          <w:bCs w:val="false"/>
          <w:i w:val="false"/>
          <w:iCs w:val="false"/>
          <w:color w:val="111111"/>
          <w:sz w:val="22"/>
          <w:szCs w:val="22"/>
        </w:rPr>
        <w:t xml:space="preserve">Os nove runs auditáveis cobrem condições distintas: rounds sintéticos para medir comportamento por tamanho, runs ponderados por perfil de uso, e dois runs sobre input real (corpus completo de código e seleção determinística de arquivos no regime típico do hook de produção).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100"/>
        <w:gridCol w:w="1700"/>
        <w:gridCol w:w="1700"/>
        <w:gridCol w:w="960"/>
      </w:tblGrid>
      <w:tr>
        <w:trPr>
          <w:tblHeader/>
        </w:trPr>
        <w:tc>
          <w:tcPr>
            <w:tcW w:type="dxa" w:w="24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Run</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Natureza</w:t>
            </w:r>
          </w:p>
        </w:tc>
        <w:tc>
          <w:tcPr>
            <w:tcW w:type="dxa" w:w="11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Amostras</w:t>
            </w:r>
          </w:p>
        </w:tc>
        <w:tc>
          <w:tcPr>
            <w:tcW w:type="dxa" w:w="17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Processado</w:t>
            </w:r>
          </w:p>
        </w:tc>
        <w:tc>
          <w:tcPr>
            <w:tcW w:type="dxa" w:w="17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Economizado</w:t>
            </w:r>
          </w:p>
        </w:tc>
        <w:tc>
          <w:tcPr>
            <w:tcW w:type="dxa" w:w="9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Margem</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1º round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sintético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328</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13.199.012</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10.989.734</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83,3%</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Round 20 (large)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sintético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9.937.774</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8.372.141</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84,2%</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Large (XS→XXL)</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sintético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65.735.723</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55.159.910</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83,9%</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Backend (paid)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sintético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201.900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187.311</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92,8%</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Round 2 RAG/LLM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sintético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707</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25.002.115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23.773.243</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95,1%</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Perfil Programador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sintético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20.015.443</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17.137.803</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85,6%</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Perfil RAG/LLM</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sintético</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33.302.498</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31.774.571</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95,4%</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Hook típico (top-40)</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real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268.039</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255.166</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95,2%</w:t>
            </w:r>
          </w:p>
        </w:tc>
      </w:tr>
      <w:tr>
        <w:trPr>
          <w:tblHeader w:val="false"/>
        </w:trPr>
        <w:tc>
          <w:tcPr>
            <w:tcW w:type="dxa" w:w="24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Código real (universo)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real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7.035</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12.928.017</w:t>
            </w:r>
          </w:p>
        </w:tc>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10.298.742</w:t>
            </w:r>
          </w:p>
        </w:tc>
        <w:tc>
          <w:tcPr>
            <w:tcW w:type="dxa" w:w="9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79,7%</w:t>
            </w:r>
          </w:p>
        </w:tc>
      </w:tr>
      <w:tr>
        <w:trPr>
          <w:tblHeader w:val="false"/>
        </w:trPr>
        <w:tc>
          <w:tcPr>
            <w:tcW w:type="dxa" w:w="24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 auditável</w:t>
            </w:r>
          </w:p>
        </w:tc>
        <w:tc>
          <w:tcPr>
            <w:tcW w:type="dxa" w:w="1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c>
          <w:tcPr>
            <w:tcW w:type="dxa" w:w="11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9.609</w:t>
            </w:r>
          </w:p>
        </w:tc>
        <w:tc>
          <w:tcPr>
            <w:tcW w:type="dxa" w:w="17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180.590.521</w:t>
            </w:r>
          </w:p>
        </w:tc>
        <w:tc>
          <w:tcPr>
            <w:tcW w:type="dxa" w:w="17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157.948.621</w:t>
            </w:r>
          </w:p>
        </w:tc>
        <w:tc>
          <w:tcPr>
            <w:tcW w:type="dxa" w:w="9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87,46%</w:t>
            </w:r>
          </w:p>
        </w:tc>
      </w:tr>
    </w:tbl>
    <w:p>
      <w:pPr>
        <w:pStyle w:val="Heading1"/>
        <w:spacing w:after="180" w:before="360"/>
      </w:pPr>
      <w:r>
        <w:rPr>
          <w:rFonts w:ascii="Calibri" w:cs="Calibri" w:eastAsia="Calibri" w:hAnsi="Calibri"/>
          <w:b/>
          <w:bCs/>
          <w:color w:val="111111"/>
          <w:sz w:val="36"/>
          <w:szCs w:val="36"/>
        </w:rPr>
        <w:t xml:space="preserve">Resultados por cápsula</w:t>
      </w:r>
    </w:p>
    <w:p>
      <w:pPr>
        <w:spacing w:after="100" w:before="0" w:line="300"/>
        <w:jc w:val="left"/>
      </w:pPr>
      <w:r>
        <w:rPr>
          <w:rFonts w:ascii="Calibri" w:cs="Calibri" w:eastAsia="Calibri" w:hAnsi="Calibri"/>
          <w:b w:val="false"/>
          <w:bCs w:val="false"/>
          <w:i w:val="false"/>
          <w:iCs w:val="false"/>
          <w:color w:val="111111"/>
          <w:sz w:val="22"/>
          <w:szCs w:val="22"/>
        </w:rPr>
        <w:t xml:space="preserve">Ordenadas por margem agregada (todos os runs somados). Cada cápsula é especializada num tipo de contexto; o estudo reporta o quanto cada uma reduz o input que recebe, sob as condições descritas na metodologia.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1500"/>
        <w:gridCol w:w="1360"/>
      </w:tblGrid>
      <w:tr>
        <w:trPr>
          <w:tblHeader/>
        </w:trPr>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Cápsula</w:t>
            </w:r>
          </w:p>
        </w:tc>
        <w:tc>
          <w:tcPr>
            <w:tcW w:type="dxa" w:w="2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Processado</w:t>
            </w:r>
          </w:p>
        </w:tc>
        <w:tc>
          <w:tcPr>
            <w:tcW w:type="dxa" w:w="2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Economizado</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Margem</w:t>
            </w:r>
          </w:p>
        </w:tc>
        <w:tc>
          <w:tcPr>
            <w:tcW w:type="dxa" w:w="13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Tier</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18.572.902</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18.549.066</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17.390.635</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17.345.067</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19.759.122</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19.602.583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99,2%</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12.557.633</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12.431.061</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99,0%</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network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9.744.086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9.644.677</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99,0%</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threads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3.211.116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3.173.167</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98,8%</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events</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3.209.487</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3.161.752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98,5%</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stack</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2.426.010</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2.383.844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98,3%</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session</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3.901.389</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3.825.574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98,1%</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sql</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2.420.917</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2.330.674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96,3%</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rag</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9.280.704</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8.861.809</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95,5%</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test</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12.504.751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10.978.693</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87,8%</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apispec</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9.454.056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8.100.874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85,7%</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 *</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19.705.591</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14.468.142</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73,4% *</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23.141.203</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16.595.435</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71,7%</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pdf</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2.743.205</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1.705.988</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62,2%</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LLM</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10.562.316</w:t>
            </w:r>
          </w:p>
        </w:tc>
        <w:tc>
          <w:tcPr>
            <w:tcW w:type="dxa" w:w="2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4.786.014</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45,3%</w:t>
            </w:r>
          </w:p>
        </w:tc>
        <w:tc>
          <w:tcPr>
            <w:tcW w:type="dxa" w:w="13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algo</w:t>
            </w:r>
          </w:p>
        </w:tc>
      </w:tr>
      <w:tr>
        <w:trPr>
          <w:tblHeader w:val="false"/>
        </w:trPr>
        <w:tc>
          <w:tcPr>
            <w:tcW w:type="dxa" w:w="1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w:t>
            </w:r>
          </w:p>
        </w:tc>
        <w:tc>
          <w:tcPr>
            <w:tcW w:type="dxa" w:w="2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180.585.123</w:t>
            </w:r>
          </w:p>
        </w:tc>
        <w:tc>
          <w:tcPr>
            <w:tcW w:type="dxa" w:w="2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157.944.420</w:t>
            </w:r>
          </w:p>
        </w:tc>
        <w:tc>
          <w:tcPr>
            <w:tcW w:type="dxa" w:w="15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87,46%</w:t>
            </w:r>
          </w:p>
        </w:tc>
        <w:tc>
          <w:tcPr>
            <w:tcW w:type="dxa" w:w="13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r>
    </w:tbl>
    <w:p>
      <w:pPr>
        <w:spacing w:after="80" w:before="0"/>
      </w:pPr>
      <w:r>
        <w:t xml:space="preserve"/>
      </w:r>
    </w:p>
    <w:p>
      <w:pPr>
        <w:spacing w:after="100" w:before="0" w:line="300"/>
        <w:jc w:val="left"/>
      </w:pPr>
      <w:r>
        <w:rPr>
          <w:rFonts w:ascii="Calibri" w:cs="Calibri" w:eastAsia="Calibri" w:hAnsi="Calibri"/>
          <w:b w:val="false"/>
          <w:bCs w:val="false"/>
          <w:i/>
          <w:iCs/>
          <w:color w:val="555555"/>
          <w:sz w:val="18"/>
          <w:szCs w:val="18"/>
        </w:rPr>
        <w:t xml:space="preserve">* Valor agregado dominado por inputs sintéticos. Em uso real, com critério amostral reproduzível, a cápsula codebase apresenta margem token-ponderada significativamente maior (ver §7 e anexo).</w:t>
      </w:r>
    </w:p>
    <w:p>
      <w:pPr>
        <w:spacing w:after="120" w:before="0"/>
      </w:pPr>
      <w:r>
        <w:t xml:space="preserve"/>
      </w:r>
    </w:p>
    <w:p>
      <w:pPr>
        <w:spacing w:after="100" w:before="0" w:line="300"/>
        <w:jc w:val="left"/>
      </w:pPr>
      <w:r>
        <w:rPr>
          <w:rFonts w:ascii="Calibri" w:cs="Calibri" w:eastAsia="Calibri" w:hAnsi="Calibri"/>
          <w:b w:val="false"/>
          <w:bCs w:val="false"/>
          <w:i w:val="false"/>
          <w:iCs w:val="false"/>
          <w:color w:val="111111"/>
          <w:sz w:val="22"/>
          <w:szCs w:val="22"/>
        </w:rPr>
        <w:t xml:space="preserve">Onze das dezessete cápsulas operam em margem igual ou superior a 95%. As cápsulas em margem mais baixa correspondem a tipos de input com densidade informacional alta — onde cada elemento é sinal e não há redundância significativa para descartar sem perda. Esses casos são explorados na seção 7 (sintético versus real) e na seção 11 (limites do método).</w:t>
      </w:r>
    </w:p>
    <w:p>
      <w:pPr>
        <w:pageBreakBefore/>
      </w:pPr>
      <w:r>
        <w:t xml:space="preserve"/>
      </w:r>
    </w:p>
    <w:p>
      <w:pPr>
        <w:spacing w:after="80" w:before="0"/>
      </w:pPr>
      <w:r>
        <w:rPr>
          <w:rFonts w:ascii="Calibri" w:cs="Calibri" w:eastAsia="Calibri" w:hAnsi="Calibri"/>
          <w:b/>
          <w:bCs/>
          <w:color w:val="6B4FBB"/>
          <w:spacing w:val="60"/>
          <w:sz w:val="16"/>
          <w:szCs w:val="16"/>
        </w:rPr>
        <w:t xml:space="preserve">6</w:t>
      </w:r>
    </w:p>
    <w:p>
      <w:pPr>
        <w:pStyle w:val="Heading1"/>
        <w:spacing w:after="180" w:before="360"/>
      </w:pPr>
      <w:r>
        <w:rPr>
          <w:rFonts w:ascii="Calibri" w:cs="Calibri" w:eastAsia="Calibri" w:hAnsi="Calibri"/>
          <w:b/>
          <w:bCs/>
          <w:color w:val="111111"/>
          <w:sz w:val="36"/>
          <w:szCs w:val="36"/>
        </w:rPr>
        <w:t xml:space="preserve">Curvas de escala</w:t>
      </w:r>
    </w:p>
    <w:p>
      <w:pPr>
        <w:spacing w:after="100" w:before="0" w:line="300"/>
        <w:jc w:val="left"/>
      </w:pPr>
      <w:r>
        <w:rPr>
          <w:rFonts w:ascii="Calibri" w:cs="Calibri" w:eastAsia="Calibri" w:hAnsi="Calibri"/>
          <w:b w:val="false"/>
          <w:bCs w:val="false"/>
          <w:i w:val="false"/>
          <w:iCs w:val="false"/>
          <w:color w:val="111111"/>
          <w:sz w:val="22"/>
          <w:szCs w:val="22"/>
        </w:rPr>
        <w:t xml:space="preserve">O run large rodou as cápsulas algorítmicas em seis buckets de tamanho: XS (~2 mil tokens), S (~16 mil), M (~160 mil), L (~800 mil), XL (~1,2 milhão) e XXL (~4 milhões). Os dados a seguir mostram a mediana (p50) por bucket. O comportamento se divide em duas famílias.</w:t>
      </w:r>
    </w:p>
    <w:p>
      <w:pPr>
        <w:pStyle w:val="Heading2"/>
        <w:spacing w:after="140" w:before="280"/>
      </w:pPr>
      <w:r>
        <w:rPr>
          <w:rFonts w:ascii="Calibri" w:cs="Calibri" w:eastAsia="Calibri" w:hAnsi="Calibri"/>
          <w:b/>
          <w:bCs/>
          <w:color w:val="111111"/>
          <w:sz w:val="30"/>
          <w:szCs w:val="30"/>
        </w:rPr>
        <w:t xml:space="preserve">6.1 Cápsulas que escalam com o tamanho</w:t>
      </w:r>
    </w:p>
    <w:p>
      <w:pPr>
        <w:spacing w:after="100" w:before="0" w:line="300"/>
        <w:jc w:val="left"/>
      </w:pPr>
      <w:r>
        <w:rPr>
          <w:rFonts w:ascii="Calibri" w:cs="Calibri" w:eastAsia="Calibri" w:hAnsi="Calibri"/>
          <w:b w:val="false"/>
          <w:bCs w:val="false"/>
          <w:i w:val="false"/>
          <w:iCs w:val="false"/>
          <w:color w:val="111111"/>
          <w:sz w:val="22"/>
          <w:szCs w:val="22"/>
        </w:rPr>
        <w:t xml:space="preserve">Nessa família, a saída tende a um tamanho aproximadamente constante enquanto a entrada cresce; a razão de compressão sobe.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560"/>
      </w:tblGrid>
      <w:tr>
        <w:trPr>
          <w:tblHeader/>
        </w:trPr>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Cápsula</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L</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XL</w:t>
            </w:r>
          </w:p>
        </w:tc>
        <w:tc>
          <w:tcPr>
            <w:tcW w:type="dxa" w:w="15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XXL</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69,3×</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340,2×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1.007,3×</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3.345,6×</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187,9×</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549,5×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1.827,7×</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network</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16,5×</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205,1×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682,8×</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4,3×</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8,6×</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43,1×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130,8×</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445,6×</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2,9×</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36,7×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108,5×</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368,9×</w:t>
            </w:r>
          </w:p>
        </w:tc>
      </w:tr>
    </w:tbl>
    <w:p>
      <w:pPr>
        <w:pStyle w:val="Heading2"/>
        <w:spacing w:after="140" w:before="280"/>
      </w:pPr>
      <w:r>
        <w:rPr>
          <w:rFonts w:ascii="Calibri" w:cs="Calibri" w:eastAsia="Calibri" w:hAnsi="Calibri"/>
          <w:b/>
          <w:bCs/>
          <w:color w:val="111111"/>
          <w:sz w:val="30"/>
          <w:szCs w:val="30"/>
        </w:rPr>
        <w:t xml:space="preserve">6.2 Cápsulas em platô</w:t>
      </w:r>
    </w:p>
    <w:p>
      <w:pPr>
        <w:spacing w:after="100" w:before="0" w:line="300"/>
        <w:jc w:val="left"/>
      </w:pPr>
      <w:r>
        <w:rPr>
          <w:rFonts w:ascii="Calibri" w:cs="Calibri" w:eastAsia="Calibri" w:hAnsi="Calibri"/>
          <w:b w:val="false"/>
          <w:bCs w:val="false"/>
          <w:i w:val="false"/>
          <w:iCs w:val="false"/>
          <w:color w:val="111111"/>
          <w:sz w:val="22"/>
          <w:szCs w:val="22"/>
        </w:rPr>
        <w:t xml:space="preserve">Nessa família, a razão estabiliza num teto técnico do tipo. O input contém sinal não-redundante; mais entrada significa mais sinal preservado, não mais redundância para descartar.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300"/>
        <w:gridCol w:w="1300"/>
        <w:gridCol w:w="1300"/>
        <w:gridCol w:w="1300"/>
        <w:gridCol w:w="1560"/>
      </w:tblGrid>
      <w:tr>
        <w:trPr>
          <w:tblHeader/>
        </w:trPr>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Cápsula</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L</w:t>
            </w:r>
          </w:p>
        </w:tc>
        <w:tc>
          <w:tcPr>
            <w:tcW w:type="dxa" w:w="13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XL</w:t>
            </w:r>
          </w:p>
        </w:tc>
        <w:tc>
          <w:tcPr>
            <w:tcW w:type="dxa" w:w="15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XXL</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test</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7,5×</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8,3×</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apispec</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4,6×</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6,8×</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3,2×</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3,0×</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w:t>
            </w:r>
          </w:p>
        </w:tc>
      </w:tr>
      <w:tr>
        <w:trPr>
          <w:tblHeader w:val="false"/>
        </w:trPr>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3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w:t>
            </w:r>
          </w:p>
        </w:tc>
        <w:tc>
          <w:tcPr>
            <w:tcW w:type="dxa" w:w="15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r>
    </w:tbl>
    <w:p>
      <w:pPr>
        <w:pageBreakBefore/>
      </w:pPr>
      <w:r>
        <w:t xml:space="preserve"/>
      </w:r>
    </w:p>
    <w:p>
      <w:pPr>
        <w:spacing w:after="80" w:before="0"/>
      </w:pPr>
      <w:r>
        <w:rPr>
          <w:rFonts w:ascii="Calibri" w:cs="Calibri" w:eastAsia="Calibri" w:hAnsi="Calibri"/>
          <w:b/>
          <w:bCs/>
          <w:color w:val="6B4FBB"/>
          <w:spacing w:val="60"/>
          <w:sz w:val="16"/>
          <w:szCs w:val="16"/>
        </w:rPr>
        <w:t xml:space="preserve">7</w:t>
      </w:r>
    </w:p>
    <w:p>
      <w:pPr>
        <w:pStyle w:val="Heading1"/>
        <w:spacing w:after="180" w:before="360"/>
      </w:pPr>
      <w:r>
        <w:rPr>
          <w:rFonts w:ascii="Calibri" w:cs="Calibri" w:eastAsia="Calibri" w:hAnsi="Calibri"/>
          <w:b/>
          <w:bCs/>
          <w:color w:val="111111"/>
          <w:sz w:val="36"/>
          <w:szCs w:val="36"/>
        </w:rPr>
        <w:t xml:space="preserve">Sintético versus real</w:t>
      </w:r>
    </w:p>
    <w:p>
      <w:pPr>
        <w:spacing w:after="100" w:before="0" w:line="300"/>
        <w:jc w:val="left"/>
      </w:pPr>
      <w:r>
        <w:rPr>
          <w:rFonts w:ascii="Calibri" w:cs="Calibri" w:eastAsia="Calibri" w:hAnsi="Calibri"/>
          <w:b w:val="false"/>
          <w:bCs w:val="false"/>
          <w:i w:val="false"/>
          <w:iCs w:val="false"/>
          <w:color w:val="111111"/>
          <w:sz w:val="22"/>
          <w:szCs w:val="22"/>
        </w:rPr>
        <w:t xml:space="preserve">A maior parte do volume foi processada sobre inputs sintéticos seeded. A escolha é deliberada: garante reprodutibilidade bit-a-bit e expõe o motor ao pior caso, com alta entropia. Inputs reais, por carregarem redundância natural, comprimem consistentemente mais.</w:t>
      </w:r>
    </w:p>
    <w:p>
      <w:pPr>
        <w:spacing w:after="100" w:before="0" w:line="300"/>
        <w:jc w:val="left"/>
      </w:pPr>
      <w:r>
        <w:rPr>
          <w:rFonts w:ascii="Calibri" w:cs="Calibri" w:eastAsia="Calibri" w:hAnsi="Calibri"/>
          <w:b w:val="false"/>
          <w:bCs w:val="false"/>
          <w:i w:val="false"/>
          <w:iCs w:val="false"/>
          <w:color w:val="111111"/>
          <w:sz w:val="22"/>
          <w:szCs w:val="22"/>
        </w:rPr>
        <w:t xml:space="preserve">Onde há comparação direta com dado real, o padrão é consistente: cápsulas com cabeça em alta margem permanecem onde estão (já estão no teto); cápsulas em platô estrutural sobem.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2700"/>
        <w:gridCol w:w="1900"/>
        <w:gridCol w:w="1460"/>
      </w:tblGrid>
      <w:tr>
        <w:trPr>
          <w:tblHeader/>
        </w:trPr>
        <w:tc>
          <w:tcPr>
            <w:tcW w:type="dxa" w:w="18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Cápsula</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Sintético</w:t>
            </w:r>
          </w:p>
        </w:tc>
        <w:tc>
          <w:tcPr>
            <w:tcW w:type="dxa" w:w="27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Real</w:t>
            </w:r>
          </w:p>
        </w:tc>
        <w:tc>
          <w:tcPr>
            <w:tcW w:type="dxa" w:w="19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Δ</w:t>
            </w:r>
          </w:p>
        </w:tc>
        <w:tc>
          <w:tcPr>
            <w:tcW w:type="dxa" w:w="14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Tipo de dado</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73,1%</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78,2% / 95,2% **</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 a +22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estrutural</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71,7%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~79%</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estrutural</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45,3%</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~67%</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+22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estrutural</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99,2%</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+0,5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já no teto</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99,0%</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99,5%</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+0,5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já no teto</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c>
          <w:tcPr>
            <w:tcW w:type="dxa" w:w="2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c>
          <w:tcPr>
            <w:tcW w:type="dxa" w:w="19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+0,2 p.p.</w:t>
            </w:r>
          </w:p>
        </w:tc>
        <w:tc>
          <w:tcPr>
            <w:tcW w:type="dxa" w:w="14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já no teto</w:t>
            </w:r>
          </w:p>
        </w:tc>
      </w:tr>
    </w:tbl>
    <w:p>
      <w:pPr>
        <w:spacing w:after="80" w:before="0"/>
      </w:pPr>
      <w:r>
        <w:t xml:space="preserve"/>
      </w:r>
    </w:p>
    <w:p>
      <w:pPr>
        <w:spacing w:after="100" w:before="0" w:line="300"/>
        <w:jc w:val="left"/>
      </w:pPr>
      <w:r>
        <w:rPr>
          <w:rFonts w:ascii="Calibri" w:cs="Calibri" w:eastAsia="Calibri" w:hAnsi="Calibri"/>
          <w:b w:val="false"/>
          <w:bCs w:val="false"/>
          <w:i/>
          <w:iCs/>
          <w:color w:val="555555"/>
          <w:sz w:val="18"/>
          <w:szCs w:val="18"/>
        </w:rPr>
        <w:t xml:space="preserve">** Codebase em uso real: 78,2% sobre o universo completo de 6.050 arquivos (limite inferior auditável) e 95,2% sobre o top-40 de arquivos selecionados deterministicamente (regime do hook de produção, onde arquivos médios e grandes dominam o uso real). Ambos os números têm raw publicado em anexo e critério reproduzível.</w:t>
      </w:r>
    </w:p>
    <w:p>
      <w:pPr>
        <w:spacing w:after="120" w:before="0"/>
      </w:pPr>
      <w:r>
        <w:t xml:space="preserve"/>
      </w:r>
    </w:p>
    <w:p>
      <w:pPr>
        <w:spacing w:after="100" w:before="0" w:line="300"/>
        <w:jc w:val="left"/>
      </w:pPr>
      <w:r>
        <w:rPr>
          <w:rFonts w:ascii="Calibri" w:cs="Calibri" w:eastAsia="Calibri" w:hAnsi="Calibri"/>
          <w:b w:val="false"/>
          <w:bCs w:val="false"/>
          <w:i w:val="false"/>
          <w:iCs w:val="false"/>
          <w:color w:val="111111"/>
          <w:sz w:val="22"/>
          <w:szCs w:val="22"/>
        </w:rPr>
        <w:t xml:space="preserve">Os números agregados publicados são, por construção, um piso. A operação em produção tende a apresentar margens iguais ou superiores às reportadas.</w:t>
      </w:r>
    </w:p>
    <w:p>
      <w:pPr>
        <w:pageBreakBefore/>
      </w:pPr>
      <w:r>
        <w:t xml:space="preserve"/>
      </w:r>
    </w:p>
    <w:p>
      <w:pPr>
        <w:spacing w:after="80" w:before="0"/>
      </w:pPr>
      <w:r>
        <w:rPr>
          <w:rFonts w:ascii="Calibri" w:cs="Calibri" w:eastAsia="Calibri" w:hAnsi="Calibri"/>
          <w:b/>
          <w:bCs/>
          <w:color w:val="6B4FBB"/>
          <w:spacing w:val="60"/>
          <w:sz w:val="16"/>
          <w:szCs w:val="16"/>
        </w:rPr>
        <w:t xml:space="preserve">8</w:t>
      </w:r>
    </w:p>
    <w:p>
      <w:pPr>
        <w:pStyle w:val="Heading1"/>
        <w:spacing w:after="180" w:before="360"/>
      </w:pPr>
      <w:r>
        <w:rPr>
          <w:rFonts w:ascii="Calibri" w:cs="Calibri" w:eastAsia="Calibri" w:hAnsi="Calibri"/>
          <w:b/>
          <w:bCs/>
          <w:color w:val="111111"/>
          <w:sz w:val="36"/>
          <w:szCs w:val="36"/>
        </w:rPr>
        <w:t xml:space="preserve">Perfis de uso ponderados</w:t>
      </w:r>
    </w:p>
    <w:p>
      <w:pPr>
        <w:spacing w:after="100" w:before="0" w:line="300"/>
        <w:jc w:val="left"/>
      </w:pPr>
      <w:r>
        <w:rPr>
          <w:rFonts w:ascii="Calibri" w:cs="Calibri" w:eastAsia="Calibri" w:hAnsi="Calibri"/>
          <w:b w:val="false"/>
          <w:bCs w:val="false"/>
          <w:i w:val="false"/>
          <w:iCs w:val="false"/>
          <w:color w:val="111111"/>
          <w:sz w:val="22"/>
          <w:szCs w:val="22"/>
        </w:rPr>
        <w:t xml:space="preserve">A margem agregada das 17 cápsulas trata todas com peso uniforme. Em um workload real, algumas são acionadas muito mais que outras. O estudo apresenta dois perfis ponderados representativos.</w:t>
      </w:r>
    </w:p>
    <w:p>
      <w:pPr>
        <w:pStyle w:val="Heading2"/>
        <w:spacing w:after="140" w:before="280"/>
      </w:pPr>
      <w:r>
        <w:rPr>
          <w:rFonts w:ascii="Calibri" w:cs="Calibri" w:eastAsia="Calibri" w:hAnsi="Calibri"/>
          <w:b/>
          <w:bCs/>
          <w:color w:val="111111"/>
          <w:sz w:val="30"/>
          <w:szCs w:val="30"/>
        </w:rPr>
        <w:t xml:space="preserve">8.1 Perfil Programador</w:t>
      </w:r>
    </w:p>
    <w:p>
      <w:pPr>
        <w:spacing w:after="100" w:before="0" w:line="300"/>
        <w:jc w:val="left"/>
      </w:pPr>
      <w:r>
        <w:rPr>
          <w:rFonts w:ascii="Calibri" w:cs="Calibri" w:eastAsia="Calibri" w:hAnsi="Calibri"/>
          <w:b w:val="false"/>
          <w:bCs w:val="false"/>
          <w:i w:val="false"/>
          <w:iCs w:val="false"/>
          <w:color w:val="111111"/>
          <w:sz w:val="22"/>
          <w:szCs w:val="22"/>
        </w:rPr>
        <w:t xml:space="preserve">Mistura dominada por código, com peso significativo em codebase, diff, test e log. Volume processado: 20.015.443 tokens. Margem token-ponderada: 85,6% em sintético, ~92% em uso real (com codebase no regime do hook de produção).</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200"/>
        <w:gridCol w:w="2200"/>
        <w:gridCol w:w="1060"/>
      </w:tblGrid>
      <w:tr>
        <w:trPr>
          <w:tblHeader/>
        </w:trPr>
        <w:tc>
          <w:tcPr>
            <w:tcW w:type="dxa" w:w="18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Cápsula</w:t>
            </w:r>
          </w:p>
        </w:tc>
        <w:tc>
          <w:tcPr>
            <w:tcW w:type="dxa" w:w="11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Peso</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Processado</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Economizado</w:t>
            </w:r>
          </w:p>
        </w:tc>
        <w:tc>
          <w:tcPr>
            <w:tcW w:type="dxa" w:w="10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Margem</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codebase</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4.096.588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3.177.043</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77,6%</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diff</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2.833.411</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1.899.362</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67,0%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test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2.504.214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2.198.278</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87,8%</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2.400.189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2.392.171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build</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2.000.082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1.991.052</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99,5%</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stack</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249.480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245.047</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2.002.508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2.001.409</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sql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176.024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169.267</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schema</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1.002.558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452.733</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45,2%</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apispec</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876.943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753.959</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86,0%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network</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760.558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756.151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99,4%</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1.000.246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999.946</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100,0%</w:t>
            </w:r>
          </w:p>
        </w:tc>
      </w:tr>
      <w:tr>
        <w:trPr>
          <w:tblHeader w:val="false"/>
        </w:trPr>
        <w:tc>
          <w:tcPr>
            <w:tcW w:type="dxa" w:w="18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 (perfil completo)</w:t>
            </w:r>
          </w:p>
        </w:tc>
        <w:tc>
          <w:tcPr>
            <w:tcW w:type="dxa" w:w="11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20.015.443</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17.137.803</w:t>
            </w:r>
          </w:p>
        </w:tc>
        <w:tc>
          <w:tcPr>
            <w:tcW w:type="dxa" w:w="10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85,6%</w:t>
            </w:r>
          </w:p>
        </w:tc>
      </w:tr>
    </w:tbl>
    <w:p>
      <w:pPr>
        <w:pStyle w:val="Heading2"/>
        <w:spacing w:after="140" w:before="280"/>
      </w:pPr>
      <w:r>
        <w:rPr>
          <w:rFonts w:ascii="Calibri" w:cs="Calibri" w:eastAsia="Calibri" w:hAnsi="Calibri"/>
          <w:b/>
          <w:bCs/>
          <w:color w:val="111111"/>
          <w:sz w:val="30"/>
          <w:szCs w:val="30"/>
        </w:rPr>
        <w:t xml:space="preserve">8.2 Perfil RAG/LLM</w:t>
      </w:r>
    </w:p>
    <w:p>
      <w:pPr>
        <w:spacing w:after="100" w:before="0" w:line="300"/>
        <w:jc w:val="left"/>
      </w:pPr>
      <w:r>
        <w:rPr>
          <w:rFonts w:ascii="Calibri" w:cs="Calibri" w:eastAsia="Calibri" w:hAnsi="Calibri"/>
          <w:b w:val="false"/>
          <w:bCs w:val="false"/>
          <w:i w:val="false"/>
          <w:iCs w:val="false"/>
          <w:color w:val="111111"/>
          <w:sz w:val="22"/>
          <w:szCs w:val="22"/>
        </w:rPr>
        <w:t xml:space="preserve">Mistura dominada por busca semântica e contextos conversacionais. Volume processado: 33.302.498 tokens. Margem token-ponderada: 95,4% medida; ~96% em uso real (codebase tem peso pequeno neste perfil).</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2200"/>
        <w:gridCol w:w="2200"/>
        <w:gridCol w:w="1060"/>
      </w:tblGrid>
      <w:tr>
        <w:trPr>
          <w:tblHeader/>
        </w:trPr>
        <w:tc>
          <w:tcPr>
            <w:tcW w:type="dxa" w:w="18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Cápsula</w:t>
            </w:r>
          </w:p>
        </w:tc>
        <w:tc>
          <w:tcPr>
            <w:tcW w:type="dxa" w:w="11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Peso</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Processado</w:t>
            </w:r>
          </w:p>
        </w:tc>
        <w:tc>
          <w:tcPr>
            <w:tcW w:type="dxa" w:w="22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Economizado</w:t>
            </w:r>
          </w:p>
        </w:tc>
        <w:tc>
          <w:tcPr>
            <w:tcW w:type="dxa" w:w="10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Margem</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rag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5.434.190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5.189.173</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95,5%</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log</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5.600.620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5.581.815</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99,7%</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prompt</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5.001.407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4.999.914</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100,0%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api</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4.005.237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4.003.039</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99,9%</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session</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2.181.565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2.138.461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threads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1.906.452</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1.884.034</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98,8%</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events</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1.634.296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1.610.526</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98,5%</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pdf</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1.631.856</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1.012.551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62,0%</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sql</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1.361.247</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1.311.271</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96,3%</w:t>
            </w:r>
          </w:p>
        </w:tc>
      </w:tr>
      <w:tr>
        <w:trPr>
          <w:tblHeader w:val="false"/>
        </w:trP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stack</w:t>
            </w:r>
          </w:p>
        </w:tc>
        <w:tc>
          <w:tcPr>
            <w:tcW w:type="dxa" w:w="11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4%</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1.089.685</w:t>
            </w:r>
          </w:p>
        </w:tc>
        <w:tc>
          <w:tcPr>
            <w:tcW w:type="dxa" w:w="22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1.070.897</w:t>
            </w:r>
          </w:p>
        </w:tc>
        <w:tc>
          <w:tcPr>
            <w:tcW w:type="dxa" w:w="1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98,3%</w:t>
            </w:r>
          </w:p>
        </w:tc>
      </w:tr>
      <w:tr>
        <w:trPr>
          <w:tblHeader w:val="false"/>
        </w:trPr>
        <w:tc>
          <w:tcPr>
            <w:tcW w:type="dxa" w:w="18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TOTAL (perfil completo)</w:t>
            </w:r>
          </w:p>
        </w:tc>
        <w:tc>
          <w:tcPr>
            <w:tcW w:type="dxa" w:w="11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33.302.498</w:t>
            </w:r>
          </w:p>
        </w:tc>
        <w:tc>
          <w:tcPr>
            <w:tcW w:type="dxa" w:w="220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31.774.571</w:t>
            </w:r>
          </w:p>
        </w:tc>
        <w:tc>
          <w:tcPr>
            <w:tcW w:type="dxa" w:w="1060"/>
            <w:tcBorders>
              <w:top w:val="single" w:color="BFBFBF" w:sz="4"/>
              <w:left w:val="single" w:color="BFBFBF" w:sz="4"/>
              <w:bottom w:val="single" w:color="BFBFBF" w:sz="4"/>
              <w:right w:val="single" w:color="BFBFBF" w:sz="4"/>
            </w:tcBorders>
            <w:shd w:fill="FAFAFA"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95,4%</w:t>
            </w:r>
          </w:p>
        </w:tc>
      </w:tr>
    </w:tbl>
    <w:p>
      <w:pPr>
        <w:pageBreakBefore/>
      </w:pPr>
      <w:r>
        <w:t xml:space="preserve"/>
      </w:r>
    </w:p>
    <w:p>
      <w:pPr>
        <w:spacing w:after="80" w:before="0"/>
      </w:pPr>
      <w:r>
        <w:rPr>
          <w:rFonts w:ascii="Calibri" w:cs="Calibri" w:eastAsia="Calibri" w:hAnsi="Calibri"/>
          <w:b/>
          <w:bCs/>
          <w:color w:val="6B4FBB"/>
          <w:spacing w:val="60"/>
          <w:sz w:val="16"/>
          <w:szCs w:val="16"/>
        </w:rPr>
        <w:t xml:space="preserve">9</w:t>
      </w:r>
    </w:p>
    <w:p>
      <w:pPr>
        <w:pStyle w:val="Heading1"/>
        <w:spacing w:after="180" w:before="360"/>
      </w:pPr>
      <w:r>
        <w:rPr>
          <w:rFonts w:ascii="Calibri" w:cs="Calibri" w:eastAsia="Calibri" w:hAnsi="Calibri"/>
          <w:b/>
          <w:bCs/>
          <w:color w:val="111111"/>
          <w:sz w:val="36"/>
          <w:szCs w:val="36"/>
        </w:rPr>
        <w:t xml:space="preserve">Capacidades multimodais</w:t>
      </w:r>
    </w:p>
    <w:p>
      <w:pPr>
        <w:spacing w:after="100" w:before="0" w:line="300"/>
        <w:jc w:val="left"/>
      </w:pPr>
      <w:r>
        <w:rPr>
          <w:rFonts w:ascii="Calibri" w:cs="Calibri" w:eastAsia="Calibri" w:hAnsi="Calibri"/>
          <w:b w:val="false"/>
          <w:bCs w:val="false"/>
          <w:i w:val="false"/>
          <w:iCs w:val="false"/>
          <w:color w:val="111111"/>
          <w:sz w:val="22"/>
          <w:szCs w:val="22"/>
        </w:rPr>
        <w:t xml:space="preserve">Três capacidades multimodais traduzem mídia em contexto textual denso, permitindo que um agente trabalhe sobre um print, uma gravação ou uma chamada sem gastar tokens de visão a cada turno. Foram validadas em pipeline real. Os resultados a seguir são de validação operacional e não entram no agregado de volume das cápsulas de texto.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500"/>
        <w:gridCol w:w="1500"/>
        <w:gridCol w:w="1860"/>
      </w:tblGrid>
      <w:tr>
        <w:trPr>
          <w:tblHeader/>
        </w:trPr>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Capacidade</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Modo</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Entrada</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Saída</w:t>
            </w:r>
          </w:p>
        </w:tc>
        <w:tc>
          <w:tcPr>
            <w:tcW w:type="dxa" w:w="1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Economia</w:t>
            </w:r>
          </w:p>
        </w:tc>
        <w:tc>
          <w:tcPr>
            <w:tcW w:type="dxa" w:w="18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Observação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image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describe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943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284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descrição estruturada</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image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ocr</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943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79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92%</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extração de texto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video</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3.330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652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80%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clipe de validação</w:t>
            </w:r>
          </w:p>
        </w:tc>
      </w:tr>
      <w:tr>
        <w:trPr>
          <w:tblHeader w:val="false"/>
        </w:trPr>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meeting</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182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182 tok</w:t>
            </w:r>
          </w:p>
        </w:tc>
        <w:tc>
          <w:tcPr>
            <w:tcW w:type="dxa" w:w="1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0%</w:t>
            </w:r>
          </w:p>
        </w:tc>
        <w:tc>
          <w:tcPr>
            <w:tcW w:type="dxa" w:w="1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amostra curta (passthrough)</w:t>
            </w:r>
          </w:p>
        </w:tc>
      </w:tr>
    </w:tbl>
    <w:p>
      <w:pPr>
        <w:spacing w:after="120" w:before="0"/>
      </w:pPr>
      <w:r>
        <w:t xml:space="preserve"/>
      </w:r>
    </w:p>
    <w:p>
      <w:pPr>
        <w:spacing w:after="100" w:before="0" w:line="300"/>
        <w:jc w:val="left"/>
      </w:pPr>
      <w:r>
        <w:rPr>
          <w:rFonts w:ascii="Calibri" w:cs="Calibri" w:eastAsia="Calibri" w:hAnsi="Calibri"/>
          <w:b w:val="false"/>
          <w:bCs w:val="false"/>
          <w:i w:val="false"/>
          <w:iCs w:val="false"/>
          <w:color w:val="111111"/>
          <w:sz w:val="22"/>
          <w:szCs w:val="22"/>
        </w:rPr>
        <w:t xml:space="preserve">A amostra de meeting reflete o comportamento esperado em conteúdo muito curto: a regra de passthrough preserva o transcript quando o resumo estruturado seria igual ou maior. O design da capacidade tem como alvo conteúdos longos.</w:t>
      </w:r>
    </w:p>
    <w:p>
      <w:pPr>
        <w:pageBreakBefore/>
      </w:pPr>
      <w:r>
        <w:t xml:space="preserve"/>
      </w:r>
    </w:p>
    <w:p>
      <w:pPr>
        <w:spacing w:after="80" w:before="0"/>
      </w:pPr>
      <w:r>
        <w:rPr>
          <w:rFonts w:ascii="Calibri" w:cs="Calibri" w:eastAsia="Calibri" w:hAnsi="Calibri"/>
          <w:b/>
          <w:bCs/>
          <w:color w:val="6B4FBB"/>
          <w:spacing w:val="60"/>
          <w:sz w:val="16"/>
          <w:szCs w:val="16"/>
        </w:rPr>
        <w:t xml:space="preserve">10</w:t>
      </w:r>
    </w:p>
    <w:p>
      <w:pPr>
        <w:pStyle w:val="Heading1"/>
        <w:spacing w:after="180" w:before="360"/>
      </w:pPr>
      <w:r>
        <w:rPr>
          <w:rFonts w:ascii="Calibri" w:cs="Calibri" w:eastAsia="Calibri" w:hAnsi="Calibri"/>
          <w:b/>
          <w:bCs/>
          <w:color w:val="111111"/>
          <w:sz w:val="36"/>
          <w:szCs w:val="36"/>
        </w:rPr>
        <w:t xml:space="preserve">Considerações metodológicas</w:t>
      </w:r>
    </w:p>
    <w:p>
      <w:pPr>
        <w:spacing w:after="100" w:before="0" w:line="300"/>
        <w:jc w:val="left"/>
      </w:pPr>
      <w:r>
        <w:rPr>
          <w:rFonts w:ascii="Calibri" w:cs="Calibri" w:eastAsia="Calibri" w:hAnsi="Calibri"/>
          <w:b w:val="false"/>
          <w:bCs w:val="false"/>
          <w:i w:val="false"/>
          <w:iCs w:val="false"/>
          <w:color w:val="111111"/>
          <w:sz w:val="22"/>
          <w:szCs w:val="22"/>
        </w:rPr>
        <w:t xml:space="preserve">Esta seção declara escolhas de método relevantes para auditoria. Os pontos abaixo afetam a leitura das tabelas e estão registrados explicitamente.</w:t>
      </w:r>
    </w:p>
    <w:p>
      <w:pPr>
        <w:pStyle w:val="Heading2"/>
        <w:spacing w:after="140" w:before="280"/>
      </w:pPr>
      <w:r>
        <w:rPr>
          <w:rFonts w:ascii="Calibri" w:cs="Calibri" w:eastAsia="Calibri" w:hAnsi="Calibri"/>
          <w:b/>
          <w:bCs/>
          <w:color w:val="111111"/>
          <w:sz w:val="30"/>
          <w:szCs w:val="30"/>
        </w:rPr>
        <w:t xml:space="preserve">10.1 Tokenizer como proxy declarado</w:t>
      </w:r>
    </w:p>
    <w:p>
      <w:pPr>
        <w:spacing w:after="100" w:before="0" w:line="300"/>
        <w:jc w:val="left"/>
      </w:pPr>
      <w:r>
        <w:rPr>
          <w:rFonts w:ascii="Calibri" w:cs="Calibri" w:eastAsia="Calibri" w:hAnsi="Calibri"/>
          <w:b w:val="false"/>
          <w:bCs w:val="false"/>
          <w:i w:val="false"/>
          <w:iCs w:val="false"/>
          <w:color w:val="111111"/>
          <w:sz w:val="22"/>
          <w:szCs w:val="22"/>
        </w:rPr>
        <w:t xml:space="preserve">Todas as métricas usam cl100k_base. Tokenizers de outros provedores diferem em poucos pontos percentuais nas contagens absolutas. Como entrada e saída são medidas com a mesma régua, as razões reportadas são estáveis entre tokenizers; contagens absolutas são valores proxy reproduzíveis.</w:t>
      </w:r>
    </w:p>
    <w:p>
      <w:pPr>
        <w:pStyle w:val="Heading2"/>
        <w:spacing w:after="140" w:before="280"/>
      </w:pPr>
      <w:r>
        <w:rPr>
          <w:rFonts w:ascii="Calibri" w:cs="Calibri" w:eastAsia="Calibri" w:hAnsi="Calibri"/>
          <w:b/>
          <w:bCs/>
          <w:color w:val="111111"/>
          <w:sz w:val="30"/>
          <w:szCs w:val="30"/>
        </w:rPr>
        <w:t xml:space="preserve">10.2 Variância em cápsulas baseadas em LLM</w:t>
      </w:r>
    </w:p>
    <w:p>
      <w:pPr>
        <w:spacing w:after="100" w:before="0" w:line="300"/>
        <w:jc w:val="left"/>
      </w:pPr>
      <w:r>
        <w:rPr>
          <w:rFonts w:ascii="Calibri" w:cs="Calibri" w:eastAsia="Calibri" w:hAnsi="Calibri"/>
          <w:b w:val="false"/>
          <w:bCs w:val="false"/>
          <w:i w:val="false"/>
          <w:iCs w:val="false"/>
          <w:color w:val="111111"/>
          <w:sz w:val="22"/>
          <w:szCs w:val="22"/>
        </w:rPr>
        <w:t xml:space="preserve">As sete cápsulas baseadas em modelo de linguagem operam com temperatura baixa, mas não são bit-a-bit determinísticas. O estudo reporta N amostras por configuração em cada run (varia conforme o volume orçado) e a mediana p50 dessas amostras. Em runs com N alto (≥ 50), p50 é estável; em runs com N baixo, é indicativa.</w:t>
      </w:r>
    </w:p>
    <w:p>
      <w:pPr>
        <w:pStyle w:val="Heading2"/>
        <w:spacing w:after="140" w:before="280"/>
      </w:pPr>
      <w:r>
        <w:rPr>
          <w:rFonts w:ascii="Calibri" w:cs="Calibri" w:eastAsia="Calibri" w:hAnsi="Calibri"/>
          <w:b/>
          <w:bCs/>
          <w:color w:val="111111"/>
          <w:sz w:val="30"/>
          <w:szCs w:val="30"/>
        </w:rPr>
        <w:t xml:space="preserve">10.3 Tamanho amostral em buckets grandes</w:t>
      </w:r>
    </w:p>
    <w:p>
      <w:pPr>
        <w:spacing w:after="100" w:before="0" w:line="300"/>
        <w:jc w:val="left"/>
      </w:pPr>
      <w:r>
        <w:rPr>
          <w:rFonts w:ascii="Calibri" w:cs="Calibri" w:eastAsia="Calibri" w:hAnsi="Calibri"/>
          <w:b w:val="false"/>
          <w:bCs w:val="false"/>
          <w:i w:val="false"/>
          <w:iCs w:val="false"/>
          <w:color w:val="111111"/>
          <w:sz w:val="22"/>
          <w:szCs w:val="22"/>
        </w:rPr>
        <w:t xml:space="preserve">Os buckets XL (~1,2M tokens cada amostra) e XXL (~4M tokens cada amostra) têm quatro amostras por cápsula, contra oito nos buckets menores. A escolha é pragmática — amostras desse porte custam tempo significativo. O spread entre p10 e p90 nesses buckets é estreito, o que torna p50 estável apesar do N reduzido.</w:t>
      </w:r>
    </w:p>
    <w:p>
      <w:pPr>
        <w:pStyle w:val="Heading2"/>
        <w:spacing w:after="140" w:before="280"/>
      </w:pPr>
      <w:r>
        <w:rPr>
          <w:rFonts w:ascii="Calibri" w:cs="Calibri" w:eastAsia="Calibri" w:hAnsi="Calibri"/>
          <w:b/>
          <w:bCs/>
          <w:color w:val="111111"/>
          <w:sz w:val="30"/>
          <w:szCs w:val="30"/>
        </w:rPr>
        <w:t xml:space="preserve">10.4 Versão do motor</w:t>
      </w:r>
    </w:p>
    <w:p>
      <w:pPr>
        <w:spacing w:after="100" w:before="0" w:line="300"/>
        <w:jc w:val="left"/>
      </w:pPr>
      <w:r>
        <w:rPr>
          <w:rFonts w:ascii="Calibri" w:cs="Calibri" w:eastAsia="Calibri" w:hAnsi="Calibri"/>
          <w:b w:val="false"/>
          <w:bCs w:val="false"/>
          <w:i w:val="false"/>
          <w:iCs w:val="false"/>
          <w:color w:val="111111"/>
          <w:sz w:val="22"/>
          <w:szCs w:val="22"/>
        </w:rPr>
        <w:t xml:space="preserve">Todos os números reportados correspondem à versão 0.1.57 do motor, incluindo aprimoramentos de robustez incorporados durante o ciclo de auditoria. Medições anteriores que não refletiam o comportamento dessa versão foram descartadas e re-executadas; o raw publicado corresponde aos resultados finais.</w:t>
      </w:r>
    </w:p>
    <w:p>
      <w:pPr>
        <w:pStyle w:val="Heading2"/>
        <w:spacing w:after="140" w:before="280"/>
      </w:pPr>
      <w:r>
        <w:rPr>
          <w:rFonts w:ascii="Calibri" w:cs="Calibri" w:eastAsia="Calibri" w:hAnsi="Calibri"/>
          <w:b/>
          <w:bCs/>
          <w:color w:val="111111"/>
          <w:sz w:val="30"/>
          <w:szCs w:val="30"/>
        </w:rPr>
        <w:t xml:space="preserve">10.5 Condução interna e reauditoria</w:t>
      </w:r>
    </w:p>
    <w:p>
      <w:pPr>
        <w:spacing w:after="100" w:before="0" w:line="300"/>
        <w:jc w:val="left"/>
      </w:pPr>
      <w:r>
        <w:rPr>
          <w:rFonts w:ascii="Calibri" w:cs="Calibri" w:eastAsia="Calibri" w:hAnsi="Calibri"/>
          <w:b w:val="false"/>
          <w:bCs w:val="false"/>
          <w:i w:val="false"/>
          <w:iCs w:val="false"/>
          <w:color w:val="111111"/>
          <w:sz w:val="22"/>
          <w:szCs w:val="22"/>
        </w:rPr>
        <w:t xml:space="preserve">O estudo foi conduzido pela equipe NUXS. Para que terceiros possam validar independentemente, todos os arquivos brutos referenciados estão publicados, e o método para recomputar cada métrica está descrito na seção 12.</w:t>
      </w:r>
    </w:p>
    <w:p>
      <w:pPr>
        <w:pStyle w:val="Heading2"/>
        <w:spacing w:after="140" w:before="280"/>
      </w:pPr>
      <w:r>
        <w:rPr>
          <w:rFonts w:ascii="Calibri" w:cs="Calibri" w:eastAsia="Calibri" w:hAnsi="Calibri"/>
          <w:b/>
          <w:bCs/>
          <w:color w:val="111111"/>
          <w:sz w:val="30"/>
          <w:szCs w:val="30"/>
        </w:rPr>
        <w:t xml:space="preserve">10.6 Sanitização dos inputs reais</w:t>
      </w:r>
    </w:p>
    <w:p>
      <w:pPr>
        <w:spacing w:after="100" w:before="0" w:line="300"/>
        <w:jc w:val="left"/>
      </w:pPr>
      <w:r>
        <w:rPr>
          <w:rFonts w:ascii="Calibri" w:cs="Calibri" w:eastAsia="Calibri" w:hAnsi="Calibri"/>
          <w:b w:val="false"/>
          <w:bCs w:val="false"/>
          <w:i w:val="false"/>
          <w:iCs w:val="false"/>
          <w:color w:val="111111"/>
          <w:sz w:val="22"/>
          <w:szCs w:val="22"/>
        </w:rPr>
        <w:t xml:space="preserve">Credenciais, tokens de API, segredos e dados pessoais identificáveis foram removidos do raw publicado de runs sobre input real. Caminhos absolutos de máquina local foram substituídos por identificadores neutros. As métricas reportadas no documento foram recomputadas sobre a versão sanitizada do raw para garantir consistência com o que é público.</w:t>
      </w:r>
    </w:p>
    <w:p>
      <w:pPr>
        <w:pageBreakBefore/>
      </w:pPr>
      <w:r>
        <w:t xml:space="preserve"/>
      </w:r>
    </w:p>
    <w:p>
      <w:pPr>
        <w:spacing w:after="80" w:before="0"/>
      </w:pPr>
      <w:r>
        <w:rPr>
          <w:rFonts w:ascii="Calibri" w:cs="Calibri" w:eastAsia="Calibri" w:hAnsi="Calibri"/>
          <w:b/>
          <w:bCs/>
          <w:color w:val="6B4FBB"/>
          <w:spacing w:val="60"/>
          <w:sz w:val="16"/>
          <w:szCs w:val="16"/>
        </w:rPr>
        <w:t xml:space="preserve">11</w:t>
      </w:r>
    </w:p>
    <w:p>
      <w:pPr>
        <w:pStyle w:val="Heading1"/>
        <w:spacing w:after="180" w:before="360"/>
      </w:pPr>
      <w:r>
        <w:rPr>
          <w:rFonts w:ascii="Calibri" w:cs="Calibri" w:eastAsia="Calibri" w:hAnsi="Calibri"/>
          <w:b/>
          <w:bCs/>
          <w:color w:val="111111"/>
          <w:sz w:val="36"/>
          <w:szCs w:val="36"/>
        </w:rPr>
        <w:t xml:space="preserve">Limites do método</w:t>
      </w:r>
    </w:p>
    <w:p>
      <w:pPr>
        <w:spacing w:after="100" w:before="0" w:line="300"/>
        <w:jc w:val="left"/>
      </w:pPr>
      <w:r>
        <w:rPr>
          <w:rFonts w:ascii="Calibri" w:cs="Calibri" w:eastAsia="Calibri" w:hAnsi="Calibri"/>
          <w:b w:val="false"/>
          <w:bCs w:val="false"/>
          <w:i w:val="false"/>
          <w:iCs w:val="false"/>
          <w:color w:val="111111"/>
          <w:sz w:val="22"/>
          <w:szCs w:val="22"/>
        </w:rPr>
        <w:t xml:space="preserve">A compressão NUXS é limitada por propriedade do dado em três situações reconhecidas e documentadas. Não são deficiências do motor — são tetos técnicos do tipo de input.</w:t>
      </w:r>
    </w:p>
    <w:p>
      <w:pPr>
        <w:pStyle w:val="Heading2"/>
        <w:spacing w:after="140" w:before="280"/>
      </w:pPr>
      <w:r>
        <w:rPr>
          <w:rFonts w:ascii="Calibri" w:cs="Calibri" w:eastAsia="Calibri" w:hAnsi="Calibri"/>
          <w:b/>
          <w:bCs/>
          <w:color w:val="111111"/>
          <w:sz w:val="30"/>
          <w:szCs w:val="30"/>
        </w:rPr>
        <w:t xml:space="preserve">11.1 Inputs pequenos</w:t>
      </w:r>
    </w:p>
    <w:p>
      <w:pPr>
        <w:spacing w:after="100" w:before="0" w:line="300"/>
        <w:jc w:val="left"/>
      </w:pPr>
      <w:r>
        <w:rPr>
          <w:rFonts w:ascii="Calibri" w:cs="Calibri" w:eastAsia="Calibri" w:hAnsi="Calibri"/>
          <w:b w:val="false"/>
          <w:bCs w:val="false"/>
          <w:i w:val="false"/>
          <w:iCs w:val="false"/>
          <w:color w:val="111111"/>
          <w:sz w:val="22"/>
          <w:szCs w:val="22"/>
        </w:rPr>
        <w:t xml:space="preserve">Cada tipo tem um limiar de bytes abaixo do qual a regra de passthrough é acionada. Entradas muito pequenas têm pouca redundância para explorar, e o motor preserva o input intacto em vez de inflar artificialmente o número.</w:t>
      </w:r>
    </w:p>
    <w:p>
      <w:pPr>
        <w:pStyle w:val="Heading2"/>
        <w:spacing w:after="140" w:before="280"/>
      </w:pPr>
      <w:r>
        <w:rPr>
          <w:rFonts w:ascii="Calibri" w:cs="Calibri" w:eastAsia="Calibri" w:hAnsi="Calibri"/>
          <w:b/>
          <w:bCs/>
          <w:color w:val="111111"/>
          <w:sz w:val="30"/>
          <w:szCs w:val="30"/>
        </w:rPr>
        <w:t xml:space="preserve">11.2 Tipos com densidade informacional alta</w:t>
      </w:r>
    </w:p>
    <w:p>
      <w:pPr>
        <w:spacing w:after="100" w:before="0" w:line="300"/>
        <w:jc w:val="left"/>
      </w:pPr>
      <w:r>
        <w:rPr>
          <w:rFonts w:ascii="Calibri" w:cs="Calibri" w:eastAsia="Calibri" w:hAnsi="Calibri"/>
          <w:b w:val="false"/>
          <w:bCs w:val="false"/>
          <w:i w:val="false"/>
          <w:iCs w:val="false"/>
          <w:color w:val="111111"/>
          <w:sz w:val="22"/>
          <w:szCs w:val="22"/>
        </w:rPr>
        <w:t xml:space="preserve">Em tipos como PDF e schema, cada elemento do input carrega sinal não-redundante (um número em um documento, um nome de coluna em uma DDL). A NUXS preserva esse sinal integralmente; a compressão atua sobre o que cerca esses elementos. As margens nesses tipos refletem o teto técnico do dado.</w:t>
      </w:r>
    </w:p>
    <w:p>
      <w:pPr>
        <w:pStyle w:val="Heading2"/>
        <w:spacing w:after="140" w:before="280"/>
      </w:pPr>
      <w:r>
        <w:rPr>
          <w:rFonts w:ascii="Calibri" w:cs="Calibri" w:eastAsia="Calibri" w:hAnsi="Calibri"/>
          <w:b/>
          <w:bCs/>
          <w:color w:val="111111"/>
          <w:sz w:val="30"/>
          <w:szCs w:val="30"/>
        </w:rPr>
        <w:t xml:space="preserve">11.3 Cápsulas baseadas em LLM</w:t>
      </w:r>
    </w:p>
    <w:p>
      <w:pPr>
        <w:spacing w:after="100" w:before="0" w:line="300"/>
        <w:jc w:val="left"/>
      </w:pPr>
      <w:r>
        <w:rPr>
          <w:rFonts w:ascii="Calibri" w:cs="Calibri" w:eastAsia="Calibri" w:hAnsi="Calibri"/>
          <w:b w:val="false"/>
          <w:bCs w:val="false"/>
          <w:i w:val="false"/>
          <w:iCs w:val="false"/>
          <w:color w:val="111111"/>
          <w:sz w:val="22"/>
          <w:szCs w:val="22"/>
        </w:rPr>
        <w:t xml:space="preserve">As sete cápsulas LLM dependem de chamada a um modelo de linguagem; a disponibilidade depende do tier de licença e da conectividade. O motor local executa as dez cápsulas algorítmicas de forma autônoma.</w:t>
      </w:r>
    </w:p>
    <w:p>
      <w:pPr>
        <w:pageBreakBefore/>
      </w:pPr>
      <w:r>
        <w:t xml:space="preserve"/>
      </w:r>
    </w:p>
    <w:p>
      <w:pPr>
        <w:spacing w:after="80" w:before="0"/>
      </w:pPr>
      <w:r>
        <w:rPr>
          <w:rFonts w:ascii="Calibri" w:cs="Calibri" w:eastAsia="Calibri" w:hAnsi="Calibri"/>
          <w:b/>
          <w:bCs/>
          <w:color w:val="6B4FBB"/>
          <w:spacing w:val="60"/>
          <w:sz w:val="16"/>
          <w:szCs w:val="16"/>
        </w:rPr>
        <w:t xml:space="preserve">12</w:t>
      </w:r>
    </w:p>
    <w:p>
      <w:pPr>
        <w:pStyle w:val="Heading1"/>
        <w:spacing w:after="180" w:before="360"/>
      </w:pPr>
      <w:r>
        <w:rPr>
          <w:rFonts w:ascii="Calibri" w:cs="Calibri" w:eastAsia="Calibri" w:hAnsi="Calibri"/>
          <w:b/>
          <w:bCs/>
          <w:color w:val="111111"/>
          <w:sz w:val="36"/>
          <w:szCs w:val="36"/>
        </w:rPr>
        <w:t xml:space="preserve">Reprodutibilidade</w:t>
      </w:r>
    </w:p>
    <w:p>
      <w:pPr>
        <w:spacing w:after="100" w:before="0" w:line="300"/>
        <w:jc w:val="left"/>
      </w:pPr>
      <w:r>
        <w:rPr>
          <w:rFonts w:ascii="Calibri" w:cs="Calibri" w:eastAsia="Calibri" w:hAnsi="Calibri"/>
          <w:b w:val="false"/>
          <w:bCs w:val="false"/>
          <w:i w:val="false"/>
          <w:iCs w:val="false"/>
          <w:color w:val="111111"/>
          <w:sz w:val="22"/>
          <w:szCs w:val="22"/>
        </w:rPr>
        <w:t xml:space="preserve">Cada métrica reportada é recomputável a partir dos arquivos brutos publicados em anexo. As cápsulas algorítmicas são determinísticas; as cápsulas baseadas em LLM são amostradas e relatadas com N explícito.</w:t>
      </w:r>
    </w:p>
    <w:p>
      <w:pPr>
        <w:pStyle w:val="Heading2"/>
        <w:spacing w:after="140" w:before="280"/>
      </w:pPr>
      <w:r>
        <w:rPr>
          <w:rFonts w:ascii="Calibri" w:cs="Calibri" w:eastAsia="Calibri" w:hAnsi="Calibri"/>
          <w:b/>
          <w:bCs/>
          <w:color w:val="111111"/>
          <w:sz w:val="30"/>
          <w:szCs w:val="30"/>
        </w:rPr>
        <w:t xml:space="preserve">Arquivos brutos publicados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left"/>
            </w:pPr>
            <w:r>
              <w:rPr>
                <w:rFonts w:ascii="Calibri" w:cs="Calibri" w:eastAsia="Calibri" w:hAnsi="Calibri"/>
                <w:b/>
                <w:bCs/>
                <w:i w:val="false"/>
                <w:iCs w:val="false"/>
                <w:color w:val="111111"/>
                <w:sz w:val="20"/>
                <w:szCs w:val="20"/>
              </w:rPr>
              <w:t xml:space="preserve">Arquivo</w:t>
            </w:r>
          </w:p>
        </w:tc>
        <w:tc>
          <w:tcPr>
            <w:tcW w:type="dxa" w:w="5860"/>
            <w:tcBorders>
              <w:top w:val="single" w:color="BFBFBF" w:sz="4"/>
              <w:left w:val="single" w:color="BFBFBF" w:sz="4"/>
              <w:bottom w:val="single" w:color="BFBFBF" w:sz="4"/>
              <w:right w:val="single" w:color="BFBFBF" w:sz="4"/>
            </w:tcBorders>
            <w:shd w:fill="F0EBF8" w:color="auto" w:val="clear"/>
            <w:tcMar>
              <w:top w:type="dxa" w:w="100"/>
              <w:left w:type="dxa" w:w="140"/>
              <w:bottom w:type="dxa" w:w="100"/>
              <w:right w:type="dxa" w:w="140"/>
            </w:tcMar>
          </w:tcPr>
          <w:p>
            <w:pPr>
              <w:spacing w:after="0" w:before="0" w:line="260"/>
              <w:jc w:val="right"/>
            </w:pPr>
            <w:r>
              <w:rPr>
                <w:rFonts w:ascii="Calibri" w:cs="Calibri" w:eastAsia="Calibri" w:hAnsi="Calibri"/>
                <w:b/>
                <w:bCs/>
                <w:i w:val="false"/>
                <w:iCs w:val="false"/>
                <w:color w:val="111111"/>
                <w:sz w:val="20"/>
                <w:szCs w:val="20"/>
              </w:rPr>
              <w:t xml:space="preserve">Conteúdo</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1º round (sintético) — 328 amostras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benchmark-large-raw.jsonl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Run large (sintético) — 400 amostras, buckets XS→XXL</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benchmark-large-summary.json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Sumário do run large por bucket e cápsula</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benchmark-rag-raw.jsonl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Perfil RAG/LLM — 980 amostras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benchmark-rag-summary.json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Sumário ponderado do perfil RAG/LLM</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benchmark-r2-raw.jsonl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Round 2 RAG/LLM — 707 amostras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benchmark-r2-summary.json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Sumário do round 2</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benchmark-paid-raw.jsonl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Run backend real — 18 amostras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benchmark-paid-summary.json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Sumário do run backend (inclui multimodais)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benchmark-20-raw.jsonl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Round 20 — 30 amostras XL/XXL</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benchmark-code-raw.jsonl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Perfil Programador (sintético) — 71 amostras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benchmark-codereal-raw.jsonl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Código real (universo completo) — 7.035 amostras</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benchmark-buildindex40-raw.jsonl</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Hook típico em código real — 40 amostras (top-40 determinístico)</w:t>
            </w:r>
          </w:p>
        </w:tc>
      </w:tr>
      <w:tr>
        <w:trPr>
          <w:tblHeader w:val="false"/>
        </w:trPr>
        <w:tc>
          <w:tcPr>
            <w:tcW w:type="dxa" w:w="35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left"/>
            </w:pPr>
            <w:r>
              <w:rPr>
                <w:rFonts w:ascii="Calibri" w:cs="Calibri" w:eastAsia="Calibri" w:hAnsi="Calibri"/>
                <w:b w:val="false"/>
                <w:bCs w:val="false"/>
                <w:i w:val="false"/>
                <w:iCs w:val="false"/>
                <w:color w:val="111111"/>
                <w:sz w:val="20"/>
                <w:szCs w:val="20"/>
              </w:rPr>
              <w:t xml:space="preserve">benchmark-buildindex40-summary.json</w:t>
            </w:r>
          </w:p>
        </w:tc>
        <w:tc>
          <w:tcPr>
            <w:tcW w:type="dxa" w:w="58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line="260"/>
              <w:jc w:val="right"/>
            </w:pPr>
            <w:r>
              <w:rPr>
                <w:rFonts w:ascii="Calibri" w:cs="Calibri" w:eastAsia="Calibri" w:hAnsi="Calibri"/>
                <w:b w:val="false"/>
                <w:bCs w:val="false"/>
                <w:i w:val="false"/>
                <w:iCs w:val="false"/>
                <w:color w:val="111111"/>
                <w:sz w:val="20"/>
                <w:szCs w:val="20"/>
              </w:rPr>
              <w:t xml:space="preserve">Sumário do run hook típico, com critério amostral declarado</w:t>
            </w:r>
          </w:p>
        </w:tc>
      </w:tr>
    </w:tbl>
    <w:p>
      <w:pPr>
        <w:spacing w:after="160" w:before="0"/>
      </w:pPr>
      <w:r>
        <w:t xml:space="preserve"/>
      </w:r>
    </w:p>
    <w:p>
      <w:pPr>
        <w:pStyle w:val="Heading2"/>
        <w:spacing w:after="140" w:before="280"/>
      </w:pPr>
      <w:r>
        <w:rPr>
          <w:rFonts w:ascii="Calibri" w:cs="Calibri" w:eastAsia="Calibri" w:hAnsi="Calibri"/>
          <w:b/>
          <w:bCs/>
          <w:color w:val="111111"/>
          <w:sz w:val="30"/>
          <w:szCs w:val="30"/>
        </w:rPr>
        <w:t xml:space="preserve">Schema dos arquivos raw</w:t>
      </w:r>
    </w:p>
    <w:p>
      <w:pPr>
        <w:spacing w:after="100" w:before="0" w:line="300"/>
        <w:jc w:val="left"/>
      </w:pPr>
      <w:r>
        <w:rPr>
          <w:rFonts w:ascii="Calibri" w:cs="Calibri" w:eastAsia="Calibri" w:hAnsi="Calibri"/>
          <w:b w:val="false"/>
          <w:bCs w:val="false"/>
          <w:i w:val="false"/>
          <w:iCs w:val="false"/>
          <w:color w:val="111111"/>
          <w:sz w:val="22"/>
          <w:szCs w:val="22"/>
        </w:rPr>
        <w:t xml:space="preserve">Cada linha JSONL contém, no mínimo: capsule, in_tokens, out_tokens, ratio, pct_saved, passthrough, seed (quando aplicável), sha256(input). Runs por bucket adicionam size_bucket; runs ponderados adicionam weight_pct; runs LLM adicionam N e provider.</w:t>
      </w:r>
    </w:p>
    <w:p>
      <w:pPr>
        <w:pStyle w:val="Heading2"/>
        <w:spacing w:after="140" w:before="280"/>
      </w:pPr>
      <w:r>
        <w:rPr>
          <w:rFonts w:ascii="Calibri" w:cs="Calibri" w:eastAsia="Calibri" w:hAnsi="Calibri"/>
          <w:b/>
          <w:bCs/>
          <w:color w:val="111111"/>
          <w:sz w:val="30"/>
          <w:szCs w:val="30"/>
        </w:rPr>
        <w:t xml:space="preserve">Validação independente</w:t>
      </w:r>
    </w:p>
    <w:p>
      <w:pPr>
        <w:spacing w:after="100" w:before="0" w:line="300"/>
        <w:jc w:val="left"/>
      </w:pPr>
      <w:r>
        <w:rPr>
          <w:rFonts w:ascii="Calibri" w:cs="Calibri" w:eastAsia="Calibri" w:hAnsi="Calibri"/>
          <w:b w:val="false"/>
          <w:bCs w:val="false"/>
          <w:i w:val="false"/>
          <w:iCs w:val="false"/>
          <w:color w:val="111111"/>
          <w:sz w:val="22"/>
          <w:szCs w:val="22"/>
        </w:rPr>
        <w:t xml:space="preserve">Para reproduzir as métricas: (a) instale o tokenizer cl100k_base via o pacote gpt-tokenizer; (b) para cada linha do raw, recompute ratio = in_tokens / out_tokens e pct_saved = (1 − out_tokens / in_tokens) × 100; (c) agregue por cápsula, bucket ou run, conforme as tabelas; (d) compare os resultados com os sumários publicados. O run hook típico (top-40) é integralmente reproduzível a partir do critério amostral declarado no sumário.</w:t>
      </w:r>
    </w:p>
    <w:p>
      <w:pPr>
        <w:pageBreakBefore/>
      </w:pPr>
      <w:r>
        <w:t xml:space="preserve"/>
      </w:r>
    </w:p>
    <w:p>
      <w:pPr>
        <w:spacing w:after="80" w:before="0"/>
      </w:pPr>
      <w:r>
        <w:rPr>
          <w:rFonts w:ascii="Calibri" w:cs="Calibri" w:eastAsia="Calibri" w:hAnsi="Calibri"/>
          <w:b/>
          <w:bCs/>
          <w:color w:val="6B4FBB"/>
          <w:spacing w:val="60"/>
          <w:sz w:val="16"/>
          <w:szCs w:val="16"/>
        </w:rPr>
        <w:t xml:space="preserve">13</w:t>
      </w:r>
    </w:p>
    <w:p>
      <w:pPr>
        <w:pStyle w:val="Heading1"/>
        <w:spacing w:after="180" w:before="360"/>
      </w:pPr>
      <w:r>
        <w:rPr>
          <w:rFonts w:ascii="Calibri" w:cs="Calibri" w:eastAsia="Calibri" w:hAnsi="Calibri"/>
          <w:b/>
          <w:bCs/>
          <w:color w:val="111111"/>
          <w:sz w:val="36"/>
          <w:szCs w:val="36"/>
        </w:rPr>
        <w:t xml:space="preserve">Conclusão</w:t>
      </w:r>
    </w:p>
    <w:p>
      <w:pPr>
        <w:spacing w:after="100" w:before="0" w:line="300"/>
        <w:jc w:val="left"/>
      </w:pPr>
      <w:r>
        <w:rPr>
          <w:rFonts w:ascii="Calibri" w:cs="Calibri" w:eastAsia="Calibri" w:hAnsi="Calibri"/>
          <w:b w:val="false"/>
          <w:bCs w:val="false"/>
          <w:i w:val="false"/>
          <w:iCs w:val="false"/>
          <w:color w:val="111111"/>
          <w:sz w:val="22"/>
          <w:szCs w:val="22"/>
        </w:rPr>
        <w:t xml:space="preserve">A NUXS comprime contexto a uma margem agregada de 87,5% nas 17 cápsulas avaliadas, sobre 180,6 milhões de tokens auditáveis em 9.609 amostras. Onze cápsulas operam em margem igual ou superior a 95%. As margens mais baixas correspondem a tipos de dado com densidade informacional alta, em que cada elemento preservado é sinal não-redundante.</w:t>
      </w:r>
    </w:p>
    <w:p>
      <w:pPr>
        <w:spacing w:after="100" w:before="0" w:line="300"/>
        <w:jc w:val="left"/>
      </w:pPr>
      <w:r>
        <w:rPr>
          <w:rFonts w:ascii="Calibri" w:cs="Calibri" w:eastAsia="Calibri" w:hAnsi="Calibri"/>
          <w:b w:val="false"/>
          <w:bCs w:val="false"/>
          <w:i w:val="false"/>
          <w:iCs w:val="false"/>
          <w:color w:val="111111"/>
          <w:sz w:val="22"/>
          <w:szCs w:val="22"/>
        </w:rPr>
        <w:t xml:space="preserve">Em perfis de uso ponderados, o estudo registra 85,6% para o perfil Programador em sintético, com elevação para aproximadamente 92% em uso real quando a cápsula codebase opera no regime típico do hook de produção. O perfil RAG/LLM marca 95,4% medido, próximo de 96% em uso real. Como inputs reais carregam redundância natural que o sintético não reproduz, os números agregados publicados constituem um piso defensável, não um teto.</w:t>
      </w:r>
    </w:p>
    <w:p>
      <w:pPr>
        <w:spacing w:after="100" w:before="0" w:line="300"/>
        <w:jc w:val="left"/>
      </w:pPr>
      <w:r>
        <w:rPr>
          <w:rFonts w:ascii="Calibri" w:cs="Calibri" w:eastAsia="Calibri" w:hAnsi="Calibri"/>
          <w:b w:val="false"/>
          <w:bCs w:val="false"/>
          <w:i w:val="false"/>
          <w:iCs w:val="false"/>
          <w:color w:val="111111"/>
          <w:sz w:val="22"/>
          <w:szCs w:val="22"/>
        </w:rPr>
        <w:t xml:space="preserve">Todos os resultados são recomputáveis a partir do raw publicado em anexo, usando o tokenizer cl100k_base como régua declarada. O método, as escolhas amostrais, os limites técnicos e a sanitização dos inputs reais estão registrados nas seções 10, 11 e 12.</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A8A8A"/>
        <w:sz w:val="18"/>
        <w:szCs w:val="18"/>
      </w:rPr>
      <w:t xml:space="preserve">Página </w:t>
    </w:r>
    <w:r>
      <w:rPr>
        <w:rFonts w:ascii="Calibri" w:cs="Calibri" w:eastAsia="Calibri" w:hAnsi="Calibri"/>
        <w:color w:val="8A8A8A"/>
        <w:sz w:val="18"/>
        <w:szCs w:val="18"/>
      </w:rPr>
      <w:fldChar w:fldCharType="begin"/>
      <w:instrText xml:space="preserve">PAGE</w:instrText>
      <w:fldChar w:fldCharType="separate"/>
      <w:fldChar w:fldCharType="end"/>
    </w:r>
    <w:r>
      <w:rPr>
        <w:rFonts w:ascii="Calibri" w:cs="Calibri" w:eastAsia="Calibri" w:hAnsi="Calibri"/>
        <w:color w:val="8A8A8A"/>
        <w:sz w:val="18"/>
        <w:szCs w:val="18"/>
      </w:rPr>
      <w:t xml:space="preserve"> de </w:t>
    </w:r>
    <w:r>
      <w:rPr>
        <w:rFonts w:ascii="Calibri" w:cs="Calibri" w:eastAsia="Calibri" w:hAnsi="Calibri"/>
        <w:color w:val="8A8A8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8A8A8A"/>
        <w:sz w:val="18"/>
        <w:szCs w:val="18"/>
      </w:rPr>
      <w:t xml:space="preserve">NUXS · Benchmark Técnico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111"/>
      <w:sz w:val="36"/>
      <w:szCs w:val="36"/>
    </w:rPr>
  </w:style>
  <w:style w:type="paragraph" w:styleId="Heading2">
    <w:name w:val="Heading 2"/>
    <w:basedOn w:val="Normal"/>
    <w:next w:val="Normal"/>
    <w:qFormat/>
    <w:rPr>
      <w:rFonts w:ascii="Calibri" w:cs="Calibri" w:eastAsia="Calibri" w:hAnsi="Calibri"/>
      <w:b/>
      <w:bCs/>
      <w:color w:val="111111"/>
      <w:sz w:val="30"/>
      <w:szCs w:val="30"/>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Benchmark NUXS</dc:title>
  <dc:creator>NUXS</dc:creator>
  <dc:description>Estudo auditável de compressão de contexto</dc:description>
  <cp:lastModifiedBy>Un-named</cp:lastModifiedBy>
  <cp:revision>1</cp:revision>
  <dcterms:created xsi:type="dcterms:W3CDTF">2026-06-06T05:37:29.792Z</dcterms:created>
  <dcterms:modified xsi:type="dcterms:W3CDTF">2026-06-06T05:37:29.792Z</dcterms:modified>
</cp:coreProperties>
</file>

<file path=docProps/custom.xml><?xml version="1.0" encoding="utf-8"?>
<Properties xmlns="http://schemas.openxmlformats.org/officeDocument/2006/custom-properties" xmlns:vt="http://schemas.openxmlformats.org/officeDocument/2006/docPropsVTypes"/>
</file>