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t xml:space="preserve"/>
      </w:r>
    </w:p>
    <w:p>
      <w:pPr>
        <w:spacing w:after="80" w:before="0"/>
      </w:pPr>
      <w:r>
        <w:rPr>
          <w:rFonts w:ascii="Calibri" w:cs="Calibri" w:eastAsia="Calibri" w:hAnsi="Calibri"/>
          <w:b/>
          <w:bCs/>
          <w:color w:val="6B4FBB"/>
          <w:spacing w:val="60"/>
          <w:sz w:val="16"/>
          <w:szCs w:val="16"/>
        </w:rPr>
        <w:t xml:space="preserve">TECHNICAL REPORT</w:t>
      </w:r>
    </w:p>
    <w:p>
      <w:pPr>
        <w:spacing w:after="240" w:before="0"/>
      </w:pPr>
      <w:r>
        <w:rPr>
          <w:rFonts w:ascii="Cambria" w:cs="Cambria" w:eastAsia="Cambria" w:hAnsi="Cambria"/>
          <w:b/>
          <w:bCs/>
          <w:color w:val="111111"/>
          <w:sz w:val="72"/>
          <w:szCs w:val="72"/>
        </w:rPr>
        <w:t xml:space="preserve">NUXS Benchmark</w:t>
      </w:r>
    </w:p>
    <w:p>
      <w:pPr>
        <w:spacing w:after="600" w:before="0"/>
      </w:pPr>
      <w:r>
        <w:rPr>
          <w:rFonts w:ascii="Cambria" w:cs="Cambria" w:eastAsia="Cambria" w:hAnsi="Cambria"/>
          <w:i/>
          <w:iCs/>
          <w:color w:val="555555"/>
          <w:sz w:val="32"/>
          <w:szCs w:val="32"/>
        </w:rPr>
        <w:t xml:space="preserve">Auditable study of context compression</w:t>
      </w:r>
    </w:p>
    <w:p>
      <w:pPr>
        <w:pBdr>
          <w:bottom w:val="single" w:color="BFBFBF" w:sz="6" w:space="1"/>
        </w:pBdr>
        <w:spacing w:after="120" w:before="120"/>
      </w:pPr>
      <w:r>
        <w:t xml:space="preserve"/>
      </w:r>
    </w:p>
    <w:p>
      <w:pPr>
        <w:spacing w:after="100" w:before="0" w:line="300"/>
        <w:jc w:val="left"/>
      </w:pPr>
      <w:r>
        <w:rPr>
          <w:rFonts w:ascii="Calibri" w:cs="Calibri" w:eastAsia="Calibri" w:hAnsi="Calibri"/>
          <w:b/>
          <w:bCs/>
          <w:i w:val="false"/>
          <w:iCs w:val="false"/>
          <w:color w:val="111111"/>
          <w:sz w:val="22"/>
          <w:szCs w:val="22"/>
        </w:rPr>
        <w:t xml:space="preserve">Scope: </w:t>
      </w:r>
      <w:r>
        <w:rPr>
          <w:rFonts w:ascii="Calibri" w:cs="Calibri" w:eastAsia="Calibri" w:hAnsi="Calibri"/>
          <w:color w:val="111111"/>
          <w:sz w:val="22"/>
          <w:szCs w:val="22"/>
        </w:rPr>
        <w:t xml:space="preserve">17 text capsules + 3 multimodal capabilities.</w:t>
      </w:r>
    </w:p>
    <w:p>
      <w:pPr>
        <w:spacing w:after="100" w:before="0" w:line="300"/>
        <w:jc w:val="left"/>
      </w:pPr>
      <w:r>
        <w:rPr>
          <w:rFonts w:ascii="Calibri" w:cs="Calibri" w:eastAsia="Calibri" w:hAnsi="Calibri"/>
          <w:b/>
          <w:bCs/>
          <w:i w:val="false"/>
          <w:iCs w:val="false"/>
          <w:color w:val="111111"/>
          <w:sz w:val="22"/>
          <w:szCs w:val="22"/>
        </w:rPr>
        <w:t xml:space="preserve">Auditable volume: </w:t>
      </w:r>
      <w:r>
        <w:rPr>
          <w:rFonts w:ascii="Calibri" w:cs="Calibri" w:eastAsia="Calibri" w:hAnsi="Calibri"/>
          <w:color w:val="111111"/>
          <w:sz w:val="22"/>
          <w:szCs w:val="22"/>
        </w:rPr>
        <w:t xml:space="preserve">180,590,521 tokens across 9,609 samples.</w:t>
      </w:r>
    </w:p>
    <w:p>
      <w:pPr>
        <w:spacing w:after="100" w:before="0" w:line="300"/>
        <w:jc w:val="left"/>
      </w:pPr>
      <w:r>
        <w:rPr>
          <w:rFonts w:ascii="Calibri" w:cs="Calibri" w:eastAsia="Calibri" w:hAnsi="Calibri"/>
          <w:b/>
          <w:bCs/>
          <w:i w:val="false"/>
          <w:iCs w:val="false"/>
          <w:color w:val="111111"/>
          <w:sz w:val="22"/>
          <w:szCs w:val="22"/>
        </w:rPr>
        <w:t xml:space="preserve">Tokenizer: </w:t>
      </w:r>
      <w:r>
        <w:rPr>
          <w:rFonts w:ascii="Calibri" w:cs="Calibri" w:eastAsia="Calibri" w:hAnsi="Calibri"/>
          <w:color w:val="111111"/>
          <w:sz w:val="22"/>
          <w:szCs w:val="22"/>
        </w:rPr>
        <w:t xml:space="preserve">cl100k_base, declared as a reproducible proxy.</w:t>
      </w:r>
    </w:p>
    <w:p>
      <w:pPr>
        <w:spacing w:after="100" w:before="0" w:line="300"/>
        <w:jc w:val="left"/>
      </w:pPr>
      <w:r>
        <w:rPr>
          <w:rFonts w:ascii="Calibri" w:cs="Calibri" w:eastAsia="Calibri" w:hAnsi="Calibri"/>
          <w:b/>
          <w:bCs/>
          <w:i w:val="false"/>
          <w:iCs w:val="false"/>
          <w:color w:val="111111"/>
          <w:sz w:val="22"/>
          <w:szCs w:val="22"/>
        </w:rPr>
        <w:t xml:space="preserve">Reference engine: </w:t>
      </w:r>
      <w:r>
        <w:rPr>
          <w:rFonts w:ascii="Calibri" w:cs="Calibri" w:eastAsia="Calibri" w:hAnsi="Calibri"/>
          <w:color w:val="111111"/>
          <w:sz w:val="22"/>
          <w:szCs w:val="22"/>
        </w:rPr>
        <w:t xml:space="preserve">nuxs-capsule 0.1.57.</w:t>
      </w:r>
    </w:p>
    <w:p>
      <w:pPr>
        <w:spacing w:after="100" w:before="0" w:line="300"/>
        <w:jc w:val="left"/>
      </w:pPr>
      <w:r>
        <w:rPr>
          <w:rFonts w:ascii="Calibri" w:cs="Calibri" w:eastAsia="Calibri" w:hAnsi="Calibri"/>
          <w:b/>
          <w:bCs/>
          <w:i w:val="false"/>
          <w:iCs w:val="false"/>
          <w:color w:val="111111"/>
          <w:sz w:val="22"/>
          <w:szCs w:val="22"/>
        </w:rPr>
        <w:t xml:space="preserve">Date: </w:t>
      </w:r>
      <w:r>
        <w:rPr>
          <w:rFonts w:ascii="Calibri" w:cs="Calibri" w:eastAsia="Calibri" w:hAnsi="Calibri"/>
          <w:color w:val="111111"/>
          <w:sz w:val="22"/>
          <w:szCs w:val="22"/>
        </w:rPr>
        <w:t xml:space="preserve">June 6, 2026.</w:t>
      </w:r>
    </w:p>
    <w:p>
      <w:pPr>
        <w:pBdr>
          <w:bottom w:val="single" w:color="BFBFBF" w:sz="6" w:space="1"/>
        </w:pBdr>
        <w:spacing w:after="120" w:before="120"/>
      </w:pPr>
      <w:r>
        <w:t xml:space="preserve"/>
      </w:r>
    </w:p>
    <w:p>
      <w:pPr>
        <w:spacing w:after="800" w:before="0"/>
      </w:pPr>
      <w:r>
        <w:t xml:space="preserve"/>
      </w:r>
    </w:p>
    <w:p>
      <w:pPr>
        <w:spacing w:after="100" w:before="0" w:line="320"/>
        <w:jc w:val="left"/>
      </w:pPr>
      <w:r>
        <w:rPr>
          <w:rFonts w:ascii="Calibri" w:cs="Calibri" w:eastAsia="Calibri" w:hAnsi="Calibri"/>
          <w:b w:val="false"/>
          <w:bCs w:val="false"/>
          <w:i/>
          <w:iCs/>
          <w:color w:val="555555"/>
          <w:sz w:val="22"/>
          <w:szCs w:val="22"/>
        </w:rPr>
        <w:t xml:space="preserve">This document reports auditable results of context compression. All metrics are recomputable from the raw files published in the appendix.</w:t>
      </w:r>
    </w:p>
    <w:p>
      <w:pPr>
        <w:pageBreakBefore/>
      </w:pPr>
      <w:r>
        <w:t xml:space="preserve"/>
      </w:r>
    </w:p>
    <w:p>
      <w:pPr>
        <w:spacing w:after="80" w:before="0"/>
      </w:pPr>
      <w:r>
        <w:rPr>
          <w:rFonts w:ascii="Calibri" w:cs="Calibri" w:eastAsia="Calibri" w:hAnsi="Calibri"/>
          <w:b/>
          <w:bCs/>
          <w:color w:val="6B4FBB"/>
          <w:spacing w:val="60"/>
          <w:sz w:val="16"/>
          <w:szCs w:val="16"/>
        </w:rPr>
        <w:t xml:space="preserve">1</w:t>
      </w:r>
    </w:p>
    <w:p>
      <w:pPr>
        <w:pStyle w:val="Heading1"/>
        <w:spacing w:after="180" w:before="360"/>
      </w:pPr>
      <w:r>
        <w:rPr>
          <w:rFonts w:ascii="Calibri" w:cs="Calibri" w:eastAsia="Calibri" w:hAnsi="Calibri"/>
          <w:b/>
          <w:bCs/>
          <w:color w:val="111111"/>
          <w:sz w:val="36"/>
          <w:szCs w:val="36"/>
        </w:rPr>
        <w:t xml:space="preserve">Executive summary</w:t>
      </w:r>
    </w:p>
    <w:p>
      <w:pPr>
        <w:spacing w:after="100" w:before="0" w:line="300"/>
        <w:jc w:val="left"/>
      </w:pPr>
      <w:r>
        <w:rPr>
          <w:rFonts w:ascii="Calibri" w:cs="Calibri" w:eastAsia="Calibri" w:hAnsi="Calibri"/>
          <w:b w:val="false"/>
          <w:bCs w:val="false"/>
          <w:i w:val="false"/>
          <w:iCs w:val="false"/>
          <w:color w:val="111111"/>
          <w:sz w:val="22"/>
          <w:szCs w:val="22"/>
        </w:rPr>
        <w:t xml:space="preserve">NUXS is a context compression layer for AI agents, organized into capsules specialized by data type. This study measures compression under controlled, reproducible, and auditable conditions, combining seeded synthetic samples with real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left"/>
            </w:pPr>
            <w:r>
              <w:rPr>
                <w:rFonts w:ascii="Calibri" w:cs="Calibri" w:eastAsia="Calibri" w:hAnsi="Calibri"/>
                <w:b/>
                <w:bCs/>
                <w:i w:val="false"/>
                <w:iCs w:val="false"/>
                <w:color w:val="111111"/>
                <w:sz w:val="20"/>
                <w:szCs w:val="20"/>
              </w:rPr>
              <w:t xml:space="preserve">Metric</w:t>
            </w:r>
          </w:p>
        </w:tc>
        <w:tc>
          <w:tcPr>
            <w:tcW w:type="dxa" w:w="486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Value</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Auditable volume (raw preserved)</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180,590,521 tokens</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Auditable samples</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9,609</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Tokens saved (auditable)</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157,948,621</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Aggregate margin (17 capsules)</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87.46%</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Real-world margin (code profile)</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~92%</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Real-world margin (RAG/LLM profile)</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95.4%</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Capsules with margin ≥ 95% (synthetic)</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11 of 17</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Validated multimodal capabilities</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 (image, video, meeting)</w:t>
            </w:r>
          </w:p>
        </w:tc>
      </w:tr>
    </w:tbl>
    <w:p>
      <w:pPr>
        <w:spacing w:after="160" w:before="0"/>
      </w:pPr>
      <w:r>
        <w:t xml:space="preserve"/>
      </w:r>
    </w:p>
    <w:p>
      <w:pPr>
        <w:spacing w:after="100" w:before="100" w:line="300"/>
        <w:jc w:val="left"/>
      </w:pPr>
      <w:r>
        <w:rPr>
          <w:rFonts w:ascii="Calibri" w:cs="Calibri" w:eastAsia="Calibri" w:hAnsi="Calibri"/>
          <w:b w:val="false"/>
          <w:bCs w:val="false"/>
          <w:i w:val="false"/>
          <w:iCs w:val="false"/>
          <w:color w:val="111111"/>
          <w:sz w:val="22"/>
          <w:szCs w:val="22"/>
        </w:rPr>
        <w:t xml:space="preserve">Three observations qualify the reading of these numbers:</w:t>
      </w:r>
    </w:p>
    <w:p>
      <w:pPr>
        <w:spacing w:after="100" w:before="0" w:line="300"/>
        <w:jc w:val="left"/>
      </w:pPr>
      <w:r>
        <w:rPr>
          <w:rFonts w:ascii="Calibri" w:cs="Calibri" w:eastAsia="Calibri" w:hAnsi="Calibri"/>
          <w:b w:val="false"/>
          <w:bCs w:val="false"/>
          <w:i w:val="false"/>
          <w:iCs w:val="false"/>
          <w:color w:val="111111"/>
          <w:sz w:val="22"/>
          <w:szCs w:val="22"/>
        </w:rPr>
        <w:t xml:space="preserve">The study is deliberately conservative. Most of the volume uses synthetic inputs with high entropy and low redundancy, specifically to measure the floor. Real inputs, which carry natural redundancy, consistently compress more.</w:t>
      </w:r>
    </w:p>
    <w:p>
      <w:pPr>
        <w:spacing w:after="100" w:before="0" w:line="300"/>
        <w:jc w:val="left"/>
      </w:pPr>
      <w:r>
        <w:rPr>
          <w:rFonts w:ascii="Calibri" w:cs="Calibri" w:eastAsia="Calibri" w:hAnsi="Calibri"/>
          <w:b w:val="false"/>
          <w:bCs w:val="false"/>
          <w:i w:val="false"/>
          <w:iCs w:val="false"/>
          <w:color w:val="111111"/>
          <w:sz w:val="22"/>
          <w:szCs w:val="22"/>
        </w:rPr>
        <w:t xml:space="preserve">Some capsules scale with input size while others stabilize at a plateau. Scaling capsules reach ratios of hundreds to thousands of times on large inputs; plateau capsules reflect the technical ceiling of the data type itself.</w:t>
      </w:r>
    </w:p>
    <w:p>
      <w:pPr>
        <w:spacing w:after="100" w:before="0" w:line="300"/>
        <w:jc w:val="left"/>
      </w:pPr>
      <w:r>
        <w:rPr>
          <w:rFonts w:ascii="Calibri" w:cs="Calibri" w:eastAsia="Calibri" w:hAnsi="Calibri"/>
          <w:b w:val="false"/>
          <w:bCs w:val="false"/>
          <w:i w:val="false"/>
          <w:iCs w:val="false"/>
          <w:color w:val="111111"/>
          <w:sz w:val="22"/>
          <w:szCs w:val="22"/>
        </w:rPr>
        <w:t xml:space="preserve">The study declares where compression is limited by data property: very small inputs result in passthrough, and dense types have a documented physical ceiling.</w:t>
      </w:r>
    </w:p>
    <w:p>
      <w:pPr>
        <w:pageBreakBefore/>
      </w:pPr>
      <w:r>
        <w:t xml:space="preserve"/>
      </w:r>
    </w:p>
    <w:p>
      <w:pPr>
        <w:spacing w:after="80" w:before="0"/>
      </w:pPr>
      <w:r>
        <w:rPr>
          <w:rFonts w:ascii="Calibri" w:cs="Calibri" w:eastAsia="Calibri" w:hAnsi="Calibri"/>
          <w:b/>
          <w:bCs/>
          <w:color w:val="6B4FBB"/>
          <w:spacing w:val="60"/>
          <w:sz w:val="16"/>
          <w:szCs w:val="16"/>
        </w:rPr>
        <w:t xml:space="preserve">2</w:t>
      </w:r>
    </w:p>
    <w:p>
      <w:pPr>
        <w:pStyle w:val="Heading1"/>
        <w:spacing w:after="180" w:before="360"/>
      </w:pPr>
      <w:r>
        <w:rPr>
          <w:rFonts w:ascii="Calibri" w:cs="Calibri" w:eastAsia="Calibri" w:hAnsi="Calibri"/>
          <w:b/>
          <w:bCs/>
          <w:color w:val="111111"/>
          <w:sz w:val="36"/>
          <w:szCs w:val="36"/>
        </w:rPr>
        <w:t xml:space="preserve">Methodology</w:t>
      </w:r>
    </w:p>
    <w:p>
      <w:pPr>
        <w:pStyle w:val="Heading2"/>
        <w:spacing w:after="140" w:before="280"/>
      </w:pPr>
      <w:r>
        <w:rPr>
          <w:rFonts w:ascii="Calibri" w:cs="Calibri" w:eastAsia="Calibri" w:hAnsi="Calibri"/>
          <w:b/>
          <w:bCs/>
          <w:color w:val="111111"/>
          <w:sz w:val="30"/>
          <w:szCs w:val="30"/>
        </w:rPr>
        <w:t xml:space="preserve">2.1 Reference tokenizer</w:t>
      </w:r>
    </w:p>
    <w:p>
      <w:pPr>
        <w:spacing w:after="100" w:before="0" w:line="300"/>
        <w:jc w:val="left"/>
      </w:pPr>
      <w:r>
        <w:rPr>
          <w:rFonts w:ascii="Calibri" w:cs="Calibri" w:eastAsia="Calibri" w:hAnsi="Calibri"/>
          <w:b w:val="false"/>
          <w:bCs w:val="false"/>
          <w:i w:val="false"/>
          <w:iCs w:val="false"/>
          <w:color w:val="111111"/>
          <w:sz w:val="22"/>
          <w:szCs w:val="22"/>
        </w:rPr>
        <w:t xml:space="preserve">All measurements — input and output — use the OpenAI cl100k_base tokenizer. cl100k is explicitly declared as a proxy: other vendors' tokenizers differ by a few percentage points in absolute counts. Reported ratios are robust to this choice because input and output are measured with the same ruler.</w:t>
      </w:r>
    </w:p>
    <w:p>
      <w:pPr>
        <w:pStyle w:val="Heading2"/>
        <w:spacing w:after="140" w:before="280"/>
      </w:pPr>
      <w:r>
        <w:rPr>
          <w:rFonts w:ascii="Calibri" w:cs="Calibri" w:eastAsia="Calibri" w:hAnsi="Calibri"/>
          <w:b/>
          <w:bCs/>
          <w:color w:val="111111"/>
          <w:sz w:val="30"/>
          <w:szCs w:val="30"/>
        </w:rPr>
        <w:t xml:space="preserve">2.2 Metrics</w:t>
      </w:r>
    </w:p>
    <w:p>
      <w:pPr>
        <w:spacing w:after="100" w:before="0" w:line="300"/>
        <w:jc w:val="left"/>
      </w:pPr>
      <w:r>
        <w:rPr>
          <w:rFonts w:ascii="Calibri" w:cs="Calibri" w:eastAsia="Calibri" w:hAnsi="Calibri"/>
          <w:b/>
          <w:bCs/>
          <w:i w:val="false"/>
          <w:iCs w:val="false"/>
          <w:color w:val="111111"/>
          <w:sz w:val="22"/>
          <w:szCs w:val="22"/>
        </w:rPr>
        <w:t xml:space="preserve">ratio</w:t>
      </w:r>
      <w:r>
        <w:rPr>
          <w:rFonts w:ascii="Calibri" w:cs="Calibri" w:eastAsia="Calibri" w:hAnsi="Calibri"/>
          <w:color w:val="111111"/>
          <w:sz w:val="22"/>
          <w:szCs w:val="22"/>
        </w:rPr>
        <w:t xml:space="preserve"> = in_tokens / out_tokens — how many times the input was reduced.</w:t>
      </w:r>
    </w:p>
    <w:p>
      <w:pPr>
        <w:spacing w:after="100" w:before="0" w:line="300"/>
        <w:jc w:val="left"/>
      </w:pPr>
      <w:r>
        <w:rPr>
          <w:rFonts w:ascii="Calibri" w:cs="Calibri" w:eastAsia="Calibri" w:hAnsi="Calibri"/>
          <w:b/>
          <w:bCs/>
          <w:i w:val="false"/>
          <w:iCs w:val="false"/>
          <w:color w:val="111111"/>
          <w:sz w:val="22"/>
          <w:szCs w:val="22"/>
        </w:rPr>
        <w:t xml:space="preserve">pct_saved</w:t>
      </w:r>
      <w:r>
        <w:rPr>
          <w:rFonts w:ascii="Calibri" w:cs="Calibri" w:eastAsia="Calibri" w:hAnsi="Calibri"/>
          <w:color w:val="111111"/>
          <w:sz w:val="22"/>
          <w:szCs w:val="22"/>
        </w:rPr>
        <w:t xml:space="preserve"> = (1 − out_tokens / in_tokens) × 100 — percentage of tokens eliminated.</w:t>
      </w:r>
    </w:p>
    <w:p>
      <w:pPr>
        <w:spacing w:after="100" w:before="0" w:line="300"/>
        <w:jc w:val="left"/>
      </w:pPr>
      <w:r>
        <w:rPr>
          <w:rFonts w:ascii="Calibri" w:cs="Calibri" w:eastAsia="Calibri" w:hAnsi="Calibri"/>
          <w:b w:val="false"/>
          <w:bCs w:val="false"/>
          <w:i w:val="false"/>
          <w:iCs w:val="false"/>
          <w:color w:val="111111"/>
          <w:sz w:val="22"/>
          <w:szCs w:val="22"/>
        </w:rPr>
        <w:t xml:space="preserve">For distributions, we report p10, p50 (median), and p90 of the values observed in each size bucket.</w:t>
      </w:r>
    </w:p>
    <w:p>
      <w:pPr>
        <w:pStyle w:val="Heading2"/>
        <w:spacing w:after="140" w:before="280"/>
      </w:pPr>
      <w:r>
        <w:rPr>
          <w:rFonts w:ascii="Calibri" w:cs="Calibri" w:eastAsia="Calibri" w:hAnsi="Calibri"/>
          <w:b/>
          <w:bCs/>
          <w:color w:val="111111"/>
          <w:sz w:val="30"/>
          <w:szCs w:val="30"/>
        </w:rPr>
        <w:t xml:space="preserve">2.3 Passthrough rule</w:t>
      </w:r>
    </w:p>
    <w:p>
      <w:pPr>
        <w:spacing w:after="100" w:before="0" w:line="300"/>
        <w:jc w:val="left"/>
      </w:pPr>
      <w:r>
        <w:rPr>
          <w:rFonts w:ascii="Calibri" w:cs="Calibri" w:eastAsia="Calibri" w:hAnsi="Calibri"/>
          <w:b w:val="false"/>
          <w:bCs w:val="false"/>
          <w:i w:val="false"/>
          <w:iCs w:val="false"/>
          <w:color w:val="111111"/>
          <w:sz w:val="22"/>
          <w:szCs w:val="22"/>
        </w:rPr>
        <w:t xml:space="preserve">When a capsule's output would be equal to or greater than the input, the engine returns the input intact and records ratio = 1.0×. These points reflect inputs with insufficient redundancy to offset the cost of compressing; they are preserved in the raw and count normally in the statistics.</w:t>
      </w:r>
    </w:p>
    <w:p>
      <w:pPr>
        <w:pStyle w:val="Heading2"/>
        <w:spacing w:after="140" w:before="280"/>
      </w:pPr>
      <w:r>
        <w:rPr>
          <w:rFonts w:ascii="Calibri" w:cs="Calibri" w:eastAsia="Calibri" w:hAnsi="Calibri"/>
          <w:b/>
          <w:bCs/>
          <w:color w:val="111111"/>
          <w:sz w:val="30"/>
          <w:szCs w:val="30"/>
        </w:rPr>
        <w:t xml:space="preserve">2.4 Input sources</w:t>
      </w:r>
    </w:p>
    <w:p>
      <w:pPr>
        <w:spacing w:after="100" w:before="0" w:line="300"/>
        <w:jc w:val="left"/>
      </w:pPr>
      <w:r>
        <w:rPr>
          <w:rFonts w:ascii="Calibri" w:cs="Calibri" w:eastAsia="Calibri" w:hAnsi="Calibri"/>
          <w:b/>
          <w:bCs/>
          <w:i w:val="false"/>
          <w:iCs w:val="false"/>
          <w:color w:val="111111"/>
          <w:sz w:val="22"/>
          <w:szCs w:val="22"/>
        </w:rPr>
        <w:t xml:space="preserve">Seeded synthetic </w:t>
      </w:r>
      <w:r>
        <w:rPr>
          <w:rFonts w:ascii="Calibri" w:cs="Calibri" w:eastAsia="Calibri" w:hAnsi="Calibri"/>
          <w:color w:val="111111"/>
          <w:sz w:val="22"/>
          <w:szCs w:val="22"/>
        </w:rPr>
        <w:t xml:space="preserve">— generated by a deterministic PRNG. Each sample records seed and sha256(input). Generators produce valid formats with high internal entropy, measuring the compression floor.</w:t>
      </w:r>
    </w:p>
    <w:p>
      <w:pPr>
        <w:spacing w:after="100" w:before="0" w:line="300"/>
        <w:jc w:val="left"/>
      </w:pPr>
      <w:r>
        <w:rPr>
          <w:rFonts w:ascii="Calibri" w:cs="Calibri" w:eastAsia="Calibri" w:hAnsi="Calibri"/>
          <w:b/>
          <w:bCs/>
          <w:i w:val="false"/>
          <w:iCs w:val="false"/>
          <w:color w:val="111111"/>
          <w:sz w:val="22"/>
          <w:szCs w:val="22"/>
        </w:rPr>
        <w:t xml:space="preserve">Real </w:t>
      </w:r>
      <w:r>
        <w:rPr>
          <w:rFonts w:ascii="Calibri" w:cs="Calibri" w:eastAsia="Calibri" w:hAnsi="Calibri"/>
          <w:color w:val="111111"/>
          <w:sz w:val="22"/>
          <w:szCs w:val="22"/>
        </w:rPr>
        <w:t xml:space="preserve">— a run on a real code corpus (7,035 samples, 12.9M tokens) and a run on 40 real files deterministically selected from two internal production repositories, per the reproducible criterion detailed in the appendix. They reflect the redundancy found in production use.</w:t>
      </w:r>
    </w:p>
    <w:p>
      <w:pPr>
        <w:pStyle w:val="Heading2"/>
        <w:spacing w:after="140" w:before="280"/>
      </w:pPr>
      <w:r>
        <w:rPr>
          <w:rFonts w:ascii="Calibri" w:cs="Calibri" w:eastAsia="Calibri" w:hAnsi="Calibri"/>
          <w:b/>
          <w:bCs/>
          <w:color w:val="111111"/>
          <w:sz w:val="30"/>
          <w:szCs w:val="30"/>
        </w:rPr>
        <w:t xml:space="preserve">2.5 Determinism</w:t>
      </w:r>
    </w:p>
    <w:p>
      <w:pPr>
        <w:spacing w:after="100" w:before="0" w:line="300"/>
        <w:jc w:val="left"/>
      </w:pPr>
      <w:r>
        <w:rPr>
          <w:rFonts w:ascii="Calibri" w:cs="Calibri" w:eastAsia="Calibri" w:hAnsi="Calibri"/>
          <w:b w:val="false"/>
          <w:bCs w:val="false"/>
          <w:i w:val="false"/>
          <w:iCs w:val="false"/>
          <w:color w:val="111111"/>
          <w:sz w:val="22"/>
          <w:szCs w:val="22"/>
        </w:rPr>
        <w:t xml:space="preserve">Algorithmic capsules are deterministic: the same input produces the same output byte-for-byte. Capsules based on language models use temperature 0.1 and report N samples per configuration. Each raw line contains seed, sha256, in/out tokens, ratio, and passthrough flag.</w:t>
      </w:r>
    </w:p>
    <w:p>
      <w:pPr>
        <w:pStyle w:val="Heading2"/>
        <w:spacing w:after="140" w:before="280"/>
      </w:pPr>
      <w:r>
        <w:rPr>
          <w:rFonts w:ascii="Calibri" w:cs="Calibri" w:eastAsia="Calibri" w:hAnsi="Calibri"/>
          <w:b/>
          <w:bCs/>
          <w:color w:val="111111"/>
          <w:sz w:val="30"/>
          <w:szCs w:val="30"/>
        </w:rPr>
        <w:t xml:space="preserve">2.6 Capsule types</w:t>
      </w:r>
    </w:p>
    <w:p>
      <w:pPr>
        <w:spacing w:after="100" w:before="0" w:line="300"/>
        <w:jc w:val="left"/>
      </w:pPr>
      <w:r>
        <w:rPr>
          <w:rFonts w:ascii="Calibri" w:cs="Calibri" w:eastAsia="Calibri" w:hAnsi="Calibri"/>
          <w:b/>
          <w:bCs/>
          <w:i w:val="false"/>
          <w:iCs w:val="false"/>
          <w:color w:val="111111"/>
          <w:sz w:val="22"/>
          <w:szCs w:val="22"/>
        </w:rPr>
        <w:t xml:space="preserve">Algorithmic (10): </w:t>
      </w:r>
      <w:r>
        <w:rPr>
          <w:rFonts w:ascii="Calibri" w:cs="Calibri" w:eastAsia="Calibri" w:hAnsi="Calibri"/>
          <w:color w:val="111111"/>
          <w:sz w:val="22"/>
          <w:szCs w:val="22"/>
        </w:rPr>
        <w:t xml:space="preserve">log, api, network, diff, test, build, schema, apispec, prompt, codebase. Local execution, marginal computational cost.</w:t>
      </w:r>
    </w:p>
    <w:p>
      <w:pPr>
        <w:spacing w:after="100" w:before="0" w:line="300"/>
        <w:jc w:val="left"/>
      </w:pPr>
      <w:r>
        <w:rPr>
          <w:rFonts w:ascii="Calibri" w:cs="Calibri" w:eastAsia="Calibri" w:hAnsi="Calibri"/>
          <w:b/>
          <w:bCs/>
          <w:i w:val="false"/>
          <w:iCs w:val="false"/>
          <w:color w:val="111111"/>
          <w:sz w:val="22"/>
          <w:szCs w:val="22"/>
        </w:rPr>
        <w:t xml:space="preserve">LLM-based (7): </w:t>
      </w:r>
      <w:r>
        <w:rPr>
          <w:rFonts w:ascii="Calibri" w:cs="Calibri" w:eastAsia="Calibri" w:hAnsi="Calibri"/>
          <w:color w:val="111111"/>
          <w:sz w:val="22"/>
          <w:szCs w:val="22"/>
        </w:rPr>
        <w:t xml:space="preserve">stack, sql, events, session, threads, pdf, rag. Depend on a call to a language model.</w:t>
      </w:r>
    </w:p>
    <w:p>
      <w:pPr>
        <w:spacing w:after="100" w:before="0" w:line="300"/>
        <w:jc w:val="left"/>
      </w:pPr>
      <w:r>
        <w:rPr>
          <w:rFonts w:ascii="Calibri" w:cs="Calibri" w:eastAsia="Calibri" w:hAnsi="Calibri"/>
          <w:b w:val="false"/>
          <w:bCs w:val="false"/>
          <w:i w:val="false"/>
          <w:iCs w:val="false"/>
          <w:color w:val="111111"/>
          <w:sz w:val="22"/>
          <w:szCs w:val="22"/>
        </w:rPr>
        <w:t xml:space="preserve">The three multimodal capabilities (image, video, meeting) translate media into dense textual context and are reported in pipeline validation, outside the volume aggregate.</w:t>
      </w:r>
    </w:p>
    <w:p>
      <w:pPr>
        <w:pStyle w:val="Heading2"/>
        <w:spacing w:after="140" w:before="280"/>
      </w:pPr>
      <w:r>
        <w:rPr>
          <w:rFonts w:ascii="Calibri" w:cs="Calibri" w:eastAsia="Calibri" w:hAnsi="Calibri"/>
          <w:b/>
          <w:bCs/>
          <w:color w:val="111111"/>
          <w:sz w:val="30"/>
          <w:szCs w:val="30"/>
        </w:rPr>
        <w:t xml:space="preserve">2.7 Study conduct</w:t>
      </w:r>
    </w:p>
    <w:p>
      <w:pPr>
        <w:spacing w:after="100" w:before="0" w:line="300"/>
        <w:jc w:val="left"/>
      </w:pPr>
      <w:r>
        <w:rPr>
          <w:rFonts w:ascii="Calibri" w:cs="Calibri" w:eastAsia="Calibri" w:hAnsi="Calibri"/>
          <w:b w:val="false"/>
          <w:bCs w:val="false"/>
          <w:i w:val="false"/>
          <w:iCs w:val="false"/>
          <w:color w:val="111111"/>
          <w:sz w:val="22"/>
          <w:szCs w:val="22"/>
        </w:rPr>
        <w:t xml:space="preserve">The study was conducted internally by the NUXS team. All raw files referenced in the reproducibility section are published to allow independent reaudit.</w:t>
      </w:r>
    </w:p>
    <w:p>
      <w:pPr>
        <w:pStyle w:val="Heading2"/>
        <w:spacing w:after="140" w:before="280"/>
      </w:pPr>
      <w:r>
        <w:rPr>
          <w:rFonts w:ascii="Calibri" w:cs="Calibri" w:eastAsia="Calibri" w:hAnsi="Calibri"/>
          <w:b/>
          <w:bCs/>
          <w:color w:val="111111"/>
          <w:sz w:val="30"/>
          <w:szCs w:val="30"/>
        </w:rPr>
        <w:t xml:space="preserve">2.8 Sanitization of real inputs</w:t>
      </w:r>
    </w:p>
    <w:p>
      <w:pPr>
        <w:spacing w:after="100" w:before="0" w:line="300"/>
        <w:jc w:val="left"/>
      </w:pPr>
      <w:r>
        <w:rPr>
          <w:rFonts w:ascii="Calibri" w:cs="Calibri" w:eastAsia="Calibri" w:hAnsi="Calibri"/>
          <w:b w:val="false"/>
          <w:bCs w:val="false"/>
          <w:i w:val="false"/>
          <w:iCs w:val="false"/>
          <w:color w:val="111111"/>
          <w:sz w:val="22"/>
          <w:szCs w:val="22"/>
        </w:rPr>
        <w:t xml:space="preserve">Real inputs included in the published raw were sanitized prior to release: credentials, API tokens, secrets, and personally identifiable data were removed. Local machine absolute paths were replaced with neutral identifiers. The preserved content is sufficient to recompute all reported metrics.</w:t>
      </w:r>
    </w:p>
    <w:p>
      <w:pPr>
        <w:pageBreakBefore/>
      </w:pPr>
      <w:r>
        <w:t xml:space="preserve"/>
      </w:r>
    </w:p>
    <w:p>
      <w:pPr>
        <w:spacing w:after="80" w:before="0"/>
      </w:pPr>
      <w:r>
        <w:rPr>
          <w:rFonts w:ascii="Calibri" w:cs="Calibri" w:eastAsia="Calibri" w:hAnsi="Calibri"/>
          <w:b/>
          <w:bCs/>
          <w:color w:val="6B4FBB"/>
          <w:spacing w:val="60"/>
          <w:sz w:val="16"/>
          <w:szCs w:val="16"/>
        </w:rPr>
        <w:t xml:space="preserve">3</w:t>
      </w:r>
    </w:p>
    <w:p>
      <w:pPr>
        <w:pStyle w:val="Heading1"/>
        <w:spacing w:after="180" w:before="360"/>
      </w:pPr>
      <w:r>
        <w:rPr>
          <w:rFonts w:ascii="Calibri" w:cs="Calibri" w:eastAsia="Calibri" w:hAnsi="Calibri"/>
          <w:b/>
          <w:bCs/>
          <w:color w:val="111111"/>
          <w:sz w:val="36"/>
          <w:szCs w:val="36"/>
        </w:rPr>
        <w:t xml:space="preserve">Volume and totals</w:t>
      </w:r>
    </w:p>
    <w:p>
      <w:pPr>
        <w:spacing w:after="100" w:before="0" w:line="300"/>
        <w:jc w:val="left"/>
      </w:pPr>
      <w:r>
        <w:rPr>
          <w:rFonts w:ascii="Calibri" w:cs="Calibri" w:eastAsia="Calibri" w:hAnsi="Calibri"/>
          <w:b w:val="false"/>
          <w:bCs w:val="false"/>
          <w:i w:val="false"/>
          <w:iCs w:val="false"/>
          <w:color w:val="111111"/>
          <w:sz w:val="22"/>
          <w:szCs w:val="22"/>
        </w:rPr>
        <w:t xml:space="preserve">The study accumulated 180.6 million tokens in final auditable files, with raw preserved and recomputable from the published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left"/>
            </w:pPr>
            <w:r>
              <w:rPr>
                <w:rFonts w:ascii="Calibri" w:cs="Calibri" w:eastAsia="Calibri" w:hAnsi="Calibri"/>
                <w:b/>
                <w:bCs/>
                <w:i w:val="false"/>
                <w:iCs w:val="false"/>
                <w:color w:val="111111"/>
                <w:sz w:val="20"/>
                <w:szCs w:val="20"/>
              </w:rPr>
              <w:t xml:space="preserve">Category</w:t>
            </w:r>
          </w:p>
        </w:tc>
        <w:tc>
          <w:tcPr>
            <w:tcW w:type="dxa" w:w="396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Tokens</w:t>
            </w:r>
          </w:p>
        </w:tc>
      </w:tr>
      <w:tr>
        <w:trPr>
          <w:tblHeader w:val="false"/>
        </w:trPr>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Auditable volume (raw preserved)</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180,590,521</w:t>
            </w:r>
          </w:p>
        </w:tc>
      </w:tr>
      <w:tr>
        <w:trPr>
          <w:tblHeader w:val="false"/>
        </w:trPr>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Tokens saved</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157,948,621</w:t>
            </w:r>
          </w:p>
        </w:tc>
      </w:tr>
      <w:tr>
        <w:trPr>
          <w:tblHeader w:val="false"/>
        </w:trPr>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Aggregate margin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87.46%</w:t>
            </w:r>
          </w:p>
        </w:tc>
      </w:tr>
      <w:tr>
        <w:trPr>
          <w:tblHeader w:val="false"/>
        </w:trPr>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Auditable samples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9,609</w:t>
            </w:r>
          </w:p>
        </w:tc>
      </w:tr>
      <w:tr>
        <w:trPr>
          <w:tblHeader w:val="false"/>
        </w:trPr>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Distinct auditable runs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w:t>
            </w:r>
          </w:p>
        </w:tc>
      </w:tr>
    </w:tbl>
    <w:p>
      <w:pPr>
        <w:pageBreakBefore/>
      </w:pPr>
      <w:r>
        <w:t xml:space="preserve"/>
      </w:r>
    </w:p>
    <w:p>
      <w:pPr>
        <w:spacing w:after="80" w:before="0"/>
      </w:pPr>
      <w:r>
        <w:rPr>
          <w:rFonts w:ascii="Calibri" w:cs="Calibri" w:eastAsia="Calibri" w:hAnsi="Calibri"/>
          <w:b/>
          <w:bCs/>
          <w:color w:val="6B4FBB"/>
          <w:spacing w:val="60"/>
          <w:sz w:val="16"/>
          <w:szCs w:val="16"/>
        </w:rPr>
        <w:t xml:space="preserve">4</w:t>
      </w:r>
    </w:p>
    <w:p>
      <w:pPr>
        <w:pStyle w:val="Heading1"/>
        <w:spacing w:after="180" w:before="360"/>
      </w:pPr>
      <w:r>
        <w:rPr>
          <w:rFonts w:ascii="Calibri" w:cs="Calibri" w:eastAsia="Calibri" w:hAnsi="Calibri"/>
          <w:b/>
          <w:bCs/>
          <w:color w:val="111111"/>
          <w:sz w:val="36"/>
          <w:szCs w:val="36"/>
        </w:rPr>
        <w:t xml:space="preserve">Results by run</w:t>
      </w:r>
    </w:p>
    <w:p>
      <w:pPr>
        <w:spacing w:after="100" w:before="0" w:line="300"/>
        <w:jc w:val="left"/>
      </w:pPr>
      <w:r>
        <w:rPr>
          <w:rFonts w:ascii="Calibri" w:cs="Calibri" w:eastAsia="Calibri" w:hAnsi="Calibri"/>
          <w:b w:val="false"/>
          <w:bCs w:val="false"/>
          <w:i w:val="false"/>
          <w:iCs w:val="false"/>
          <w:color w:val="111111"/>
          <w:sz w:val="22"/>
          <w:szCs w:val="22"/>
        </w:rPr>
        <w:t xml:space="preserve">The nine auditable runs cover distinct conditions: synthetic rounds to measure behavior by size, runs weighted by usage profile, and two runs on real inputs (full code corpus and deterministic file selection in the typical production hook regime).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100"/>
        <w:gridCol w:w="1700"/>
        <w:gridCol w:w="1700"/>
        <w:gridCol w:w="960"/>
      </w:tblGrid>
      <w:tr>
        <w:trPr>
          <w:tblHeader/>
        </w:trPr>
        <w:tc>
          <w:tcPr>
            <w:tcW w:type="dxa" w:w="24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left"/>
            </w:pPr>
            <w:r>
              <w:rPr>
                <w:rFonts w:ascii="Calibri" w:cs="Calibri" w:eastAsia="Calibri" w:hAnsi="Calibri"/>
                <w:b/>
                <w:bCs/>
                <w:i w:val="false"/>
                <w:iCs w:val="false"/>
                <w:color w:val="111111"/>
                <w:sz w:val="20"/>
                <w:szCs w:val="20"/>
              </w:rPr>
              <w:t xml:space="preserve">Run</w:t>
            </w:r>
          </w:p>
        </w:tc>
        <w:tc>
          <w:tcPr>
            <w:tcW w:type="dxa" w:w="15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Nature</w:t>
            </w:r>
          </w:p>
        </w:tc>
        <w:tc>
          <w:tcPr>
            <w:tcW w:type="dxa" w:w="11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Samples</w:t>
            </w:r>
          </w:p>
        </w:tc>
        <w:tc>
          <w:tcPr>
            <w:tcW w:type="dxa" w:w="17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Processed</w:t>
            </w:r>
          </w:p>
        </w:tc>
        <w:tc>
          <w:tcPr>
            <w:tcW w:type="dxa" w:w="17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Saved</w:t>
            </w:r>
          </w:p>
        </w:tc>
        <w:tc>
          <w:tcPr>
            <w:tcW w:type="dxa" w:w="96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Margin</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1st round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synthetic</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328</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13,199,012</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10,989,734</w:t>
            </w:r>
          </w:p>
        </w:tc>
        <w:tc>
          <w:tcPr>
            <w:tcW w:type="dxa" w:w="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83.3%</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Round 20 (large)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synthetic</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30</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9,937,774</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8,372,141</w:t>
            </w:r>
          </w:p>
        </w:tc>
        <w:tc>
          <w:tcPr>
            <w:tcW w:type="dxa" w:w="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84.2%</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Large (XS→XXL)</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synthetic</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400</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65,735,723</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55,159,910</w:t>
            </w:r>
          </w:p>
        </w:tc>
        <w:tc>
          <w:tcPr>
            <w:tcW w:type="dxa" w:w="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83.9%</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Backend (paid)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synthetic</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18</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201,900</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187,311</w:t>
            </w:r>
          </w:p>
        </w:tc>
        <w:tc>
          <w:tcPr>
            <w:tcW w:type="dxa" w:w="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92.8%</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Round 2 RAG/LLM</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synthetic</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707</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25,002,115</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23,773,243</w:t>
            </w:r>
          </w:p>
        </w:tc>
        <w:tc>
          <w:tcPr>
            <w:tcW w:type="dxa" w:w="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95.1%</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Programmer profile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synthetic</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71</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20,015,443</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17,137,803</w:t>
            </w:r>
          </w:p>
        </w:tc>
        <w:tc>
          <w:tcPr>
            <w:tcW w:type="dxa" w:w="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85.6%</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RAG/LLM profile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synthetic</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980</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33,302,498</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31,774,571</w:t>
            </w:r>
          </w:p>
        </w:tc>
        <w:tc>
          <w:tcPr>
            <w:tcW w:type="dxa" w:w="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95.4%</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Typical hook (top-40)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real</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40</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268,039</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255,166</w:t>
            </w:r>
          </w:p>
        </w:tc>
        <w:tc>
          <w:tcPr>
            <w:tcW w:type="dxa" w:w="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95.2%</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Real code (full corpus)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real</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7,035</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12,928,017</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10,298,742</w:t>
            </w:r>
          </w:p>
        </w:tc>
        <w:tc>
          <w:tcPr>
            <w:tcW w:type="dxa" w:w="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79.7%</w:t>
            </w:r>
          </w:p>
        </w:tc>
      </w:tr>
      <w:tr>
        <w:trPr>
          <w:tblHeader w:val="false"/>
        </w:trPr>
        <w:tc>
          <w:tcPr>
            <w:tcW w:type="dxa" w:w="240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left"/>
            </w:pPr>
            <w:r>
              <w:rPr>
                <w:rFonts w:ascii="Calibri" w:cs="Calibri" w:eastAsia="Calibri" w:hAnsi="Calibri"/>
                <w:b/>
                <w:bCs/>
                <w:i w:val="false"/>
                <w:iCs w:val="false"/>
                <w:color w:val="111111"/>
                <w:sz w:val="20"/>
                <w:szCs w:val="20"/>
              </w:rPr>
              <w:t xml:space="preserve">TOTAL auditable</w:t>
            </w:r>
          </w:p>
        </w:tc>
        <w:tc>
          <w:tcPr>
            <w:tcW w:type="dxa" w:w="150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w:t>
            </w:r>
          </w:p>
        </w:tc>
        <w:tc>
          <w:tcPr>
            <w:tcW w:type="dxa" w:w="110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9,609</w:t>
            </w:r>
          </w:p>
        </w:tc>
        <w:tc>
          <w:tcPr>
            <w:tcW w:type="dxa" w:w="170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180,590,521</w:t>
            </w:r>
          </w:p>
        </w:tc>
        <w:tc>
          <w:tcPr>
            <w:tcW w:type="dxa" w:w="170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157,948,621</w:t>
            </w:r>
          </w:p>
        </w:tc>
        <w:tc>
          <w:tcPr>
            <w:tcW w:type="dxa" w:w="96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87.46%</w:t>
            </w:r>
          </w:p>
        </w:tc>
      </w:tr>
    </w:tbl>
    <w:p>
      <w:pPr>
        <w:pStyle w:val="Heading1"/>
        <w:spacing w:after="180" w:before="360"/>
      </w:pPr>
      <w:r>
        <w:rPr>
          <w:rFonts w:ascii="Calibri" w:cs="Calibri" w:eastAsia="Calibri" w:hAnsi="Calibri"/>
          <w:b/>
          <w:bCs/>
          <w:color w:val="111111"/>
          <w:sz w:val="36"/>
          <w:szCs w:val="36"/>
        </w:rPr>
        <w:t xml:space="preserve">Results by capsule</w:t>
      </w:r>
    </w:p>
    <w:p>
      <w:pPr>
        <w:spacing w:after="100" w:before="0" w:line="300"/>
        <w:jc w:val="left"/>
      </w:pPr>
      <w:r>
        <w:rPr>
          <w:rFonts w:ascii="Calibri" w:cs="Calibri" w:eastAsia="Calibri" w:hAnsi="Calibri"/>
          <w:b w:val="false"/>
          <w:bCs w:val="false"/>
          <w:i w:val="false"/>
          <w:iCs w:val="false"/>
          <w:color w:val="111111"/>
          <w:sz w:val="22"/>
          <w:szCs w:val="22"/>
        </w:rPr>
        <w:t xml:space="preserve">Ordered by aggregate margin (all runs combined). Each capsule is specialized in a type of context; the study reports how much each one reduces the input it receives, under the conditions described in the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1500"/>
        <w:gridCol w:w="1360"/>
      </w:tblGrid>
      <w:tr>
        <w:trPr>
          <w:tblHeader/>
        </w:trPr>
        <w:tc>
          <w:tcPr>
            <w:tcW w:type="dxa" w:w="15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left"/>
            </w:pPr>
            <w:r>
              <w:rPr>
                <w:rFonts w:ascii="Calibri" w:cs="Calibri" w:eastAsia="Calibri" w:hAnsi="Calibri"/>
                <w:b/>
                <w:bCs/>
                <w:i w:val="false"/>
                <w:iCs w:val="false"/>
                <w:color w:val="111111"/>
                <w:sz w:val="20"/>
                <w:szCs w:val="20"/>
              </w:rPr>
              <w:t xml:space="preserve">Capsule</w:t>
            </w:r>
          </w:p>
        </w:tc>
        <w:tc>
          <w:tcPr>
            <w:tcW w:type="dxa" w:w="25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Processed</w:t>
            </w:r>
          </w:p>
        </w:tc>
        <w:tc>
          <w:tcPr>
            <w:tcW w:type="dxa" w:w="25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Saved</w:t>
            </w:r>
          </w:p>
        </w:tc>
        <w:tc>
          <w:tcPr>
            <w:tcW w:type="dxa" w:w="15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Margin</w:t>
            </w:r>
          </w:p>
        </w:tc>
        <w:tc>
          <w:tcPr>
            <w:tcW w:type="dxa" w:w="136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Tier</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prompt</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18,572,902</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18,549,066</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99.9%</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algo</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api</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17,390,635</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17,345,067</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99.7%</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algo</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log</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19,759,122</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19,602,583</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99.2%</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algo</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build</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12,557,633</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12,431,061</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99.0%</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algo</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network</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9,744,086</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9,644,677</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99.0%</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algo</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threads</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3,211,116</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3,173,167</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98.8%</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LLM</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events</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3,209,487</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3,161,752</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98.5%</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LLM</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stack</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2,426,010</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2,383,844</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98.3%</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LLM</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session</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3,901,389</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3,825,574</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98.1%</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LLM</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sql</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2,420,917</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2,330,674</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96.3%</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LLM</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rag</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9,280,704</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8,861,809</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95.5%</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LLM</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test</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12,504,751</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10,978,693</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87.8%</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algo</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apispec</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9,454,056</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8,100,874</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85.7%</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algo</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codebase *</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19,705,591</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14,468,142</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73.4% *</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algo</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diff</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23,141,203</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16,595,435</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71.7%</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algo</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pdf</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2,743,205</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1,705,988</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62.2%</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LLM</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schema</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10,562,316</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4,786,014</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45.3%</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algo</w:t>
            </w:r>
          </w:p>
        </w:tc>
      </w:tr>
      <w:tr>
        <w:trPr>
          <w:tblHeader w:val="false"/>
        </w:trPr>
        <w:tc>
          <w:tcPr>
            <w:tcW w:type="dxa" w:w="150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left"/>
            </w:pPr>
            <w:r>
              <w:rPr>
                <w:rFonts w:ascii="Calibri" w:cs="Calibri" w:eastAsia="Calibri" w:hAnsi="Calibri"/>
                <w:b/>
                <w:bCs/>
                <w:i w:val="false"/>
                <w:iCs w:val="false"/>
                <w:color w:val="111111"/>
                <w:sz w:val="20"/>
                <w:szCs w:val="20"/>
              </w:rPr>
              <w:t xml:space="preserve">TOTAL</w:t>
            </w:r>
          </w:p>
        </w:tc>
        <w:tc>
          <w:tcPr>
            <w:tcW w:type="dxa" w:w="250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180,585,123</w:t>
            </w:r>
          </w:p>
        </w:tc>
        <w:tc>
          <w:tcPr>
            <w:tcW w:type="dxa" w:w="250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157,944,420</w:t>
            </w:r>
          </w:p>
        </w:tc>
        <w:tc>
          <w:tcPr>
            <w:tcW w:type="dxa" w:w="150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87.46%</w:t>
            </w:r>
          </w:p>
        </w:tc>
        <w:tc>
          <w:tcPr>
            <w:tcW w:type="dxa" w:w="136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w:t>
            </w:r>
          </w:p>
        </w:tc>
      </w:tr>
    </w:tbl>
    <w:p>
      <w:pPr>
        <w:spacing w:after="80" w:before="0"/>
      </w:pPr>
      <w:r>
        <w:t xml:space="preserve"/>
      </w:r>
    </w:p>
    <w:p>
      <w:pPr>
        <w:spacing w:after="100" w:before="0" w:line="300"/>
        <w:jc w:val="left"/>
      </w:pPr>
      <w:r>
        <w:rPr>
          <w:rFonts w:ascii="Calibri" w:cs="Calibri" w:eastAsia="Calibri" w:hAnsi="Calibri"/>
          <w:b w:val="false"/>
          <w:bCs w:val="false"/>
          <w:i/>
          <w:iCs/>
          <w:color w:val="555555"/>
          <w:sz w:val="18"/>
          <w:szCs w:val="18"/>
        </w:rPr>
        <w:t xml:space="preserve">* Aggregate value dominated by synthetic inputs. In real use, with a reproducible sampling criterion, the codebase capsule shows significantly higher token-weighted margin (see §7 and appendix).</w:t>
      </w:r>
    </w:p>
    <w:p>
      <w:pPr>
        <w:spacing w:after="120" w:before="0"/>
      </w:pPr>
      <w:r>
        <w:t xml:space="preserve"/>
      </w:r>
    </w:p>
    <w:p>
      <w:pPr>
        <w:spacing w:after="100" w:before="0" w:line="300"/>
        <w:jc w:val="left"/>
      </w:pPr>
      <w:r>
        <w:rPr>
          <w:rFonts w:ascii="Calibri" w:cs="Calibri" w:eastAsia="Calibri" w:hAnsi="Calibri"/>
          <w:b w:val="false"/>
          <w:bCs w:val="false"/>
          <w:i w:val="false"/>
          <w:iCs w:val="false"/>
          <w:color w:val="111111"/>
          <w:sz w:val="22"/>
          <w:szCs w:val="22"/>
        </w:rPr>
        <w:t xml:space="preserve">Eleven of the seventeen capsules operate at margin equal to or greater than 95%. The capsules with lower margin correspond to input types with high informational density — where each element is signal and there is no significant redundancy to discard without loss. These cases are explored in section 7 (synthetic versus real) and section 11 (method limits).</w:t>
      </w:r>
    </w:p>
    <w:p>
      <w:pPr>
        <w:pageBreakBefore/>
      </w:pPr>
      <w:r>
        <w:t xml:space="preserve"/>
      </w:r>
    </w:p>
    <w:p>
      <w:pPr>
        <w:spacing w:after="80" w:before="0"/>
      </w:pPr>
      <w:r>
        <w:rPr>
          <w:rFonts w:ascii="Calibri" w:cs="Calibri" w:eastAsia="Calibri" w:hAnsi="Calibri"/>
          <w:b/>
          <w:bCs/>
          <w:color w:val="6B4FBB"/>
          <w:spacing w:val="60"/>
          <w:sz w:val="16"/>
          <w:szCs w:val="16"/>
        </w:rPr>
        <w:t xml:space="preserve">6</w:t>
      </w:r>
    </w:p>
    <w:p>
      <w:pPr>
        <w:pStyle w:val="Heading1"/>
        <w:spacing w:after="180" w:before="360"/>
      </w:pPr>
      <w:r>
        <w:rPr>
          <w:rFonts w:ascii="Calibri" w:cs="Calibri" w:eastAsia="Calibri" w:hAnsi="Calibri"/>
          <w:b/>
          <w:bCs/>
          <w:color w:val="111111"/>
          <w:sz w:val="36"/>
          <w:szCs w:val="36"/>
        </w:rPr>
        <w:t xml:space="preserve">Scaling curves</w:t>
      </w:r>
    </w:p>
    <w:p>
      <w:pPr>
        <w:spacing w:after="100" w:before="0" w:line="300"/>
        <w:jc w:val="left"/>
      </w:pPr>
      <w:r>
        <w:rPr>
          <w:rFonts w:ascii="Calibri" w:cs="Calibri" w:eastAsia="Calibri" w:hAnsi="Calibri"/>
          <w:b w:val="false"/>
          <w:bCs w:val="false"/>
          <w:i w:val="false"/>
          <w:iCs w:val="false"/>
          <w:color w:val="111111"/>
          <w:sz w:val="22"/>
          <w:szCs w:val="22"/>
        </w:rPr>
        <w:t xml:space="preserve">The large run executed the algorithmic capsules across six size buckets: XS (~2 thousand tokens), S (~16 thousand), M (~160 thousand), L (~800 thousand), XL (~1.2 million), and XXL (~4 million). The data below show the median (p50) per bucket. The behavior splits into two families.</w:t>
      </w:r>
    </w:p>
    <w:p>
      <w:pPr>
        <w:pStyle w:val="Heading2"/>
        <w:spacing w:after="140" w:before="280"/>
      </w:pPr>
      <w:r>
        <w:rPr>
          <w:rFonts w:ascii="Calibri" w:cs="Calibri" w:eastAsia="Calibri" w:hAnsi="Calibri"/>
          <w:b/>
          <w:bCs/>
          <w:color w:val="111111"/>
          <w:sz w:val="30"/>
          <w:szCs w:val="30"/>
        </w:rPr>
        <w:t xml:space="preserve">6.1 Capsules that scale with size</w:t>
      </w:r>
    </w:p>
    <w:p>
      <w:pPr>
        <w:spacing w:after="100" w:before="0" w:line="300"/>
        <w:jc w:val="left"/>
      </w:pPr>
      <w:r>
        <w:rPr>
          <w:rFonts w:ascii="Calibri" w:cs="Calibri" w:eastAsia="Calibri" w:hAnsi="Calibri"/>
          <w:b w:val="false"/>
          <w:bCs w:val="false"/>
          <w:i w:val="false"/>
          <w:iCs w:val="false"/>
          <w:color w:val="111111"/>
          <w:sz w:val="22"/>
          <w:szCs w:val="22"/>
        </w:rPr>
        <w:t xml:space="preserve">In this family, the output tends toward an approximately constant size as the input grows; the compression ratio rises.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1300"/>
        <w:gridCol w:w="1560"/>
      </w:tblGrid>
      <w:tr>
        <w:trPr>
          <w:tblHeader/>
        </w:trPr>
        <w:tc>
          <w:tcPr>
            <w:tcW w:type="dxa" w:w="13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left"/>
            </w:pPr>
            <w:r>
              <w:rPr>
                <w:rFonts w:ascii="Calibri" w:cs="Calibri" w:eastAsia="Calibri" w:hAnsi="Calibri"/>
                <w:b/>
                <w:bCs/>
                <w:i w:val="false"/>
                <w:iCs w:val="false"/>
                <w:color w:val="111111"/>
                <w:sz w:val="20"/>
                <w:szCs w:val="20"/>
              </w:rPr>
              <w:t xml:space="preserve">Capsule</w:t>
            </w:r>
          </w:p>
        </w:tc>
        <w:tc>
          <w:tcPr>
            <w:tcW w:type="dxa" w:w="13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XS</w:t>
            </w:r>
          </w:p>
        </w:tc>
        <w:tc>
          <w:tcPr>
            <w:tcW w:type="dxa" w:w="13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S</w:t>
            </w:r>
          </w:p>
        </w:tc>
        <w:tc>
          <w:tcPr>
            <w:tcW w:type="dxa" w:w="13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M</w:t>
            </w:r>
          </w:p>
        </w:tc>
        <w:tc>
          <w:tcPr>
            <w:tcW w:type="dxa" w:w="13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L</w:t>
            </w:r>
          </w:p>
        </w:tc>
        <w:tc>
          <w:tcPr>
            <w:tcW w:type="dxa" w:w="13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XL</w:t>
            </w:r>
          </w:p>
        </w:tc>
        <w:tc>
          <w:tcPr>
            <w:tcW w:type="dxa" w:w="156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XXL</w:t>
            </w:r>
          </w:p>
        </w:tc>
      </w:tr>
      <w:tr>
        <w:trPr>
          <w:tblHeader w:val="false"/>
        </w:trP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prompt</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1.7×</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7.0×</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69.3×</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340.2×</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1,007.3×</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3,345.6×</w:t>
            </w:r>
          </w:p>
        </w:tc>
      </w:tr>
      <w:tr>
        <w:trPr>
          <w:tblHeader w:val="false"/>
        </w:trP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api</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8.2×</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8.2×</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40.8×</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187.9×</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549.5×</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1,827.7×</w:t>
            </w:r>
          </w:p>
        </w:tc>
      </w:tr>
      <w:tr>
        <w:trPr>
          <w:tblHeader w:val="false"/>
        </w:trP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network</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4.1×</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4.0×</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16.5×</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70.1×</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205.1×</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682.8×</w:t>
            </w:r>
          </w:p>
        </w:tc>
      </w:tr>
      <w:tr>
        <w:trPr>
          <w:tblHeader w:val="false"/>
        </w:trP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build</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2.8×</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4.3×</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8.6×</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43.1×</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130.8×</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445.6×</w:t>
            </w:r>
          </w:p>
        </w:tc>
      </w:tr>
      <w:tr>
        <w:trPr>
          <w:tblHeader w:val="false"/>
        </w:trP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log</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1.0×</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2.9×</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10.1×</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36.7×</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108.5×</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368.9×</w:t>
            </w:r>
          </w:p>
        </w:tc>
      </w:tr>
    </w:tbl>
    <w:p>
      <w:pPr>
        <w:pStyle w:val="Heading2"/>
        <w:spacing w:after="140" w:before="280"/>
      </w:pPr>
      <w:r>
        <w:rPr>
          <w:rFonts w:ascii="Calibri" w:cs="Calibri" w:eastAsia="Calibri" w:hAnsi="Calibri"/>
          <w:b/>
          <w:bCs/>
          <w:color w:val="111111"/>
          <w:sz w:val="30"/>
          <w:szCs w:val="30"/>
        </w:rPr>
        <w:t xml:space="preserve">6.2 Plateau capsules</w:t>
      </w:r>
    </w:p>
    <w:p>
      <w:pPr>
        <w:spacing w:after="100" w:before="0" w:line="300"/>
        <w:jc w:val="left"/>
      </w:pPr>
      <w:r>
        <w:rPr>
          <w:rFonts w:ascii="Calibri" w:cs="Calibri" w:eastAsia="Calibri" w:hAnsi="Calibri"/>
          <w:b w:val="false"/>
          <w:bCs w:val="false"/>
          <w:i w:val="false"/>
          <w:iCs w:val="false"/>
          <w:color w:val="111111"/>
          <w:sz w:val="22"/>
          <w:szCs w:val="22"/>
        </w:rPr>
        <w:t xml:space="preserve">In this family, the ratio stabilizes at a technical ceiling of the type. The input contains non-redundant signal; more input means more preserved signal, not more redundancy to discard.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1300"/>
        <w:gridCol w:w="1560"/>
      </w:tblGrid>
      <w:tr>
        <w:trPr>
          <w:tblHeader/>
        </w:trPr>
        <w:tc>
          <w:tcPr>
            <w:tcW w:type="dxa" w:w="13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left"/>
            </w:pPr>
            <w:r>
              <w:rPr>
                <w:rFonts w:ascii="Calibri" w:cs="Calibri" w:eastAsia="Calibri" w:hAnsi="Calibri"/>
                <w:b/>
                <w:bCs/>
                <w:i w:val="false"/>
                <w:iCs w:val="false"/>
                <w:color w:val="111111"/>
                <w:sz w:val="20"/>
                <w:szCs w:val="20"/>
              </w:rPr>
              <w:t xml:space="preserve">Capsule</w:t>
            </w:r>
          </w:p>
        </w:tc>
        <w:tc>
          <w:tcPr>
            <w:tcW w:type="dxa" w:w="13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XS</w:t>
            </w:r>
          </w:p>
        </w:tc>
        <w:tc>
          <w:tcPr>
            <w:tcW w:type="dxa" w:w="13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S</w:t>
            </w:r>
          </w:p>
        </w:tc>
        <w:tc>
          <w:tcPr>
            <w:tcW w:type="dxa" w:w="13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M</w:t>
            </w:r>
          </w:p>
        </w:tc>
        <w:tc>
          <w:tcPr>
            <w:tcW w:type="dxa" w:w="13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L</w:t>
            </w:r>
          </w:p>
        </w:tc>
        <w:tc>
          <w:tcPr>
            <w:tcW w:type="dxa" w:w="13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XL</w:t>
            </w:r>
          </w:p>
        </w:tc>
        <w:tc>
          <w:tcPr>
            <w:tcW w:type="dxa" w:w="156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XXL</w:t>
            </w:r>
          </w:p>
        </w:tc>
      </w:tr>
      <w:tr>
        <w:trPr>
          <w:tblHeader w:val="false"/>
        </w:trP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test</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4.0×</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5.2×</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7.5×</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8.1×</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8.1×</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8.3×</w:t>
            </w:r>
          </w:p>
        </w:tc>
      </w:tr>
      <w:tr>
        <w:trPr>
          <w:tblHeader w:val="false"/>
        </w:trP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apispec</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4.6×</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6.2×</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7.1×</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7.1×</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7.1×</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6.8×</w:t>
            </w:r>
          </w:p>
        </w:tc>
      </w:tr>
      <w:tr>
        <w:trPr>
          <w:tblHeader w:val="false"/>
        </w:trP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codebase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1.9×</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2.7×</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3.1×</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3.2×</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3.2×</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3.2×</w:t>
            </w:r>
          </w:p>
        </w:tc>
      </w:tr>
      <w:tr>
        <w:trPr>
          <w:tblHeader w:val="false"/>
        </w:trP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diff</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1.1×</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2.7×</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2.8×</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3.1×</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3.0×</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3.1×</w:t>
            </w:r>
          </w:p>
        </w:tc>
      </w:tr>
      <w:tr>
        <w:trPr>
          <w:tblHeader w:val="false"/>
        </w:trP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schema</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1.8×</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1.8×</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1.7×</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1.7×</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1.7×</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1.8×</w:t>
            </w:r>
          </w:p>
        </w:tc>
      </w:tr>
    </w:tbl>
    <w:p>
      <w:pPr>
        <w:pageBreakBefore/>
      </w:pPr>
      <w:r>
        <w:t xml:space="preserve"/>
      </w:r>
    </w:p>
    <w:p>
      <w:pPr>
        <w:spacing w:after="80" w:before="0"/>
      </w:pPr>
      <w:r>
        <w:rPr>
          <w:rFonts w:ascii="Calibri" w:cs="Calibri" w:eastAsia="Calibri" w:hAnsi="Calibri"/>
          <w:b/>
          <w:bCs/>
          <w:color w:val="6B4FBB"/>
          <w:spacing w:val="60"/>
          <w:sz w:val="16"/>
          <w:szCs w:val="16"/>
        </w:rPr>
        <w:t xml:space="preserve">7</w:t>
      </w:r>
    </w:p>
    <w:p>
      <w:pPr>
        <w:pStyle w:val="Heading1"/>
        <w:spacing w:after="180" w:before="360"/>
      </w:pPr>
      <w:r>
        <w:rPr>
          <w:rFonts w:ascii="Calibri" w:cs="Calibri" w:eastAsia="Calibri" w:hAnsi="Calibri"/>
          <w:b/>
          <w:bCs/>
          <w:color w:val="111111"/>
          <w:sz w:val="36"/>
          <w:szCs w:val="36"/>
        </w:rPr>
        <w:t xml:space="preserve">Synthetic versus real</w:t>
      </w:r>
    </w:p>
    <w:p>
      <w:pPr>
        <w:spacing w:after="100" w:before="0" w:line="300"/>
        <w:jc w:val="left"/>
      </w:pPr>
      <w:r>
        <w:rPr>
          <w:rFonts w:ascii="Calibri" w:cs="Calibri" w:eastAsia="Calibri" w:hAnsi="Calibri"/>
          <w:b w:val="false"/>
          <w:bCs w:val="false"/>
          <w:i w:val="false"/>
          <w:iCs w:val="false"/>
          <w:color w:val="111111"/>
          <w:sz w:val="22"/>
          <w:szCs w:val="22"/>
        </w:rPr>
        <w:t xml:space="preserve">Most of the volume was processed on seeded synthetic inputs. The choice is deliberate: it guarantees bit-for-bit reproducibility and exposes the engine to the worst case, with high entropy. Real inputs, carrying natural redundancy, consistently compress more.</w:t>
      </w:r>
    </w:p>
    <w:p>
      <w:pPr>
        <w:spacing w:after="100" w:before="0" w:line="300"/>
        <w:jc w:val="left"/>
      </w:pPr>
      <w:r>
        <w:rPr>
          <w:rFonts w:ascii="Calibri" w:cs="Calibri" w:eastAsia="Calibri" w:hAnsi="Calibri"/>
          <w:b w:val="false"/>
          <w:bCs w:val="false"/>
          <w:i w:val="false"/>
          <w:iCs w:val="false"/>
          <w:color w:val="111111"/>
          <w:sz w:val="22"/>
          <w:szCs w:val="22"/>
        </w:rPr>
        <w:t xml:space="preserve">Where direct comparison with real data is available, the pattern is consistent: capsules already at high margin remain where they are (they are already at the ceiling); structural plateau capsules climb.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700"/>
        <w:gridCol w:w="1900"/>
        <w:gridCol w:w="1460"/>
      </w:tblGrid>
      <w:tr>
        <w:trPr>
          <w:tblHeader/>
        </w:trPr>
        <w:tc>
          <w:tcPr>
            <w:tcW w:type="dxa" w:w="18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left"/>
            </w:pPr>
            <w:r>
              <w:rPr>
                <w:rFonts w:ascii="Calibri" w:cs="Calibri" w:eastAsia="Calibri" w:hAnsi="Calibri"/>
                <w:b/>
                <w:bCs/>
                <w:i w:val="false"/>
                <w:iCs w:val="false"/>
                <w:color w:val="111111"/>
                <w:sz w:val="20"/>
                <w:szCs w:val="20"/>
              </w:rPr>
              <w:t xml:space="preserve">Capsule</w:t>
            </w:r>
          </w:p>
        </w:tc>
        <w:tc>
          <w:tcPr>
            <w:tcW w:type="dxa" w:w="15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Synthetic</w:t>
            </w:r>
          </w:p>
        </w:tc>
        <w:tc>
          <w:tcPr>
            <w:tcW w:type="dxa" w:w="27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Real</w:t>
            </w:r>
          </w:p>
        </w:tc>
        <w:tc>
          <w:tcPr>
            <w:tcW w:type="dxa" w:w="19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Δ</w:t>
            </w:r>
          </w:p>
        </w:tc>
        <w:tc>
          <w:tcPr>
            <w:tcW w:type="dxa" w:w="146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Data type</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codebase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73.1%</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78.2% / 95.2% **</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+5 to +22 p.p.</w:t>
            </w:r>
          </w:p>
        </w:tc>
        <w:tc>
          <w:tcPr>
            <w:tcW w:type="dxa" w:w="1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structural</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diff</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71.7%</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~79%</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 p.p.</w:t>
            </w:r>
          </w:p>
        </w:tc>
        <w:tc>
          <w:tcPr>
            <w:tcW w:type="dxa" w:w="1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structural</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schema</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45.3%</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~67%</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+22 p.p.</w:t>
            </w:r>
          </w:p>
        </w:tc>
        <w:tc>
          <w:tcPr>
            <w:tcW w:type="dxa" w:w="1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structural</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log</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99.2%</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99.7%</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+0.5 p.p.</w:t>
            </w:r>
          </w:p>
        </w:tc>
        <w:tc>
          <w:tcPr>
            <w:tcW w:type="dxa" w:w="1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at ceiling</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build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99.0%</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99.5%</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+0.5 p.p.</w:t>
            </w:r>
          </w:p>
        </w:tc>
        <w:tc>
          <w:tcPr>
            <w:tcW w:type="dxa" w:w="1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at ceiling</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api</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99.7%</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99.9%</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+0.2 p.p.</w:t>
            </w:r>
          </w:p>
        </w:tc>
        <w:tc>
          <w:tcPr>
            <w:tcW w:type="dxa" w:w="1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at ceiling</w:t>
            </w:r>
          </w:p>
        </w:tc>
      </w:tr>
    </w:tbl>
    <w:p>
      <w:pPr>
        <w:spacing w:after="80" w:before="0"/>
      </w:pPr>
      <w:r>
        <w:t xml:space="preserve"/>
      </w:r>
    </w:p>
    <w:p>
      <w:pPr>
        <w:spacing w:after="100" w:before="0" w:line="300"/>
        <w:jc w:val="left"/>
      </w:pPr>
      <w:r>
        <w:rPr>
          <w:rFonts w:ascii="Calibri" w:cs="Calibri" w:eastAsia="Calibri" w:hAnsi="Calibri"/>
          <w:b w:val="false"/>
          <w:bCs w:val="false"/>
          <w:i/>
          <w:iCs/>
          <w:color w:val="555555"/>
          <w:sz w:val="18"/>
          <w:szCs w:val="18"/>
        </w:rPr>
        <w:t xml:space="preserve">** Codebase in real use: 78.2% on the full universe of 6,050 files (lower auditable bound) and 95.2% on the top-40 deterministically selected files (production hook regime, where medium and large files dominate real usage). Both numbers have raw published in the appendix and a reproducible criterion.</w:t>
      </w:r>
    </w:p>
    <w:p>
      <w:pPr>
        <w:spacing w:after="120" w:before="0"/>
      </w:pPr>
      <w:r>
        <w:t xml:space="preserve"/>
      </w:r>
    </w:p>
    <w:p>
      <w:pPr>
        <w:spacing w:after="100" w:before="0" w:line="300"/>
        <w:jc w:val="left"/>
      </w:pPr>
      <w:r>
        <w:rPr>
          <w:rFonts w:ascii="Calibri" w:cs="Calibri" w:eastAsia="Calibri" w:hAnsi="Calibri"/>
          <w:b w:val="false"/>
          <w:bCs w:val="false"/>
          <w:i w:val="false"/>
          <w:iCs w:val="false"/>
          <w:color w:val="111111"/>
          <w:sz w:val="22"/>
          <w:szCs w:val="22"/>
        </w:rPr>
        <w:t xml:space="preserve">The aggregate numbers published are, by construction, a floor. Production operation tends to show margins equal to or higher than those reported.</w:t>
      </w:r>
    </w:p>
    <w:p>
      <w:pPr>
        <w:pageBreakBefore/>
      </w:pPr>
      <w:r>
        <w:t xml:space="preserve"/>
      </w:r>
    </w:p>
    <w:p>
      <w:pPr>
        <w:spacing w:after="80" w:before="0"/>
      </w:pPr>
      <w:r>
        <w:rPr>
          <w:rFonts w:ascii="Calibri" w:cs="Calibri" w:eastAsia="Calibri" w:hAnsi="Calibri"/>
          <w:b/>
          <w:bCs/>
          <w:color w:val="6B4FBB"/>
          <w:spacing w:val="60"/>
          <w:sz w:val="16"/>
          <w:szCs w:val="16"/>
        </w:rPr>
        <w:t xml:space="preserve">8</w:t>
      </w:r>
    </w:p>
    <w:p>
      <w:pPr>
        <w:pStyle w:val="Heading1"/>
        <w:spacing w:after="180" w:before="360"/>
      </w:pPr>
      <w:r>
        <w:rPr>
          <w:rFonts w:ascii="Calibri" w:cs="Calibri" w:eastAsia="Calibri" w:hAnsi="Calibri"/>
          <w:b/>
          <w:bCs/>
          <w:color w:val="111111"/>
          <w:sz w:val="36"/>
          <w:szCs w:val="36"/>
        </w:rPr>
        <w:t xml:space="preserve">Weighted usage profiles</w:t>
      </w:r>
    </w:p>
    <w:p>
      <w:pPr>
        <w:spacing w:after="100" w:before="0" w:line="300"/>
        <w:jc w:val="left"/>
      </w:pPr>
      <w:r>
        <w:rPr>
          <w:rFonts w:ascii="Calibri" w:cs="Calibri" w:eastAsia="Calibri" w:hAnsi="Calibri"/>
          <w:b w:val="false"/>
          <w:bCs w:val="false"/>
          <w:i w:val="false"/>
          <w:iCs w:val="false"/>
          <w:color w:val="111111"/>
          <w:sz w:val="22"/>
          <w:szCs w:val="22"/>
        </w:rPr>
        <w:t xml:space="preserve">The aggregate margin across the 17 capsules treats each with uniform weight. In a real workload, some are triggered far more than others. The study presents two representative weighted profiles.</w:t>
      </w:r>
    </w:p>
    <w:p>
      <w:pPr>
        <w:pStyle w:val="Heading2"/>
        <w:spacing w:after="140" w:before="280"/>
      </w:pPr>
      <w:r>
        <w:rPr>
          <w:rFonts w:ascii="Calibri" w:cs="Calibri" w:eastAsia="Calibri" w:hAnsi="Calibri"/>
          <w:b/>
          <w:bCs/>
          <w:color w:val="111111"/>
          <w:sz w:val="30"/>
          <w:szCs w:val="30"/>
        </w:rPr>
        <w:t xml:space="preserve">8.1 Programmer profile</w:t>
      </w:r>
    </w:p>
    <w:p>
      <w:pPr>
        <w:spacing w:after="100" w:before="0" w:line="300"/>
        <w:jc w:val="left"/>
      </w:pPr>
      <w:r>
        <w:rPr>
          <w:rFonts w:ascii="Calibri" w:cs="Calibri" w:eastAsia="Calibri" w:hAnsi="Calibri"/>
          <w:b w:val="false"/>
          <w:bCs w:val="false"/>
          <w:i w:val="false"/>
          <w:iCs w:val="false"/>
          <w:color w:val="111111"/>
          <w:sz w:val="22"/>
          <w:szCs w:val="22"/>
        </w:rPr>
        <w:t xml:space="preserve">Mixture dominated by code, with significant weight on codebase, diff, test, and log. Processed volume: 20,015,443 tokens. Token-weighted margin: 85.6% synthetic, ~92% in real use (with codebase in the typical production hook regime).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2200"/>
        <w:gridCol w:w="2200"/>
        <w:gridCol w:w="1060"/>
      </w:tblGrid>
      <w:tr>
        <w:trPr>
          <w:tblHeader/>
        </w:trPr>
        <w:tc>
          <w:tcPr>
            <w:tcW w:type="dxa" w:w="18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left"/>
            </w:pPr>
            <w:r>
              <w:rPr>
                <w:rFonts w:ascii="Calibri" w:cs="Calibri" w:eastAsia="Calibri" w:hAnsi="Calibri"/>
                <w:b/>
                <w:bCs/>
                <w:i w:val="false"/>
                <w:iCs w:val="false"/>
                <w:color w:val="111111"/>
                <w:sz w:val="20"/>
                <w:szCs w:val="20"/>
              </w:rPr>
              <w:t xml:space="preserve">Capsule</w:t>
            </w:r>
          </w:p>
        </w:tc>
        <w:tc>
          <w:tcPr>
            <w:tcW w:type="dxa" w:w="11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Weight</w:t>
            </w:r>
          </w:p>
        </w:tc>
        <w:tc>
          <w:tcPr>
            <w:tcW w:type="dxa" w:w="22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Processed</w:t>
            </w:r>
          </w:p>
        </w:tc>
        <w:tc>
          <w:tcPr>
            <w:tcW w:type="dxa" w:w="22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Saved</w:t>
            </w:r>
          </w:p>
        </w:tc>
        <w:tc>
          <w:tcPr>
            <w:tcW w:type="dxa" w:w="106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Margin</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codebase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18%</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4,096,588</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3,177,043</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77.6%</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diff</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13%</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2,833,411</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1,899,362</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67.0%</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test</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12%</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2,504,214</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2,198,278</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87.8%</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log</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2,400,189</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2,392,171</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99.7%</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build</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2,000,082</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1,991,052</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99.5%</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stack</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249,480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245,047</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98.2%</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api</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2,002,508</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2,001,409</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99.9%</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sql</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6%</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176,024</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169,267</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96.2%</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schema</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5%</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1,002,558</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452,733</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45.2%</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apispec</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876,943</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753,959</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86.0%</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network</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760,558</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756,151</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99.4%</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prompt</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1,000,246</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999,946</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100.0%</w:t>
            </w:r>
          </w:p>
        </w:tc>
      </w:tr>
      <w:tr>
        <w:trPr>
          <w:tblHeader w:val="false"/>
        </w:trPr>
        <w:tc>
          <w:tcPr>
            <w:tcW w:type="dxa" w:w="180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left"/>
            </w:pPr>
            <w:r>
              <w:rPr>
                <w:rFonts w:ascii="Calibri" w:cs="Calibri" w:eastAsia="Calibri" w:hAnsi="Calibri"/>
                <w:b/>
                <w:bCs/>
                <w:i w:val="false"/>
                <w:iCs w:val="false"/>
                <w:color w:val="111111"/>
                <w:sz w:val="20"/>
                <w:szCs w:val="20"/>
              </w:rPr>
              <w:t xml:space="preserve">TOTAL (full profile)</w:t>
            </w:r>
          </w:p>
        </w:tc>
        <w:tc>
          <w:tcPr>
            <w:tcW w:type="dxa" w:w="110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w:t>
            </w:r>
          </w:p>
        </w:tc>
        <w:tc>
          <w:tcPr>
            <w:tcW w:type="dxa" w:w="220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20,015,443</w:t>
            </w:r>
          </w:p>
        </w:tc>
        <w:tc>
          <w:tcPr>
            <w:tcW w:type="dxa" w:w="220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17,137,803</w:t>
            </w:r>
          </w:p>
        </w:tc>
        <w:tc>
          <w:tcPr>
            <w:tcW w:type="dxa" w:w="106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85.6%</w:t>
            </w:r>
          </w:p>
        </w:tc>
      </w:tr>
    </w:tbl>
    <w:p>
      <w:pPr>
        <w:pStyle w:val="Heading2"/>
        <w:spacing w:after="140" w:before="280"/>
      </w:pPr>
      <w:r>
        <w:rPr>
          <w:rFonts w:ascii="Calibri" w:cs="Calibri" w:eastAsia="Calibri" w:hAnsi="Calibri"/>
          <w:b/>
          <w:bCs/>
          <w:color w:val="111111"/>
          <w:sz w:val="30"/>
          <w:szCs w:val="30"/>
        </w:rPr>
        <w:t xml:space="preserve">8.2 RAG/LLM profile</w:t>
      </w:r>
    </w:p>
    <w:p>
      <w:pPr>
        <w:spacing w:after="100" w:before="0" w:line="300"/>
        <w:jc w:val="left"/>
      </w:pPr>
      <w:r>
        <w:rPr>
          <w:rFonts w:ascii="Calibri" w:cs="Calibri" w:eastAsia="Calibri" w:hAnsi="Calibri"/>
          <w:b w:val="false"/>
          <w:bCs w:val="false"/>
          <w:i w:val="false"/>
          <w:iCs w:val="false"/>
          <w:color w:val="111111"/>
          <w:sz w:val="22"/>
          <w:szCs w:val="22"/>
        </w:rPr>
        <w:t xml:space="preserve">Mixture dominated by semantic search and conversational contexts. Processed volume: 33,302,498 tokens. Token-weighted margin: 95.4% measured; ~96% in real use (codebase carries small weight in this profile).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2200"/>
        <w:gridCol w:w="2200"/>
        <w:gridCol w:w="1060"/>
      </w:tblGrid>
      <w:tr>
        <w:trPr>
          <w:tblHeader/>
        </w:trPr>
        <w:tc>
          <w:tcPr>
            <w:tcW w:type="dxa" w:w="18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left"/>
            </w:pPr>
            <w:r>
              <w:rPr>
                <w:rFonts w:ascii="Calibri" w:cs="Calibri" w:eastAsia="Calibri" w:hAnsi="Calibri"/>
                <w:b/>
                <w:bCs/>
                <w:i w:val="false"/>
                <w:iCs w:val="false"/>
                <w:color w:val="111111"/>
                <w:sz w:val="20"/>
                <w:szCs w:val="20"/>
              </w:rPr>
              <w:t xml:space="preserve">Capsule</w:t>
            </w:r>
          </w:p>
        </w:tc>
        <w:tc>
          <w:tcPr>
            <w:tcW w:type="dxa" w:w="11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Weight</w:t>
            </w:r>
          </w:p>
        </w:tc>
        <w:tc>
          <w:tcPr>
            <w:tcW w:type="dxa" w:w="22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Processed</w:t>
            </w:r>
          </w:p>
        </w:tc>
        <w:tc>
          <w:tcPr>
            <w:tcW w:type="dxa" w:w="22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Saved</w:t>
            </w:r>
          </w:p>
        </w:tc>
        <w:tc>
          <w:tcPr>
            <w:tcW w:type="dxa" w:w="106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Margin</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rag</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5,434,190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5,189,173</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95.5%</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log</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16%</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5,600,620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5,581,815</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99.7%</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prompt</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12%</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5,001,407</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4,999,914</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100.0%</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api</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4,005,237</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4,003,039</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99.9%</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session</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2,181,565</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2,138,461</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98.0%</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threads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1,906,452</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1,884,034</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98.8%</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events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6%</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1,634,296</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1,610,526</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98.5%</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pdf</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6%</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1,631,856</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1,012,551</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62.0%</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sql</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5%</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1,361,247</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1,311,271</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96.3%</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stack</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1,089,685</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1,070,897</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98.3%</w:t>
            </w:r>
          </w:p>
        </w:tc>
      </w:tr>
      <w:tr>
        <w:trPr>
          <w:tblHeader w:val="false"/>
        </w:trPr>
        <w:tc>
          <w:tcPr>
            <w:tcW w:type="dxa" w:w="180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left"/>
            </w:pPr>
            <w:r>
              <w:rPr>
                <w:rFonts w:ascii="Calibri" w:cs="Calibri" w:eastAsia="Calibri" w:hAnsi="Calibri"/>
                <w:b/>
                <w:bCs/>
                <w:i w:val="false"/>
                <w:iCs w:val="false"/>
                <w:color w:val="111111"/>
                <w:sz w:val="20"/>
                <w:szCs w:val="20"/>
              </w:rPr>
              <w:t xml:space="preserve">TOTAL (full profile)</w:t>
            </w:r>
          </w:p>
        </w:tc>
        <w:tc>
          <w:tcPr>
            <w:tcW w:type="dxa" w:w="110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w:t>
            </w:r>
          </w:p>
        </w:tc>
        <w:tc>
          <w:tcPr>
            <w:tcW w:type="dxa" w:w="220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33,302,498</w:t>
            </w:r>
          </w:p>
        </w:tc>
        <w:tc>
          <w:tcPr>
            <w:tcW w:type="dxa" w:w="220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31,774,571</w:t>
            </w:r>
          </w:p>
        </w:tc>
        <w:tc>
          <w:tcPr>
            <w:tcW w:type="dxa" w:w="106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95.4%</w:t>
            </w:r>
          </w:p>
        </w:tc>
      </w:tr>
    </w:tbl>
    <w:p>
      <w:pPr>
        <w:pageBreakBefore/>
      </w:pPr>
      <w:r>
        <w:t xml:space="preserve"/>
      </w:r>
    </w:p>
    <w:p>
      <w:pPr>
        <w:spacing w:after="80" w:before="0"/>
      </w:pPr>
      <w:r>
        <w:rPr>
          <w:rFonts w:ascii="Calibri" w:cs="Calibri" w:eastAsia="Calibri" w:hAnsi="Calibri"/>
          <w:b/>
          <w:bCs/>
          <w:color w:val="6B4FBB"/>
          <w:spacing w:val="60"/>
          <w:sz w:val="16"/>
          <w:szCs w:val="16"/>
        </w:rPr>
        <w:t xml:space="preserve">9</w:t>
      </w:r>
    </w:p>
    <w:p>
      <w:pPr>
        <w:pStyle w:val="Heading1"/>
        <w:spacing w:after="180" w:before="360"/>
      </w:pPr>
      <w:r>
        <w:rPr>
          <w:rFonts w:ascii="Calibri" w:cs="Calibri" w:eastAsia="Calibri" w:hAnsi="Calibri"/>
          <w:b/>
          <w:bCs/>
          <w:color w:val="111111"/>
          <w:sz w:val="36"/>
          <w:szCs w:val="36"/>
        </w:rPr>
        <w:t xml:space="preserve">Multimodal capabilities</w:t>
      </w:r>
    </w:p>
    <w:p>
      <w:pPr>
        <w:spacing w:after="100" w:before="0" w:line="300"/>
        <w:jc w:val="left"/>
      </w:pPr>
      <w:r>
        <w:rPr>
          <w:rFonts w:ascii="Calibri" w:cs="Calibri" w:eastAsia="Calibri" w:hAnsi="Calibri"/>
          <w:b w:val="false"/>
          <w:bCs w:val="false"/>
          <w:i w:val="false"/>
          <w:iCs w:val="false"/>
          <w:color w:val="111111"/>
          <w:sz w:val="22"/>
          <w:szCs w:val="22"/>
        </w:rPr>
        <w:t xml:space="preserve">Three multimodal capabilities translate media into dense textual context, allowing an agent to operate on a screenshot, a recording, or a call without spending vision tokens at every turn. They were validated in a real pipeline. The results below are operational validation and do not enter the aggregate volume of the text capsules.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860"/>
      </w:tblGrid>
      <w:tr>
        <w:trPr>
          <w:tblHeader/>
        </w:trPr>
        <w:tc>
          <w:tcPr>
            <w:tcW w:type="dxa" w:w="15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left"/>
            </w:pPr>
            <w:r>
              <w:rPr>
                <w:rFonts w:ascii="Calibri" w:cs="Calibri" w:eastAsia="Calibri" w:hAnsi="Calibri"/>
                <w:b/>
                <w:bCs/>
                <w:i w:val="false"/>
                <w:iCs w:val="false"/>
                <w:color w:val="111111"/>
                <w:sz w:val="20"/>
                <w:szCs w:val="20"/>
              </w:rPr>
              <w:t xml:space="preserve">Capability</w:t>
            </w:r>
          </w:p>
        </w:tc>
        <w:tc>
          <w:tcPr>
            <w:tcW w:type="dxa" w:w="15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Mode</w:t>
            </w:r>
          </w:p>
        </w:tc>
        <w:tc>
          <w:tcPr>
            <w:tcW w:type="dxa" w:w="15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Input</w:t>
            </w:r>
          </w:p>
        </w:tc>
        <w:tc>
          <w:tcPr>
            <w:tcW w:type="dxa" w:w="15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Output</w:t>
            </w:r>
          </w:p>
        </w:tc>
        <w:tc>
          <w:tcPr>
            <w:tcW w:type="dxa" w:w="15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Savings</w:t>
            </w:r>
          </w:p>
        </w:tc>
        <w:tc>
          <w:tcPr>
            <w:tcW w:type="dxa" w:w="186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Note</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image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describe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943 tok</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284 tok</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70%</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structured description</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image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ocr</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943 tok</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79 tok</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92%</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text extraction</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video</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3,330 tok</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652 tok</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80%</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validation clip</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meeting</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182 tok</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182 tok</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0%</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short sample (passthrough)</w:t>
            </w:r>
          </w:p>
        </w:tc>
      </w:tr>
    </w:tbl>
    <w:p>
      <w:pPr>
        <w:spacing w:after="120" w:before="0"/>
      </w:pPr>
      <w:r>
        <w:t xml:space="preserve"/>
      </w:r>
    </w:p>
    <w:p>
      <w:pPr>
        <w:spacing w:after="100" w:before="0" w:line="300"/>
        <w:jc w:val="left"/>
      </w:pPr>
      <w:r>
        <w:rPr>
          <w:rFonts w:ascii="Calibri" w:cs="Calibri" w:eastAsia="Calibri" w:hAnsi="Calibri"/>
          <w:b w:val="false"/>
          <w:bCs w:val="false"/>
          <w:i w:val="false"/>
          <w:iCs w:val="false"/>
          <w:color w:val="111111"/>
          <w:sz w:val="22"/>
          <w:szCs w:val="22"/>
        </w:rPr>
        <w:t xml:space="preserve">The meeting sample reflects the expected behavior on very short content: the passthrough rule preserves the transcript when the structured summary would be equal to or larger. The capability is designed for long content.</w:t>
      </w:r>
    </w:p>
    <w:p>
      <w:pPr>
        <w:pageBreakBefore/>
      </w:pPr>
      <w:r>
        <w:t xml:space="preserve"/>
      </w:r>
    </w:p>
    <w:p>
      <w:pPr>
        <w:spacing w:after="80" w:before="0"/>
      </w:pPr>
      <w:r>
        <w:rPr>
          <w:rFonts w:ascii="Calibri" w:cs="Calibri" w:eastAsia="Calibri" w:hAnsi="Calibri"/>
          <w:b/>
          <w:bCs/>
          <w:color w:val="6B4FBB"/>
          <w:spacing w:val="60"/>
          <w:sz w:val="16"/>
          <w:szCs w:val="16"/>
        </w:rPr>
        <w:t xml:space="preserve">10</w:t>
      </w:r>
    </w:p>
    <w:p>
      <w:pPr>
        <w:pStyle w:val="Heading1"/>
        <w:spacing w:after="180" w:before="360"/>
      </w:pPr>
      <w:r>
        <w:rPr>
          <w:rFonts w:ascii="Calibri" w:cs="Calibri" w:eastAsia="Calibri" w:hAnsi="Calibri"/>
          <w:b/>
          <w:bCs/>
          <w:color w:val="111111"/>
          <w:sz w:val="36"/>
          <w:szCs w:val="36"/>
        </w:rPr>
        <w:t xml:space="preserve">Methodological considerations</w:t>
      </w:r>
    </w:p>
    <w:p>
      <w:pPr>
        <w:spacing w:after="100" w:before="0" w:line="300"/>
        <w:jc w:val="left"/>
      </w:pPr>
      <w:r>
        <w:rPr>
          <w:rFonts w:ascii="Calibri" w:cs="Calibri" w:eastAsia="Calibri" w:hAnsi="Calibri"/>
          <w:b w:val="false"/>
          <w:bCs w:val="false"/>
          <w:i w:val="false"/>
          <w:iCs w:val="false"/>
          <w:color w:val="111111"/>
          <w:sz w:val="22"/>
          <w:szCs w:val="22"/>
        </w:rPr>
        <w:t xml:space="preserve">This section declares method choices relevant to audit. The points below affect the reading of the tables and are recorded explicitly.</w:t>
      </w:r>
    </w:p>
    <w:p>
      <w:pPr>
        <w:pStyle w:val="Heading2"/>
        <w:spacing w:after="140" w:before="280"/>
      </w:pPr>
      <w:r>
        <w:rPr>
          <w:rFonts w:ascii="Calibri" w:cs="Calibri" w:eastAsia="Calibri" w:hAnsi="Calibri"/>
          <w:b/>
          <w:bCs/>
          <w:color w:val="111111"/>
          <w:sz w:val="30"/>
          <w:szCs w:val="30"/>
        </w:rPr>
        <w:t xml:space="preserve">10.1 Tokenizer as declared proxy</w:t>
      </w:r>
    </w:p>
    <w:p>
      <w:pPr>
        <w:spacing w:after="100" w:before="0" w:line="300"/>
        <w:jc w:val="left"/>
      </w:pPr>
      <w:r>
        <w:rPr>
          <w:rFonts w:ascii="Calibri" w:cs="Calibri" w:eastAsia="Calibri" w:hAnsi="Calibri"/>
          <w:b w:val="false"/>
          <w:bCs w:val="false"/>
          <w:i w:val="false"/>
          <w:iCs w:val="false"/>
          <w:color w:val="111111"/>
          <w:sz w:val="22"/>
          <w:szCs w:val="22"/>
        </w:rPr>
        <w:t xml:space="preserve">All metrics use cl100k_base. Other vendors' tokenizers differ by a few percentage points in absolute counts. Because input and output are measured with the same ruler, the reported ratios are stable across tokenizers; absolute counts are reproducible proxy values.</w:t>
      </w:r>
    </w:p>
    <w:p>
      <w:pPr>
        <w:pStyle w:val="Heading2"/>
        <w:spacing w:after="140" w:before="280"/>
      </w:pPr>
      <w:r>
        <w:rPr>
          <w:rFonts w:ascii="Calibri" w:cs="Calibri" w:eastAsia="Calibri" w:hAnsi="Calibri"/>
          <w:b/>
          <w:bCs/>
          <w:color w:val="111111"/>
          <w:sz w:val="30"/>
          <w:szCs w:val="30"/>
        </w:rPr>
        <w:t xml:space="preserve">10.2 Variance in LLM-based capsules</w:t>
      </w:r>
    </w:p>
    <w:p>
      <w:pPr>
        <w:spacing w:after="100" w:before="0" w:line="300"/>
        <w:jc w:val="left"/>
      </w:pPr>
      <w:r>
        <w:rPr>
          <w:rFonts w:ascii="Calibri" w:cs="Calibri" w:eastAsia="Calibri" w:hAnsi="Calibri"/>
          <w:b w:val="false"/>
          <w:bCs w:val="false"/>
          <w:i w:val="false"/>
          <w:iCs w:val="false"/>
          <w:color w:val="111111"/>
          <w:sz w:val="22"/>
          <w:szCs w:val="22"/>
        </w:rPr>
        <w:t xml:space="preserve">The seven capsules based on language models operate at low temperature but are not bit-for-bit deterministic. The study reports N samples per configuration in each run (varies with the budgeted volume) and the p50 median of those samples. In runs with high N (≥ 50), p50 is stable; in runs with low N, it is indicative.</w:t>
      </w:r>
    </w:p>
    <w:p>
      <w:pPr>
        <w:pStyle w:val="Heading2"/>
        <w:spacing w:after="140" w:before="280"/>
      </w:pPr>
      <w:r>
        <w:rPr>
          <w:rFonts w:ascii="Calibri" w:cs="Calibri" w:eastAsia="Calibri" w:hAnsi="Calibri"/>
          <w:b/>
          <w:bCs/>
          <w:color w:val="111111"/>
          <w:sz w:val="30"/>
          <w:szCs w:val="30"/>
        </w:rPr>
        <w:t xml:space="preserve">10.3 Sample size in large buckets</w:t>
      </w:r>
    </w:p>
    <w:p>
      <w:pPr>
        <w:spacing w:after="100" w:before="0" w:line="300"/>
        <w:jc w:val="left"/>
      </w:pPr>
      <w:r>
        <w:rPr>
          <w:rFonts w:ascii="Calibri" w:cs="Calibri" w:eastAsia="Calibri" w:hAnsi="Calibri"/>
          <w:b w:val="false"/>
          <w:bCs w:val="false"/>
          <w:i w:val="false"/>
          <w:iCs w:val="false"/>
          <w:color w:val="111111"/>
          <w:sz w:val="22"/>
          <w:szCs w:val="22"/>
        </w:rPr>
        <w:t xml:space="preserve">The XL (~1.2M tokens per sample) and XXL (~4M tokens per sample) buckets contain four samples per capsule, against eight in smaller buckets. The choice is pragmatic — samples of this size cost significant time. The spread between p10 and p90 in these buckets is narrow, which keeps p50 stable despite the reduced N.</w:t>
      </w:r>
    </w:p>
    <w:p>
      <w:pPr>
        <w:pStyle w:val="Heading2"/>
        <w:spacing w:after="140" w:before="280"/>
      </w:pPr>
      <w:r>
        <w:rPr>
          <w:rFonts w:ascii="Calibri" w:cs="Calibri" w:eastAsia="Calibri" w:hAnsi="Calibri"/>
          <w:b/>
          <w:bCs/>
          <w:color w:val="111111"/>
          <w:sz w:val="30"/>
          <w:szCs w:val="30"/>
        </w:rPr>
        <w:t xml:space="preserve">10.4 Engine version</w:t>
      </w:r>
    </w:p>
    <w:p>
      <w:pPr>
        <w:spacing w:after="100" w:before="0" w:line="300"/>
        <w:jc w:val="left"/>
      </w:pPr>
      <w:r>
        <w:rPr>
          <w:rFonts w:ascii="Calibri" w:cs="Calibri" w:eastAsia="Calibri" w:hAnsi="Calibri"/>
          <w:b w:val="false"/>
          <w:bCs w:val="false"/>
          <w:i w:val="false"/>
          <w:iCs w:val="false"/>
          <w:color w:val="111111"/>
          <w:sz w:val="22"/>
          <w:szCs w:val="22"/>
        </w:rPr>
        <w:t xml:space="preserve">All numbers reported correspond to engine version 0.1.57, including robustness improvements incorporated during the audit cycle. Earlier measurements that did not reflect the behavior of this version were discarded and re-executed; the published raw corresponds to the final results.</w:t>
      </w:r>
    </w:p>
    <w:p>
      <w:pPr>
        <w:pStyle w:val="Heading2"/>
        <w:spacing w:after="140" w:before="280"/>
      </w:pPr>
      <w:r>
        <w:rPr>
          <w:rFonts w:ascii="Calibri" w:cs="Calibri" w:eastAsia="Calibri" w:hAnsi="Calibri"/>
          <w:b/>
          <w:bCs/>
          <w:color w:val="111111"/>
          <w:sz w:val="30"/>
          <w:szCs w:val="30"/>
        </w:rPr>
        <w:t xml:space="preserve">10.5 Internal conduct and reaudit</w:t>
      </w:r>
    </w:p>
    <w:p>
      <w:pPr>
        <w:spacing w:after="100" w:before="0" w:line="300"/>
        <w:jc w:val="left"/>
      </w:pPr>
      <w:r>
        <w:rPr>
          <w:rFonts w:ascii="Calibri" w:cs="Calibri" w:eastAsia="Calibri" w:hAnsi="Calibri"/>
          <w:b w:val="false"/>
          <w:bCs w:val="false"/>
          <w:i w:val="false"/>
          <w:iCs w:val="false"/>
          <w:color w:val="111111"/>
          <w:sz w:val="22"/>
          <w:szCs w:val="22"/>
        </w:rPr>
        <w:t xml:space="preserve">The study was conducted by the NUXS team. To allow independent third-party validation, all referenced raw files are published, and the method to recompute each metric is described in section 12.</w:t>
      </w:r>
    </w:p>
    <w:p>
      <w:pPr>
        <w:pStyle w:val="Heading2"/>
        <w:spacing w:after="140" w:before="280"/>
      </w:pPr>
      <w:r>
        <w:rPr>
          <w:rFonts w:ascii="Calibri" w:cs="Calibri" w:eastAsia="Calibri" w:hAnsi="Calibri"/>
          <w:b/>
          <w:bCs/>
          <w:color w:val="111111"/>
          <w:sz w:val="30"/>
          <w:szCs w:val="30"/>
        </w:rPr>
        <w:t xml:space="preserve">10.6 Sanitization of real inputs</w:t>
      </w:r>
    </w:p>
    <w:p>
      <w:pPr>
        <w:spacing w:after="100" w:before="0" w:line="300"/>
        <w:jc w:val="left"/>
      </w:pPr>
      <w:r>
        <w:rPr>
          <w:rFonts w:ascii="Calibri" w:cs="Calibri" w:eastAsia="Calibri" w:hAnsi="Calibri"/>
          <w:b w:val="false"/>
          <w:bCs w:val="false"/>
          <w:i w:val="false"/>
          <w:iCs w:val="false"/>
          <w:color w:val="111111"/>
          <w:sz w:val="22"/>
          <w:szCs w:val="22"/>
        </w:rPr>
        <w:t xml:space="preserve">Credentials, API tokens, secrets, and personally identifiable data were removed from the published raw of runs on real input. Local machine absolute paths were replaced with neutral identifiers. The metrics reported in the document were recomputed on the sanitized version of the raw to ensure consistency with what is public.</w:t>
      </w:r>
    </w:p>
    <w:p>
      <w:pPr>
        <w:pageBreakBefore/>
      </w:pPr>
      <w:r>
        <w:t xml:space="preserve"/>
      </w:r>
    </w:p>
    <w:p>
      <w:pPr>
        <w:spacing w:after="80" w:before="0"/>
      </w:pPr>
      <w:r>
        <w:rPr>
          <w:rFonts w:ascii="Calibri" w:cs="Calibri" w:eastAsia="Calibri" w:hAnsi="Calibri"/>
          <w:b/>
          <w:bCs/>
          <w:color w:val="6B4FBB"/>
          <w:spacing w:val="60"/>
          <w:sz w:val="16"/>
          <w:szCs w:val="16"/>
        </w:rPr>
        <w:t xml:space="preserve">11</w:t>
      </w:r>
    </w:p>
    <w:p>
      <w:pPr>
        <w:pStyle w:val="Heading1"/>
        <w:spacing w:after="180" w:before="360"/>
      </w:pPr>
      <w:r>
        <w:rPr>
          <w:rFonts w:ascii="Calibri" w:cs="Calibri" w:eastAsia="Calibri" w:hAnsi="Calibri"/>
          <w:b/>
          <w:bCs/>
          <w:color w:val="111111"/>
          <w:sz w:val="36"/>
          <w:szCs w:val="36"/>
        </w:rPr>
        <w:t xml:space="preserve">Method limits</w:t>
      </w:r>
    </w:p>
    <w:p>
      <w:pPr>
        <w:spacing w:after="100" w:before="0" w:line="300"/>
        <w:jc w:val="left"/>
      </w:pPr>
      <w:r>
        <w:rPr>
          <w:rFonts w:ascii="Calibri" w:cs="Calibri" w:eastAsia="Calibri" w:hAnsi="Calibri"/>
          <w:b w:val="false"/>
          <w:bCs w:val="false"/>
          <w:i w:val="false"/>
          <w:iCs w:val="false"/>
          <w:color w:val="111111"/>
          <w:sz w:val="22"/>
          <w:szCs w:val="22"/>
        </w:rPr>
        <w:t xml:space="preserve">NUXS compression is limited by data property in three recognized and documented situations. These are not engine deficiencies — they are technical ceilings of the input type.</w:t>
      </w:r>
    </w:p>
    <w:p>
      <w:pPr>
        <w:pStyle w:val="Heading2"/>
        <w:spacing w:after="140" w:before="280"/>
      </w:pPr>
      <w:r>
        <w:rPr>
          <w:rFonts w:ascii="Calibri" w:cs="Calibri" w:eastAsia="Calibri" w:hAnsi="Calibri"/>
          <w:b/>
          <w:bCs/>
          <w:color w:val="111111"/>
          <w:sz w:val="30"/>
          <w:szCs w:val="30"/>
        </w:rPr>
        <w:t xml:space="preserve">11.1 Small inputs</w:t>
      </w:r>
    </w:p>
    <w:p>
      <w:pPr>
        <w:spacing w:after="100" w:before="0" w:line="300"/>
        <w:jc w:val="left"/>
      </w:pPr>
      <w:r>
        <w:rPr>
          <w:rFonts w:ascii="Calibri" w:cs="Calibri" w:eastAsia="Calibri" w:hAnsi="Calibri"/>
          <w:b w:val="false"/>
          <w:bCs w:val="false"/>
          <w:i w:val="false"/>
          <w:iCs w:val="false"/>
          <w:color w:val="111111"/>
          <w:sz w:val="22"/>
          <w:szCs w:val="22"/>
        </w:rPr>
        <w:t xml:space="preserve">Each type has a byte threshold below which the passthrough rule is triggered. Very small inputs have little redundancy to exploit, and the engine preserves the input intact rather than artificially inflating the number.</w:t>
      </w:r>
    </w:p>
    <w:p>
      <w:pPr>
        <w:pStyle w:val="Heading2"/>
        <w:spacing w:after="140" w:before="280"/>
      </w:pPr>
      <w:r>
        <w:rPr>
          <w:rFonts w:ascii="Calibri" w:cs="Calibri" w:eastAsia="Calibri" w:hAnsi="Calibri"/>
          <w:b/>
          <w:bCs/>
          <w:color w:val="111111"/>
          <w:sz w:val="30"/>
          <w:szCs w:val="30"/>
        </w:rPr>
        <w:t xml:space="preserve">11.2 High informational density types</w:t>
      </w:r>
    </w:p>
    <w:p>
      <w:pPr>
        <w:spacing w:after="100" w:before="0" w:line="300"/>
        <w:jc w:val="left"/>
      </w:pPr>
      <w:r>
        <w:rPr>
          <w:rFonts w:ascii="Calibri" w:cs="Calibri" w:eastAsia="Calibri" w:hAnsi="Calibri"/>
          <w:b w:val="false"/>
          <w:bCs w:val="false"/>
          <w:i w:val="false"/>
          <w:iCs w:val="false"/>
          <w:color w:val="111111"/>
          <w:sz w:val="22"/>
          <w:szCs w:val="22"/>
        </w:rPr>
        <w:t xml:space="preserve">In types like PDF and schema, each element of the input carries non-redundant signal (a number in a document, a column name in a DDL). NUXS preserves this signal in full; compression acts on what surrounds these elements. Margins in these types reflect the technical ceiling of the data.</w:t>
      </w:r>
    </w:p>
    <w:p>
      <w:pPr>
        <w:pStyle w:val="Heading2"/>
        <w:spacing w:after="140" w:before="280"/>
      </w:pPr>
      <w:r>
        <w:rPr>
          <w:rFonts w:ascii="Calibri" w:cs="Calibri" w:eastAsia="Calibri" w:hAnsi="Calibri"/>
          <w:b/>
          <w:bCs/>
          <w:color w:val="111111"/>
          <w:sz w:val="30"/>
          <w:szCs w:val="30"/>
        </w:rPr>
        <w:t xml:space="preserve">11.3 LLM-based capsules</w:t>
      </w:r>
    </w:p>
    <w:p>
      <w:pPr>
        <w:spacing w:after="100" w:before="0" w:line="300"/>
        <w:jc w:val="left"/>
      </w:pPr>
      <w:r>
        <w:rPr>
          <w:rFonts w:ascii="Calibri" w:cs="Calibri" w:eastAsia="Calibri" w:hAnsi="Calibri"/>
          <w:b w:val="false"/>
          <w:bCs w:val="false"/>
          <w:i w:val="false"/>
          <w:iCs w:val="false"/>
          <w:color w:val="111111"/>
          <w:sz w:val="22"/>
          <w:szCs w:val="22"/>
        </w:rPr>
        <w:t xml:space="preserve">The seven LLM capsules depend on a call to a language model; availability depends on the license tier and connectivity. The local engine runs the ten algorithmic capsules autonomously.</w:t>
      </w:r>
    </w:p>
    <w:p>
      <w:pPr>
        <w:pageBreakBefore/>
      </w:pPr>
      <w:r>
        <w:t xml:space="preserve"/>
      </w:r>
    </w:p>
    <w:p>
      <w:pPr>
        <w:spacing w:after="80" w:before="0"/>
      </w:pPr>
      <w:r>
        <w:rPr>
          <w:rFonts w:ascii="Calibri" w:cs="Calibri" w:eastAsia="Calibri" w:hAnsi="Calibri"/>
          <w:b/>
          <w:bCs/>
          <w:color w:val="6B4FBB"/>
          <w:spacing w:val="60"/>
          <w:sz w:val="16"/>
          <w:szCs w:val="16"/>
        </w:rPr>
        <w:t xml:space="preserve">12</w:t>
      </w:r>
    </w:p>
    <w:p>
      <w:pPr>
        <w:pStyle w:val="Heading1"/>
        <w:spacing w:after="180" w:before="360"/>
      </w:pPr>
      <w:r>
        <w:rPr>
          <w:rFonts w:ascii="Calibri" w:cs="Calibri" w:eastAsia="Calibri" w:hAnsi="Calibri"/>
          <w:b/>
          <w:bCs/>
          <w:color w:val="111111"/>
          <w:sz w:val="36"/>
          <w:szCs w:val="36"/>
        </w:rPr>
        <w:t xml:space="preserve">Reproducibility</w:t>
      </w:r>
    </w:p>
    <w:p>
      <w:pPr>
        <w:spacing w:after="100" w:before="0" w:line="300"/>
        <w:jc w:val="left"/>
      </w:pPr>
      <w:r>
        <w:rPr>
          <w:rFonts w:ascii="Calibri" w:cs="Calibri" w:eastAsia="Calibri" w:hAnsi="Calibri"/>
          <w:b w:val="false"/>
          <w:bCs w:val="false"/>
          <w:i w:val="false"/>
          <w:iCs w:val="false"/>
          <w:color w:val="111111"/>
          <w:sz w:val="22"/>
          <w:szCs w:val="22"/>
        </w:rPr>
        <w:t xml:space="preserve">Each reported metric is recomputable from the raw files published in the appendix. Algorithmic capsules are deterministic; LLM-based capsules are sampled and reported with explicit N.</w:t>
      </w:r>
    </w:p>
    <w:p>
      <w:pPr>
        <w:pStyle w:val="Heading2"/>
        <w:spacing w:after="140" w:before="280"/>
      </w:pPr>
      <w:r>
        <w:rPr>
          <w:rFonts w:ascii="Calibri" w:cs="Calibri" w:eastAsia="Calibri" w:hAnsi="Calibri"/>
          <w:b/>
          <w:bCs/>
          <w:color w:val="111111"/>
          <w:sz w:val="30"/>
          <w:szCs w:val="30"/>
        </w:rPr>
        <w:t xml:space="preserve">Published raw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left"/>
            </w:pPr>
            <w:r>
              <w:rPr>
                <w:rFonts w:ascii="Calibri" w:cs="Calibri" w:eastAsia="Calibri" w:hAnsi="Calibri"/>
                <w:b/>
                <w:bCs/>
                <w:i w:val="false"/>
                <w:iCs w:val="false"/>
                <w:color w:val="111111"/>
                <w:sz w:val="20"/>
                <w:szCs w:val="20"/>
              </w:rPr>
              <w:t xml:space="preserve">File</w:t>
            </w:r>
          </w:p>
        </w:tc>
        <w:tc>
          <w:tcPr>
            <w:tcW w:type="dxa" w:w="586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Content</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benchmark-raw.jsonl</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1st round (synthetic) — 328 samples</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benchmark-large-raw.jsonl</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Large run (synthetic) — 400 samples, XS→XXL buckets</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benchmark-large-summary.json</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Summary of the large run by bucket and capsule</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benchmark-rag-raw.jsonl</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RAG/LLM profile — 980 samples</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benchmark-rag-summary.json</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Weighted summary of the RAG/LLM profile</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benchmark-r2-raw.jsonl</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Round 2 RAG/LLM — 707 samples</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benchmark-r2-summary.json</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Summary of round 2</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benchmark-paid-raw.jsonl</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Real backend run — 18 samples</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benchmark-paid-summary.json</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Summary of the backend run (includes multimodal)</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benchmark-20-raw.jsonl</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Round 20 — 30 XL/XXL samples</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benchmark-code-raw.jsonl</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Programmer profile (synthetic) — 71 samples</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benchmark-codereal-raw.jsonl</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Real code (full corpus) — 7,035 samples</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benchmark-buildindex40-raw.jsonl</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Typical hook on real code — 40 samples (deterministic top-40)</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benchmark-buildindex40-summary.json</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Summary of the typical hook run, with declared sampling criterion</w:t>
            </w:r>
          </w:p>
        </w:tc>
      </w:tr>
    </w:tbl>
    <w:p>
      <w:pPr>
        <w:spacing w:after="160" w:before="0"/>
      </w:pPr>
      <w:r>
        <w:t xml:space="preserve"/>
      </w:r>
    </w:p>
    <w:p>
      <w:pPr>
        <w:pStyle w:val="Heading2"/>
        <w:spacing w:after="140" w:before="280"/>
      </w:pPr>
      <w:r>
        <w:rPr>
          <w:rFonts w:ascii="Calibri" w:cs="Calibri" w:eastAsia="Calibri" w:hAnsi="Calibri"/>
          <w:b/>
          <w:bCs/>
          <w:color w:val="111111"/>
          <w:sz w:val="30"/>
          <w:szCs w:val="30"/>
        </w:rPr>
        <w:t xml:space="preserve">Raw file schema</w:t>
      </w:r>
    </w:p>
    <w:p>
      <w:pPr>
        <w:spacing w:after="100" w:before="0" w:line="300"/>
        <w:jc w:val="left"/>
      </w:pPr>
      <w:r>
        <w:rPr>
          <w:rFonts w:ascii="Calibri" w:cs="Calibri" w:eastAsia="Calibri" w:hAnsi="Calibri"/>
          <w:b w:val="false"/>
          <w:bCs w:val="false"/>
          <w:i w:val="false"/>
          <w:iCs w:val="false"/>
          <w:color w:val="111111"/>
          <w:sz w:val="22"/>
          <w:szCs w:val="22"/>
        </w:rPr>
        <w:t xml:space="preserve">Each JSONL line contains, at minimum: capsule, in_tokens, out_tokens, ratio, pct_saved, passthrough, seed (when applicable), sha256(input). Bucket runs add size_bucket; weighted runs add weight_pct; LLM runs add N and provider.</w:t>
      </w:r>
    </w:p>
    <w:p>
      <w:pPr>
        <w:pStyle w:val="Heading2"/>
        <w:spacing w:after="140" w:before="280"/>
      </w:pPr>
      <w:r>
        <w:rPr>
          <w:rFonts w:ascii="Calibri" w:cs="Calibri" w:eastAsia="Calibri" w:hAnsi="Calibri"/>
          <w:b/>
          <w:bCs/>
          <w:color w:val="111111"/>
          <w:sz w:val="30"/>
          <w:szCs w:val="30"/>
        </w:rPr>
        <w:t xml:space="preserve">Independent validation</w:t>
      </w:r>
    </w:p>
    <w:p>
      <w:pPr>
        <w:spacing w:after="100" w:before="0" w:line="300"/>
        <w:jc w:val="left"/>
      </w:pPr>
      <w:r>
        <w:rPr>
          <w:rFonts w:ascii="Calibri" w:cs="Calibri" w:eastAsia="Calibri" w:hAnsi="Calibri"/>
          <w:b w:val="false"/>
          <w:bCs w:val="false"/>
          <w:i w:val="false"/>
          <w:iCs w:val="false"/>
          <w:color w:val="111111"/>
          <w:sz w:val="22"/>
          <w:szCs w:val="22"/>
        </w:rPr>
        <w:t xml:space="preserve">To reproduce the metrics: (a) install the cl100k_base tokenizer via the gpt-tokenizer package; (b) for each raw line, recompute ratio = in_tokens / out_tokens and pct_saved = (1 − out_tokens / in_tokens) × 100; (c) aggregate by capsule, bucket, or run, per the tables; (d) compare results with the published summaries. The typical hook run (top-40) is fully reproducible from the sampling criterion declared in the summary.</w:t>
      </w:r>
    </w:p>
    <w:p>
      <w:pPr>
        <w:pageBreakBefore/>
      </w:pPr>
      <w:r>
        <w:t xml:space="preserve"/>
      </w:r>
    </w:p>
    <w:p>
      <w:pPr>
        <w:spacing w:after="80" w:before="0"/>
      </w:pPr>
      <w:r>
        <w:rPr>
          <w:rFonts w:ascii="Calibri" w:cs="Calibri" w:eastAsia="Calibri" w:hAnsi="Calibri"/>
          <w:b/>
          <w:bCs/>
          <w:color w:val="6B4FBB"/>
          <w:spacing w:val="60"/>
          <w:sz w:val="16"/>
          <w:szCs w:val="16"/>
        </w:rPr>
        <w:t xml:space="preserve">13</w:t>
      </w:r>
    </w:p>
    <w:p>
      <w:pPr>
        <w:pStyle w:val="Heading1"/>
        <w:spacing w:after="180" w:before="360"/>
      </w:pPr>
      <w:r>
        <w:rPr>
          <w:rFonts w:ascii="Calibri" w:cs="Calibri" w:eastAsia="Calibri" w:hAnsi="Calibri"/>
          <w:b/>
          <w:bCs/>
          <w:color w:val="111111"/>
          <w:sz w:val="36"/>
          <w:szCs w:val="36"/>
        </w:rPr>
        <w:t xml:space="preserve">Conclusion</w:t>
      </w:r>
    </w:p>
    <w:p>
      <w:pPr>
        <w:spacing w:after="100" w:before="0" w:line="300"/>
        <w:jc w:val="left"/>
      </w:pPr>
      <w:r>
        <w:rPr>
          <w:rFonts w:ascii="Calibri" w:cs="Calibri" w:eastAsia="Calibri" w:hAnsi="Calibri"/>
          <w:b w:val="false"/>
          <w:bCs w:val="false"/>
          <w:i w:val="false"/>
          <w:iCs w:val="false"/>
          <w:color w:val="111111"/>
          <w:sz w:val="22"/>
          <w:szCs w:val="22"/>
        </w:rPr>
        <w:t xml:space="preserve">NUXS compresses context at an aggregate margin of 87.46% across the 17 evaluated capsules, over 180.6 million auditable tokens in 9,609 samples. Eleven capsules operate at margin equal to or greater than 95%. The lower margins correspond to data types with high informational density, where each preserved element is non-redundant signal.</w:t>
      </w:r>
    </w:p>
    <w:p>
      <w:pPr>
        <w:spacing w:after="100" w:before="0" w:line="300"/>
        <w:jc w:val="left"/>
      </w:pPr>
      <w:r>
        <w:rPr>
          <w:rFonts w:ascii="Calibri" w:cs="Calibri" w:eastAsia="Calibri" w:hAnsi="Calibri"/>
          <w:b w:val="false"/>
          <w:bCs w:val="false"/>
          <w:i w:val="false"/>
          <w:iCs w:val="false"/>
          <w:color w:val="111111"/>
          <w:sz w:val="22"/>
          <w:szCs w:val="22"/>
        </w:rPr>
        <w:t xml:space="preserve">In weighted usage profiles, the study records 85.6% for the Programmer profile in synthetic, rising to approximately 92% in real use when the codebase capsule operates in the typical production hook regime. The RAG/LLM profile records 95.4% measured, close to 96% in real use. Because real inputs carry natural redundancy that synthetic does not reproduce, the aggregate numbers published constitute a defensible floor, not a ceiling.</w:t>
      </w:r>
    </w:p>
    <w:p>
      <w:pPr>
        <w:spacing w:after="100" w:before="0" w:line="300"/>
        <w:jc w:val="left"/>
      </w:pPr>
      <w:r>
        <w:rPr>
          <w:rFonts w:ascii="Calibri" w:cs="Calibri" w:eastAsia="Calibri" w:hAnsi="Calibri"/>
          <w:b w:val="false"/>
          <w:bCs w:val="false"/>
          <w:i w:val="false"/>
          <w:iCs w:val="false"/>
          <w:color w:val="111111"/>
          <w:sz w:val="22"/>
          <w:szCs w:val="22"/>
        </w:rPr>
        <w:t xml:space="preserve">All results are recomputable from the raw published in the appendix, using the cl100k_base tokenizer as the declared ruler. The method, sampling choices, technical limits, and sanitization of real inputs are recorded in sections 10, 11, and 12.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A8A"/>
        <w:sz w:val="18"/>
        <w:szCs w:val="18"/>
      </w:rPr>
      <w:t xml:space="preserve">Page </w:t>
    </w:r>
    <w:r>
      <w:rPr>
        <w:rFonts w:ascii="Calibri" w:cs="Calibri" w:eastAsia="Calibri" w:hAnsi="Calibri"/>
        <w:color w:val="8A8A8A"/>
        <w:sz w:val="18"/>
        <w:szCs w:val="18"/>
      </w:rPr>
      <w:fldChar w:fldCharType="begin"/>
      <w:instrText xml:space="preserve">PAGE</w:instrText>
      <w:fldChar w:fldCharType="separate"/>
      <w:fldChar w:fldCharType="end"/>
    </w:r>
    <w:r>
      <w:rPr>
        <w:rFonts w:ascii="Calibri" w:cs="Calibri" w:eastAsia="Calibri" w:hAnsi="Calibri"/>
        <w:color w:val="8A8A8A"/>
        <w:sz w:val="18"/>
        <w:szCs w:val="18"/>
      </w:rPr>
      <w:t xml:space="preserve"> of </w:t>
    </w:r>
    <w:r>
      <w:rPr>
        <w:rFonts w:ascii="Calibri" w:cs="Calibri" w:eastAsia="Calibri" w:hAnsi="Calibri"/>
        <w:color w:val="8A8A8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A8A8A"/>
        <w:sz w:val="18"/>
        <w:szCs w:val="18"/>
      </w:rPr>
      <w:t xml:space="preserve">NUXS · Technical Benchmark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11111"/>
      <w:sz w:val="36"/>
      <w:szCs w:val="36"/>
    </w:rPr>
  </w:style>
  <w:style w:type="paragraph" w:styleId="Heading2">
    <w:name w:val="Heading 2"/>
    <w:basedOn w:val="Normal"/>
    <w:next w:val="Normal"/>
    <w:qFormat/>
    <w:rPr>
      <w:rFonts w:ascii="Calibri" w:cs="Calibri" w:eastAsia="Calibri" w:hAnsi="Calibri"/>
      <w:b/>
      <w:bCs/>
      <w:color w:val="111111"/>
      <w:sz w:val="30"/>
      <w:szCs w:val="3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NUXS Benchmark</dc:title>
  <dc:creator>NUXS</dc:creator>
  <dc:description>Auditable study of context compression</dc:description>
  <cp:lastModifiedBy>Un-named</cp:lastModifiedBy>
  <cp:revision>1</cp:revision>
  <dcterms:created xsi:type="dcterms:W3CDTF">2026-06-06T05:37:29.846Z</dcterms:created>
  <dcterms:modified xsi:type="dcterms:W3CDTF">2026-06-06T05:37:29.846Z</dcterms:modified>
</cp:coreProperties>
</file>

<file path=docProps/custom.xml><?xml version="1.0" encoding="utf-8"?>
<Properties xmlns="http://schemas.openxmlformats.org/officeDocument/2006/custom-properties" xmlns:vt="http://schemas.openxmlformats.org/officeDocument/2006/docPropsVTypes"/>
</file>