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60" w:before="0" w:line="336"/>
        <w:jc w:val="center"/>
      </w:pPr>
      <w:r>
        <w:rPr>
          <w:rFonts w:ascii="Times New Roman" w:cs="Times New Roman" w:eastAsia="Times New Roman" w:hAnsi="Times New Roman"/>
          <w:b/>
          <w:bCs/>
          <w:color w:val="000000"/>
          <w:sz w:val="34"/>
          <w:szCs w:val="34"/>
        </w:rPr>
        <w:t xml:space="preserve">Croma, la API de datos de gobierno: arquitectura, atajos, límites y productos posibles en Colombia</w:t>
      </w:r>
    </w:p>
    <w:p>
      <w:pPr>
        <w:spacing w:after="360" w:before="0" w:line="276"/>
        <w:jc w:val="center"/>
      </w:pPr>
      <w:r>
        <w:rPr>
          <w:rFonts w:ascii="Times New Roman" w:cs="Times New Roman" w:eastAsia="Times New Roman" w:hAnsi="Times New Roman"/>
          <w:color w:val="000000"/>
          <w:sz w:val="24"/>
          <w:szCs w:val="24"/>
        </w:rPr>
        <w:t xml:space="preserve">Josué Ricardo Rojas Silva</w:t>
      </w:r>
    </w:p>
    <w:p>
      <w:pPr>
        <w:spacing w:after="720" w:before="0" w:line="276"/>
        <w:jc w:val="center"/>
      </w:pPr>
      <w:r>
        <w:rPr>
          <w:rFonts w:ascii="Times New Roman" w:cs="Times New Roman" w:eastAsia="Times New Roman" w:hAnsi="Times New Roman"/>
          <w:i/>
          <w:iCs/>
          <w:color w:val="000000"/>
          <w:sz w:val="24"/>
          <w:szCs w:val="24"/>
        </w:rPr>
        <w:t xml:space="preserve">Mapa técnico verificado con 61 pruebas en vivo, 17 flujos de trabajo validados y el catálogo completo de los 172 endpoints colombianos</w:t>
      </w:r>
    </w:p>
    <w:p>
      <w:pPr>
        <w:spacing w:after="120" w:before="0" w:line="276"/>
        <w:jc w:val="left"/>
      </w:pPr>
      <w:r>
        <w:rPr>
          <w:rFonts w:ascii="Times New Roman" w:cs="Times New Roman" w:eastAsia="Times New Roman" w:hAnsi="Times New Roman"/>
          <w:b/>
          <w:bCs/>
          <w:color w:val="000000"/>
          <w:sz w:val="24"/>
          <w:szCs w:val="24"/>
        </w:rPr>
        <w:t xml:space="preserve">ABSTRACT</w:t>
      </w:r>
    </w:p>
    <w:p>
      <w:pPr>
        <w:spacing w:after="120" w:before="0" w:line="276"/>
        <w:jc w:val="both"/>
      </w:pPr>
      <w:r>
        <w:rPr>
          <w:rFonts w:ascii="Times New Roman" w:cs="Times New Roman" w:eastAsia="Times New Roman" w:hAnsi="Times New Roman"/>
          <w:color w:val="000000"/>
          <w:sz w:val="23"/>
          <w:szCs w:val="23"/>
        </w:rPr>
        <w:t xml:space="preserve">Este informe mapea de extremo a extremo Croma, una API REST y un servidor MCP (Model Context Protocol) que entregan registros oficiales de ocho países como datos JSON tipados, con foco exclusivo en Colombia. A partir de la documentación oficial —el índice para modelos de lenguaje, las guías conceptuales, la </w:t>
      </w:r>
      <w:r>
        <w:rPr>
          <w:rFonts w:ascii="Times New Roman" w:cs="Times New Roman" w:eastAsia="Times New Roman" w:hAnsi="Times New Roman"/>
          <w:i/>
          <w:iCs/>
          <w:color w:val="000000"/>
          <w:sz w:val="23"/>
          <w:szCs w:val="23"/>
        </w:rPr>
        <w:t xml:space="preserve">Agent Skill</w:t>
      </w:r>
      <w:r>
        <w:rPr>
          <w:rFonts w:ascii="Times New Roman" w:cs="Times New Roman" w:eastAsia="Times New Roman" w:hAnsi="Times New Roman"/>
          <w:color w:val="000000"/>
          <w:sz w:val="23"/>
          <w:szCs w:val="23"/>
        </w:rPr>
        <w:t xml:space="preserve"> y las páginas comerciales— y de 61 pruebas en vivo ejecutadas el 12 de octubre de 2026, se describen la arquitectura (tres superficies y tres modos de respuesta: consulta en vivo, dataset y lookup), el contrato de respuestas y errores, la asincronía, los lotes, los créditos y el versionado. Se inventarían los 172 endpoints colombianos, agrupados en 55 familias de fuente y doce dominios, y se modelan 17 flujos de trabajo validados con la compuerta de completitud del Creador de Flujos de Trabajo (17 de 17 aprobados). El documento sistematiza atajos de identificador, de costo y de contexto; una guía para formular instrucciones a agentes; 25 limitaciones documentadas u observadas —entre ellas rezagos de hasta 39 días, registros de prueba dentro de datos oficiales y monitores aún en beta privada— y un portafolio de catorce productos con costos unitarios estimados. Se concluye que Croma reduce de forma drástica el costo de integrar fuentes públicas colombianas, siempre que el producto incorpore control de calidad de datos, gestión explícita de la fecha de corte y una base legal clara para el tratamiento de datos personales.</w:t>
      </w:r>
    </w:p>
    <w:p>
      <w:pPr>
        <w:spacing w:after="240" w:before="0" w:line="276"/>
        <w:jc w:val="both"/>
      </w:pPr>
      <w:r>
        <w:rPr>
          <w:rFonts w:ascii="Times New Roman" w:cs="Times New Roman" w:eastAsia="Times New Roman" w:hAnsi="Times New Roman"/>
          <w:b/>
          <w:bCs/>
          <w:color w:val="000000"/>
          <w:sz w:val="23"/>
          <w:szCs w:val="23"/>
        </w:rPr>
        <w:t xml:space="preserve">Palabras clave:</w:t>
      </w:r>
      <w:r>
        <w:rPr>
          <w:rFonts w:ascii="Times New Roman" w:cs="Times New Roman" w:eastAsia="Times New Roman" w:hAnsi="Times New Roman"/>
          <w:color w:val="000000"/>
          <w:sz w:val="23"/>
          <w:szCs w:val="23"/>
        </w:rPr>
        <w:t xml:space="preserve"> API de datos públicos; MCP; agentes de IA; Colombia; LegalTech; debida diligencia; SECOP; Rama Judicial; Ley 1581 de 2012.</w:t>
      </w:r>
    </w:p>
    <w:p>
      <w:r>
        <w:br w:type="page"/>
      </w:r>
    </w:p>
    <w:p>
      <w:pPr>
        <w:spacing w:after="200" w:before="0" w:line="276"/>
        <w:jc w:val="left"/>
      </w:pPr>
      <w:r>
        <w:rPr>
          <w:rFonts w:ascii="Times New Roman" w:cs="Times New Roman" w:eastAsia="Times New Roman" w:hAnsi="Times New Roman"/>
          <w:b/>
          <w:bCs/>
          <w:color w:val="000000"/>
          <w:sz w:val="26"/>
          <w:szCs w:val="26"/>
        </w:rPr>
        <w:t xml:space="preserve">TABLA DE CONTENIDO</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INTRODUCCIÓN</w:t>
      </w:r>
      <w:r>
        <w:rPr>
          <w:rFonts w:ascii="Times New Roman" w:cs="Times New Roman" w:eastAsia="Times New Roman" w:hAnsi="Times New Roman"/>
          <w:b/>
          <w:bCs/>
          <w:color w:val="000000"/>
          <w:sz w:val="21"/>
          <w:szCs w:val="21"/>
        </w:rPr>
        <w:t xml:space="preserve">	4</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I. METODOLOGÍA Y ALCANCE</w:t>
      </w:r>
      <w:r>
        <w:rPr>
          <w:rFonts w:ascii="Times New Roman" w:cs="Times New Roman" w:eastAsia="Times New Roman" w:hAnsi="Times New Roman"/>
          <w:b/>
          <w:bCs/>
          <w:color w:val="000000"/>
          <w:sz w:val="21"/>
          <w:szCs w:val="21"/>
        </w:rPr>
        <w:t xml:space="preserve">	5</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1.1 — Preguntas que guían el informe</w:t>
      </w:r>
      <w:r>
        <w:rPr>
          <w:rFonts w:ascii="Times New Roman" w:cs="Times New Roman" w:eastAsia="Times New Roman" w:hAnsi="Times New Roman"/>
          <w:b w:val="false"/>
          <w:bCs w:val="false"/>
          <w:color w:val="000000"/>
          <w:sz w:val="20"/>
          <w:szCs w:val="20"/>
        </w:rPr>
        <w:t xml:space="preserve">	5</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1.2 — Fuentes primarias consultadas</w:t>
      </w:r>
      <w:r>
        <w:rPr>
          <w:rFonts w:ascii="Times New Roman" w:cs="Times New Roman" w:eastAsia="Times New Roman" w:hAnsi="Times New Roman"/>
          <w:b w:val="false"/>
          <w:bCs w:val="false"/>
          <w:color w:val="000000"/>
          <w:sz w:val="20"/>
          <w:szCs w:val="20"/>
        </w:rPr>
        <w:t xml:space="preserve">	5</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1.3 — Batería de pruebas en vivo</w:t>
      </w:r>
      <w:r>
        <w:rPr>
          <w:rFonts w:ascii="Times New Roman" w:cs="Times New Roman" w:eastAsia="Times New Roman" w:hAnsi="Times New Roman"/>
          <w:b w:val="false"/>
          <w:bCs w:val="false"/>
          <w:color w:val="000000"/>
          <w:sz w:val="20"/>
          <w:szCs w:val="20"/>
        </w:rPr>
        <w:t xml:space="preserve">	5</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1.4 — Salvaguardas éticas y de protección de datos</w:t>
      </w:r>
      <w:r>
        <w:rPr>
          <w:rFonts w:ascii="Times New Roman" w:cs="Times New Roman" w:eastAsia="Times New Roman" w:hAnsi="Times New Roman"/>
          <w:b w:val="false"/>
          <w:bCs w:val="false"/>
          <w:color w:val="000000"/>
          <w:sz w:val="20"/>
          <w:szCs w:val="20"/>
        </w:rPr>
        <w:t xml:space="preserve">	6</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1.5 — Ejecución del Creador de Flujos de Trabajo</w:t>
      </w:r>
      <w:r>
        <w:rPr>
          <w:rFonts w:ascii="Times New Roman" w:cs="Times New Roman" w:eastAsia="Times New Roman" w:hAnsi="Times New Roman"/>
          <w:b w:val="false"/>
          <w:bCs w:val="false"/>
          <w:color w:val="000000"/>
          <w:sz w:val="20"/>
          <w:szCs w:val="20"/>
        </w:rPr>
        <w:t xml:space="preserve">	6</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II. ARQUITECTURA DE CROMA</w:t>
      </w:r>
      <w:r>
        <w:rPr>
          <w:rFonts w:ascii="Times New Roman" w:cs="Times New Roman" w:eastAsia="Times New Roman" w:hAnsi="Times New Roman"/>
          <w:b/>
          <w:bCs/>
          <w:color w:val="000000"/>
          <w:sz w:val="21"/>
          <w:szCs w:val="21"/>
        </w:rPr>
        <w:t xml:space="preserve">	8</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2.1 — Qué es Croma y quién lo opera</w:t>
      </w:r>
      <w:r>
        <w:rPr>
          <w:rFonts w:ascii="Times New Roman" w:cs="Times New Roman" w:eastAsia="Times New Roman" w:hAnsi="Times New Roman"/>
          <w:b w:val="false"/>
          <w:bCs w:val="false"/>
          <w:color w:val="000000"/>
          <w:sz w:val="20"/>
          <w:szCs w:val="20"/>
        </w:rPr>
        <w:t xml:space="preserve">	8</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2.2 — Superficies y puntos de entrada</w:t>
      </w:r>
      <w:r>
        <w:rPr>
          <w:rFonts w:ascii="Times New Roman" w:cs="Times New Roman" w:eastAsia="Times New Roman" w:hAnsi="Times New Roman"/>
          <w:b w:val="false"/>
          <w:bCs w:val="false"/>
          <w:color w:val="000000"/>
          <w:sz w:val="20"/>
          <w:szCs w:val="20"/>
        </w:rPr>
        <w:t xml:space="preserve">	8</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2.3 — Tres modos de respuesta: vivo, dataset y lookup</w:t>
      </w:r>
      <w:r>
        <w:rPr>
          <w:rFonts w:ascii="Times New Roman" w:cs="Times New Roman" w:eastAsia="Times New Roman" w:hAnsi="Times New Roman"/>
          <w:b w:val="false"/>
          <w:bCs w:val="false"/>
          <w:color w:val="000000"/>
          <w:sz w:val="20"/>
          <w:szCs w:val="20"/>
        </w:rPr>
        <w:t xml:space="preserve">	9</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2.4 — Contrato de respuesta y manejo de errores</w:t>
      </w:r>
      <w:r>
        <w:rPr>
          <w:rFonts w:ascii="Times New Roman" w:cs="Times New Roman" w:eastAsia="Times New Roman" w:hAnsi="Times New Roman"/>
          <w:b w:val="false"/>
          <w:bCs w:val="false"/>
          <w:color w:val="000000"/>
          <w:sz w:val="20"/>
          <w:szCs w:val="20"/>
        </w:rPr>
        <w:t xml:space="preserve">	10</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2.5 — Asincronía, lotes y caché</w:t>
      </w:r>
      <w:r>
        <w:rPr>
          <w:rFonts w:ascii="Times New Roman" w:cs="Times New Roman" w:eastAsia="Times New Roman" w:hAnsi="Times New Roman"/>
          <w:b w:val="false"/>
          <w:bCs w:val="false"/>
          <w:color w:val="000000"/>
          <w:sz w:val="20"/>
          <w:szCs w:val="20"/>
        </w:rPr>
        <w:t xml:space="preserve">	10</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2.6 — Créditos, planes y límites</w:t>
      </w:r>
      <w:r>
        <w:rPr>
          <w:rFonts w:ascii="Times New Roman" w:cs="Times New Roman" w:eastAsia="Times New Roman" w:hAnsi="Times New Roman"/>
          <w:b w:val="false"/>
          <w:bCs w:val="false"/>
          <w:color w:val="000000"/>
          <w:sz w:val="20"/>
          <w:szCs w:val="20"/>
        </w:rPr>
        <w:t xml:space="preserve">	11</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2.7 — Versionado y deprecación</w:t>
      </w:r>
      <w:r>
        <w:rPr>
          <w:rFonts w:ascii="Times New Roman" w:cs="Times New Roman" w:eastAsia="Times New Roman" w:hAnsi="Times New Roman"/>
          <w:b w:val="false"/>
          <w:bCs w:val="false"/>
          <w:color w:val="000000"/>
          <w:sz w:val="20"/>
          <w:szCs w:val="20"/>
        </w:rPr>
        <w:t xml:space="preserve">	12</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2.8 — Monitores y conexiones</w:t>
      </w:r>
      <w:r>
        <w:rPr>
          <w:rFonts w:ascii="Times New Roman" w:cs="Times New Roman" w:eastAsia="Times New Roman" w:hAnsi="Times New Roman"/>
          <w:b w:val="false"/>
          <w:bCs w:val="false"/>
          <w:color w:val="000000"/>
          <w:sz w:val="20"/>
          <w:szCs w:val="20"/>
        </w:rPr>
        <w:t xml:space="preserve">	13</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2.9 — Diagrama de arquitectura (D00)</w:t>
      </w:r>
      <w:r>
        <w:rPr>
          <w:rFonts w:ascii="Times New Roman" w:cs="Times New Roman" w:eastAsia="Times New Roman" w:hAnsi="Times New Roman"/>
          <w:b w:val="false"/>
          <w:bCs w:val="false"/>
          <w:color w:val="000000"/>
          <w:sz w:val="20"/>
          <w:szCs w:val="20"/>
        </w:rPr>
        <w:t xml:space="preserve">	14</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2.10 — Diagrama del ciclo de vida de una solicitud (D01)</w:t>
      </w:r>
      <w:r>
        <w:rPr>
          <w:rFonts w:ascii="Times New Roman" w:cs="Times New Roman" w:eastAsia="Times New Roman" w:hAnsi="Times New Roman"/>
          <w:b w:val="false"/>
          <w:bCs w:val="false"/>
          <w:color w:val="000000"/>
          <w:sz w:val="20"/>
          <w:szCs w:val="20"/>
        </w:rPr>
        <w:t xml:space="preserve">	17</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III. MAPA DE LAS FUENTES COLOMBIANAS</w:t>
      </w:r>
      <w:r>
        <w:rPr>
          <w:rFonts w:ascii="Times New Roman" w:cs="Times New Roman" w:eastAsia="Times New Roman" w:hAnsi="Times New Roman"/>
          <w:b/>
          <w:bCs/>
          <w:color w:val="000000"/>
          <w:sz w:val="21"/>
          <w:szCs w:val="21"/>
        </w:rPr>
        <w:t xml:space="preserve">	20</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3.1 — Inventario por dominio</w:t>
      </w:r>
      <w:r>
        <w:rPr>
          <w:rFonts w:ascii="Times New Roman" w:cs="Times New Roman" w:eastAsia="Times New Roman" w:hAnsi="Times New Roman"/>
          <w:b w:val="false"/>
          <w:bCs w:val="false"/>
          <w:color w:val="000000"/>
          <w:sz w:val="20"/>
          <w:szCs w:val="20"/>
        </w:rPr>
        <w:t xml:space="preserve">	20</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3.2 — Frescura de los datos observada</w:t>
      </w:r>
      <w:r>
        <w:rPr>
          <w:rFonts w:ascii="Times New Roman" w:cs="Times New Roman" w:eastAsia="Times New Roman" w:hAnsi="Times New Roman"/>
          <w:b w:val="false"/>
          <w:bCs w:val="false"/>
          <w:color w:val="000000"/>
          <w:sz w:val="20"/>
          <w:szCs w:val="20"/>
        </w:rPr>
        <w:t xml:space="preserve">	20</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3.3 — Identificadores que abren cada fuente</w:t>
      </w:r>
      <w:r>
        <w:rPr>
          <w:rFonts w:ascii="Times New Roman" w:cs="Times New Roman" w:eastAsia="Times New Roman" w:hAnsi="Times New Roman"/>
          <w:b w:val="false"/>
          <w:bCs w:val="false"/>
          <w:color w:val="000000"/>
          <w:sz w:val="20"/>
          <w:szCs w:val="20"/>
        </w:rPr>
        <w:t xml:space="preserve">	21</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IV. FLUJOS DE TRABAJO POR FUENTE DEL ESTADO COLOMBIANO</w:t>
      </w:r>
      <w:r>
        <w:rPr>
          <w:rFonts w:ascii="Times New Roman" w:cs="Times New Roman" w:eastAsia="Times New Roman" w:hAnsi="Times New Roman"/>
          <w:b/>
          <w:bCs/>
          <w:color w:val="000000"/>
          <w:sz w:val="21"/>
          <w:szCs w:val="21"/>
        </w:rPr>
        <w:t xml:space="preserve">	23</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4.1 — Rama Judicial: procesos, lotes y correos de despachos</w:t>
      </w:r>
      <w:r>
        <w:rPr>
          <w:rFonts w:ascii="Times New Roman" w:cs="Times New Roman" w:eastAsia="Times New Roman" w:hAnsi="Times New Roman"/>
          <w:b w:val="false"/>
          <w:bCs w:val="false"/>
          <w:color w:val="000000"/>
          <w:sz w:val="20"/>
          <w:szCs w:val="20"/>
        </w:rPr>
        <w:t xml:space="preserve">	25</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4.2 — Jurisprudencia de las altas cortes y disciplina judicial</w:t>
      </w:r>
      <w:r>
        <w:rPr>
          <w:rFonts w:ascii="Times New Roman" w:cs="Times New Roman" w:eastAsia="Times New Roman" w:hAnsi="Times New Roman"/>
          <w:b w:val="false"/>
          <w:bCs w:val="false"/>
          <w:color w:val="000000"/>
          <w:sz w:val="20"/>
          <w:szCs w:val="20"/>
        </w:rPr>
        <w:t xml:space="preserve">	28</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4.3 — Empresas: RUES, Supersociedades, SIMEV y comercio exterior</w:t>
      </w:r>
      <w:r>
        <w:rPr>
          <w:rFonts w:ascii="Times New Roman" w:cs="Times New Roman" w:eastAsia="Times New Roman" w:hAnsi="Times New Roman"/>
          <w:b w:val="false"/>
          <w:bCs w:val="false"/>
          <w:color w:val="000000"/>
          <w:sz w:val="20"/>
          <w:szCs w:val="20"/>
        </w:rPr>
        <w:t xml:space="preserve">	31</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4.4 — Supersociedades: insolvencia, Baranda Virtual y Relatoría</w:t>
      </w:r>
      <w:r>
        <w:rPr>
          <w:rFonts w:ascii="Times New Roman" w:cs="Times New Roman" w:eastAsia="Times New Roman" w:hAnsi="Times New Roman"/>
          <w:b w:val="false"/>
          <w:bCs w:val="false"/>
          <w:color w:val="000000"/>
          <w:sz w:val="20"/>
          <w:szCs w:val="20"/>
        </w:rPr>
        <w:t xml:space="preserve">	34</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4.5 — Contratación pública: SECOP I y II y conceptos de la ANCP-CCE</w:t>
      </w:r>
      <w:r>
        <w:rPr>
          <w:rFonts w:ascii="Times New Roman" w:cs="Times New Roman" w:eastAsia="Times New Roman" w:hAnsi="Times New Roman"/>
          <w:b w:val="false"/>
          <w:bCs w:val="false"/>
          <w:color w:val="000000"/>
          <w:sz w:val="20"/>
          <w:szCs w:val="20"/>
        </w:rPr>
        <w:t xml:space="preserve">	37</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4.6 — Verificación de personas naturales</w:t>
      </w:r>
      <w:r>
        <w:rPr>
          <w:rFonts w:ascii="Times New Roman" w:cs="Times New Roman" w:eastAsia="Times New Roman" w:hAnsi="Times New Roman"/>
          <w:b w:val="false"/>
          <w:bCs w:val="false"/>
          <w:color w:val="000000"/>
          <w:sz w:val="20"/>
          <w:szCs w:val="20"/>
        </w:rPr>
        <w:t xml:space="preserve">	40</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4.7 — Vehículos y tránsito: RUNT y SIMIT</w:t>
      </w:r>
      <w:r>
        <w:rPr>
          <w:rFonts w:ascii="Times New Roman" w:cs="Times New Roman" w:eastAsia="Times New Roman" w:hAnsi="Times New Roman"/>
          <w:b w:val="false"/>
          <w:bCs w:val="false"/>
          <w:color w:val="000000"/>
          <w:sz w:val="20"/>
          <w:szCs w:val="20"/>
        </w:rPr>
        <w:t xml:space="preserve">	43</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4.8 — Fuentes con sesión del titular y factura electrónica</w:t>
      </w:r>
      <w:r>
        <w:rPr>
          <w:rFonts w:ascii="Times New Roman" w:cs="Times New Roman" w:eastAsia="Times New Roman" w:hAnsi="Times New Roman"/>
          <w:b w:val="false"/>
          <w:bCs w:val="false"/>
          <w:color w:val="000000"/>
          <w:sz w:val="20"/>
          <w:szCs w:val="20"/>
        </w:rPr>
        <w:t xml:space="preserve">	46</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4.9 — Normativa y regulación</w:t>
      </w:r>
      <w:r>
        <w:rPr>
          <w:rFonts w:ascii="Times New Roman" w:cs="Times New Roman" w:eastAsia="Times New Roman" w:hAnsi="Times New Roman"/>
          <w:b w:val="false"/>
          <w:bCs w:val="false"/>
          <w:color w:val="000000"/>
          <w:sz w:val="20"/>
          <w:szCs w:val="20"/>
        </w:rPr>
        <w:t xml:space="preserve">	49</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4.10 — Superintendencia de Industria y Comercio</w:t>
      </w:r>
      <w:r>
        <w:rPr>
          <w:rFonts w:ascii="Times New Roman" w:cs="Times New Roman" w:eastAsia="Times New Roman" w:hAnsi="Times New Roman"/>
          <w:b w:val="false"/>
          <w:bCs w:val="false"/>
          <w:color w:val="000000"/>
          <w:sz w:val="20"/>
          <w:szCs w:val="20"/>
        </w:rPr>
        <w:t xml:space="preserve">	52</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4.11 — Catastro nacional del IGAC</w:t>
      </w:r>
      <w:r>
        <w:rPr>
          <w:rFonts w:ascii="Times New Roman" w:cs="Times New Roman" w:eastAsia="Times New Roman" w:hAnsi="Times New Roman"/>
          <w:b w:val="false"/>
          <w:bCs w:val="false"/>
          <w:color w:val="000000"/>
          <w:sz w:val="20"/>
          <w:szCs w:val="20"/>
        </w:rPr>
        <w:t xml:space="preserve">	55</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4.12 — Estadística oficial: DANE, Banco de la República, DNP, ICFES y MinEducación</w:t>
      </w:r>
      <w:r>
        <w:rPr>
          <w:rFonts w:ascii="Times New Roman" w:cs="Times New Roman" w:eastAsia="Times New Roman" w:hAnsi="Times New Roman"/>
          <w:b w:val="false"/>
          <w:bCs w:val="false"/>
          <w:color w:val="000000"/>
          <w:sz w:val="20"/>
          <w:szCs w:val="20"/>
        </w:rPr>
        <w:t xml:space="preserve">	58</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4.13 — Fuentes sectoriales: INVIMA, ANM y SIATA</w:t>
      </w:r>
      <w:r>
        <w:rPr>
          <w:rFonts w:ascii="Times New Roman" w:cs="Times New Roman" w:eastAsia="Times New Roman" w:hAnsi="Times New Roman"/>
          <w:b w:val="false"/>
          <w:bCs w:val="false"/>
          <w:color w:val="000000"/>
          <w:sz w:val="20"/>
          <w:szCs w:val="20"/>
        </w:rPr>
        <w:t xml:space="preserve">	60</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4.14 — Trámites del Estado y herramientas web</w:t>
      </w:r>
      <w:r>
        <w:rPr>
          <w:rFonts w:ascii="Times New Roman" w:cs="Times New Roman" w:eastAsia="Times New Roman" w:hAnsi="Times New Roman"/>
          <w:b w:val="false"/>
          <w:bCs w:val="false"/>
          <w:color w:val="000000"/>
          <w:sz w:val="20"/>
          <w:szCs w:val="20"/>
        </w:rPr>
        <w:t xml:space="preserve">	62</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4.15 — Monitores: alertas programadas por correo</w:t>
      </w:r>
      <w:r>
        <w:rPr>
          <w:rFonts w:ascii="Times New Roman" w:cs="Times New Roman" w:eastAsia="Times New Roman" w:hAnsi="Times New Roman"/>
          <w:b w:val="false"/>
          <w:bCs w:val="false"/>
          <w:color w:val="000000"/>
          <w:sz w:val="20"/>
          <w:szCs w:val="20"/>
        </w:rPr>
        <w:t xml:space="preserve">	64</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V. ATAJOS PARA APROVECHAR EL 100 % DE LA API</w:t>
      </w:r>
      <w:r>
        <w:rPr>
          <w:rFonts w:ascii="Times New Roman" w:cs="Times New Roman" w:eastAsia="Times New Roman" w:hAnsi="Times New Roman"/>
          <w:b/>
          <w:bCs/>
          <w:color w:val="000000"/>
          <w:sz w:val="21"/>
          <w:szCs w:val="21"/>
        </w:rPr>
        <w:t xml:space="preserve">	67</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5.1 — Atajos de identificador</w:t>
      </w:r>
      <w:r>
        <w:rPr>
          <w:rFonts w:ascii="Times New Roman" w:cs="Times New Roman" w:eastAsia="Times New Roman" w:hAnsi="Times New Roman"/>
          <w:b w:val="false"/>
          <w:bCs w:val="false"/>
          <w:color w:val="000000"/>
          <w:sz w:val="20"/>
          <w:szCs w:val="20"/>
        </w:rPr>
        <w:t xml:space="preserve">	67</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5.2 — Atajos de costo</w:t>
      </w:r>
      <w:r>
        <w:rPr>
          <w:rFonts w:ascii="Times New Roman" w:cs="Times New Roman" w:eastAsia="Times New Roman" w:hAnsi="Times New Roman"/>
          <w:b w:val="false"/>
          <w:bCs w:val="false"/>
          <w:color w:val="000000"/>
          <w:sz w:val="20"/>
          <w:szCs w:val="20"/>
        </w:rPr>
        <w:t xml:space="preserve">	67</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5.3 — Atajos de contexto para agentes</w:t>
      </w:r>
      <w:r>
        <w:rPr>
          <w:rFonts w:ascii="Times New Roman" w:cs="Times New Roman" w:eastAsia="Times New Roman" w:hAnsi="Times New Roman"/>
          <w:b w:val="false"/>
          <w:bCs w:val="false"/>
          <w:color w:val="000000"/>
          <w:sz w:val="20"/>
          <w:szCs w:val="20"/>
        </w:rPr>
        <w:t xml:space="preserve">	68</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5.4 — Cadenas de herramientas recomendadas</w:t>
      </w:r>
      <w:r>
        <w:rPr>
          <w:rFonts w:ascii="Times New Roman" w:cs="Times New Roman" w:eastAsia="Times New Roman" w:hAnsi="Times New Roman"/>
          <w:b w:val="false"/>
          <w:bCs w:val="false"/>
          <w:color w:val="000000"/>
          <w:sz w:val="20"/>
          <w:szCs w:val="20"/>
        </w:rPr>
        <w:t xml:space="preserve">	69</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VI. CÓMO SOLICITAR INSTRUCCIONES A UN AGENTE CON CROMA</w:t>
      </w:r>
      <w:r>
        <w:rPr>
          <w:rFonts w:ascii="Times New Roman" w:cs="Times New Roman" w:eastAsia="Times New Roman" w:hAnsi="Times New Roman"/>
          <w:b/>
          <w:bCs/>
          <w:color w:val="000000"/>
          <w:sz w:val="21"/>
          <w:szCs w:val="21"/>
        </w:rPr>
        <w:t xml:space="preserve">	70</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6.1 — Principios</w:t>
      </w:r>
      <w:r>
        <w:rPr>
          <w:rFonts w:ascii="Times New Roman" w:cs="Times New Roman" w:eastAsia="Times New Roman" w:hAnsi="Times New Roman"/>
          <w:b w:val="false"/>
          <w:bCs w:val="false"/>
          <w:color w:val="000000"/>
          <w:sz w:val="20"/>
          <w:szCs w:val="20"/>
        </w:rPr>
        <w:t xml:space="preserve">	70</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6.2 — Plantilla de instrucción</w:t>
      </w:r>
      <w:r>
        <w:rPr>
          <w:rFonts w:ascii="Times New Roman" w:cs="Times New Roman" w:eastAsia="Times New Roman" w:hAnsi="Times New Roman"/>
          <w:b w:val="false"/>
          <w:bCs w:val="false"/>
          <w:color w:val="000000"/>
          <w:sz w:val="20"/>
          <w:szCs w:val="20"/>
        </w:rPr>
        <w:t xml:space="preserve">	70</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6.3 — De instrucciones débiles a instrucciones efectivas</w:t>
      </w:r>
      <w:r>
        <w:rPr>
          <w:rFonts w:ascii="Times New Roman" w:cs="Times New Roman" w:eastAsia="Times New Roman" w:hAnsi="Times New Roman"/>
          <w:b w:val="false"/>
          <w:bCs w:val="false"/>
          <w:color w:val="000000"/>
          <w:sz w:val="20"/>
          <w:szCs w:val="20"/>
        </w:rPr>
        <w:t xml:space="preserve">	71</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6.4 — Instrucciones para monitores</w:t>
      </w:r>
      <w:r>
        <w:rPr>
          <w:rFonts w:ascii="Times New Roman" w:cs="Times New Roman" w:eastAsia="Times New Roman" w:hAnsi="Times New Roman"/>
          <w:b w:val="false"/>
          <w:bCs w:val="false"/>
          <w:color w:val="000000"/>
          <w:sz w:val="20"/>
          <w:szCs w:val="20"/>
        </w:rPr>
        <w:t xml:space="preserve">	71</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6.5 — Indicaciones para integradores por REST</w:t>
      </w:r>
      <w:r>
        <w:rPr>
          <w:rFonts w:ascii="Times New Roman" w:cs="Times New Roman" w:eastAsia="Times New Roman" w:hAnsi="Times New Roman"/>
          <w:b w:val="false"/>
          <w:bCs w:val="false"/>
          <w:color w:val="000000"/>
          <w:sz w:val="20"/>
          <w:szCs w:val="20"/>
        </w:rPr>
        <w:t xml:space="preserve">	71</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VII. LIMITACIONES Y RIESGOS</w:t>
      </w:r>
      <w:r>
        <w:rPr>
          <w:rFonts w:ascii="Times New Roman" w:cs="Times New Roman" w:eastAsia="Times New Roman" w:hAnsi="Times New Roman"/>
          <w:b/>
          <w:bCs/>
          <w:color w:val="000000"/>
          <w:sz w:val="21"/>
          <w:szCs w:val="21"/>
        </w:rPr>
        <w:t xml:space="preserve">	72</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7.1 — Limitaciones de diseño documentadas</w:t>
      </w:r>
      <w:r>
        <w:rPr>
          <w:rFonts w:ascii="Times New Roman" w:cs="Times New Roman" w:eastAsia="Times New Roman" w:hAnsi="Times New Roman"/>
          <w:b w:val="false"/>
          <w:bCs w:val="false"/>
          <w:color w:val="000000"/>
          <w:sz w:val="20"/>
          <w:szCs w:val="20"/>
        </w:rPr>
        <w:t xml:space="preserve">	72</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7.2 — Limitaciones observadas en las pruebas</w:t>
      </w:r>
      <w:r>
        <w:rPr>
          <w:rFonts w:ascii="Times New Roman" w:cs="Times New Roman" w:eastAsia="Times New Roman" w:hAnsi="Times New Roman"/>
          <w:b w:val="false"/>
          <w:bCs w:val="false"/>
          <w:color w:val="000000"/>
          <w:sz w:val="20"/>
          <w:szCs w:val="20"/>
        </w:rPr>
        <w:t xml:space="preserve">	73</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7.3 — Calidad de los datos</w:t>
      </w:r>
      <w:r>
        <w:rPr>
          <w:rFonts w:ascii="Times New Roman" w:cs="Times New Roman" w:eastAsia="Times New Roman" w:hAnsi="Times New Roman"/>
          <w:b w:val="false"/>
          <w:bCs w:val="false"/>
          <w:color w:val="000000"/>
          <w:sz w:val="20"/>
          <w:szCs w:val="20"/>
        </w:rPr>
        <w:t xml:space="preserve">	73</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7.4 — Riesgos jurídicos y de cumplimiento</w:t>
      </w:r>
      <w:r>
        <w:rPr>
          <w:rFonts w:ascii="Times New Roman" w:cs="Times New Roman" w:eastAsia="Times New Roman" w:hAnsi="Times New Roman"/>
          <w:b w:val="false"/>
          <w:bCs w:val="false"/>
          <w:color w:val="000000"/>
          <w:sz w:val="20"/>
          <w:szCs w:val="20"/>
        </w:rPr>
        <w:t xml:space="preserve">	74</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VIII. PRODUCTOS QUE SE PUEDEN CONSTRUIR</w:t>
      </w:r>
      <w:r>
        <w:rPr>
          <w:rFonts w:ascii="Times New Roman" w:cs="Times New Roman" w:eastAsia="Times New Roman" w:hAnsi="Times New Roman"/>
          <w:b/>
          <w:bCs/>
          <w:color w:val="000000"/>
          <w:sz w:val="21"/>
          <w:szCs w:val="21"/>
        </w:rPr>
        <w:t xml:space="preserve">	75</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8.1 — Portafolio de productos</w:t>
      </w:r>
      <w:r>
        <w:rPr>
          <w:rFonts w:ascii="Times New Roman" w:cs="Times New Roman" w:eastAsia="Times New Roman" w:hAnsi="Times New Roman"/>
          <w:b w:val="false"/>
          <w:bCs w:val="false"/>
          <w:color w:val="000000"/>
          <w:sz w:val="20"/>
          <w:szCs w:val="20"/>
        </w:rPr>
        <w:t xml:space="preserve">	75</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8.2 — Prototipo 1: KYB express para originación de crédito</w:t>
      </w:r>
      <w:r>
        <w:rPr>
          <w:rFonts w:ascii="Times New Roman" w:cs="Times New Roman" w:eastAsia="Times New Roman" w:hAnsi="Times New Roman"/>
          <w:b w:val="false"/>
          <w:bCs w:val="false"/>
          <w:color w:val="000000"/>
          <w:sz w:val="20"/>
          <w:szCs w:val="20"/>
        </w:rPr>
        <w:t xml:space="preserve">	76</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8.3 — Prototipo 2: Vigilancia judicial de cartera</w:t>
      </w:r>
      <w:r>
        <w:rPr>
          <w:rFonts w:ascii="Times New Roman" w:cs="Times New Roman" w:eastAsia="Times New Roman" w:hAnsi="Times New Roman"/>
          <w:b w:val="false"/>
          <w:bCs w:val="false"/>
          <w:color w:val="000000"/>
          <w:sz w:val="20"/>
          <w:szCs w:val="20"/>
        </w:rPr>
        <w:t xml:space="preserve">	76</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8.4 — Prototipo 3: Inteligencia de contratación pública</w:t>
      </w:r>
      <w:r>
        <w:rPr>
          <w:rFonts w:ascii="Times New Roman" w:cs="Times New Roman" w:eastAsia="Times New Roman" w:hAnsi="Times New Roman"/>
          <w:b w:val="false"/>
          <w:bCs w:val="false"/>
          <w:color w:val="000000"/>
          <w:sz w:val="20"/>
          <w:szCs w:val="20"/>
        </w:rPr>
        <w:t xml:space="preserve">	76</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8.5 — Prototipo 4: Asistente jurisprudencial y regulatorio</w:t>
      </w:r>
      <w:r>
        <w:rPr>
          <w:rFonts w:ascii="Times New Roman" w:cs="Times New Roman" w:eastAsia="Times New Roman" w:hAnsi="Times New Roman"/>
          <w:b w:val="false"/>
          <w:bCs w:val="false"/>
          <w:color w:val="000000"/>
          <w:sz w:val="20"/>
          <w:szCs w:val="20"/>
        </w:rPr>
        <w:t xml:space="preserve">	76</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8.6 — Economía de créditos por plan</w:t>
      </w:r>
      <w:r>
        <w:rPr>
          <w:rFonts w:ascii="Times New Roman" w:cs="Times New Roman" w:eastAsia="Times New Roman" w:hAnsi="Times New Roman"/>
          <w:b w:val="false"/>
          <w:bCs w:val="false"/>
          <w:color w:val="000000"/>
          <w:sz w:val="20"/>
          <w:szCs w:val="20"/>
        </w:rPr>
        <w:t xml:space="preserve">	77</w:t>
      </w:r>
    </w:p>
    <w:p>
      <w:pPr>
        <w:tabs>
          <w:tab w:val="right" w:pos="9406" w:leader="dot"/>
        </w:tabs>
        <w:spacing w:after="10" w:before="0" w:line="240"/>
        <w:ind w:left="425"/>
      </w:pPr>
      <w:r>
        <w:rPr>
          <w:rFonts w:ascii="Times New Roman" w:cs="Times New Roman" w:eastAsia="Times New Roman" w:hAnsi="Times New Roman"/>
          <w:b w:val="false"/>
          <w:bCs w:val="false"/>
          <w:color w:val="000000"/>
          <w:sz w:val="20"/>
          <w:szCs w:val="20"/>
        </w:rPr>
        <w:t xml:space="preserve">8.7 — Arquitectura de referencia para construir sobre Croma</w:t>
      </w:r>
      <w:r>
        <w:rPr>
          <w:rFonts w:ascii="Times New Roman" w:cs="Times New Roman" w:eastAsia="Times New Roman" w:hAnsi="Times New Roman"/>
          <w:b w:val="false"/>
          <w:bCs w:val="false"/>
          <w:color w:val="000000"/>
          <w:sz w:val="20"/>
          <w:szCs w:val="20"/>
        </w:rPr>
        <w:t xml:space="preserve">	77</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IX. CONCLUSIONES</w:t>
      </w:r>
      <w:r>
        <w:rPr>
          <w:rFonts w:ascii="Times New Roman" w:cs="Times New Roman" w:eastAsia="Times New Roman" w:hAnsi="Times New Roman"/>
          <w:b/>
          <w:bCs/>
          <w:color w:val="000000"/>
          <w:sz w:val="21"/>
          <w:szCs w:val="21"/>
        </w:rPr>
        <w:t xml:space="preserve">	78</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Referencias</w:t>
      </w:r>
      <w:r>
        <w:rPr>
          <w:rFonts w:ascii="Times New Roman" w:cs="Times New Roman" w:eastAsia="Times New Roman" w:hAnsi="Times New Roman"/>
          <w:b/>
          <w:bCs/>
          <w:color w:val="000000"/>
          <w:sz w:val="21"/>
          <w:szCs w:val="21"/>
        </w:rPr>
        <w:t xml:space="preserve">	79</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ANEXO A. ESPECIFICACIONES DE FORMA DEL DOCUMENTO</w:t>
      </w:r>
      <w:r>
        <w:rPr>
          <w:rFonts w:ascii="Times New Roman" w:cs="Times New Roman" w:eastAsia="Times New Roman" w:hAnsi="Times New Roman"/>
          <w:b/>
          <w:bCs/>
          <w:color w:val="000000"/>
          <w:sz w:val="21"/>
          <w:szCs w:val="21"/>
        </w:rPr>
        <w:t xml:space="preserve">	82</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ANEXO B. REPORTE DE VALIDACIÓN DE LOS DIAGRAMAS</w:t>
      </w:r>
      <w:r>
        <w:rPr>
          <w:rFonts w:ascii="Times New Roman" w:cs="Times New Roman" w:eastAsia="Times New Roman" w:hAnsi="Times New Roman"/>
          <w:b/>
          <w:bCs/>
          <w:color w:val="000000"/>
          <w:sz w:val="21"/>
          <w:szCs w:val="21"/>
        </w:rPr>
        <w:t xml:space="preserve">	83</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ANEXO C. REGISTRO DE PRUEBAS EN VIVO</w:t>
      </w:r>
      <w:r>
        <w:rPr>
          <w:rFonts w:ascii="Times New Roman" w:cs="Times New Roman" w:eastAsia="Times New Roman" w:hAnsi="Times New Roman"/>
          <w:b/>
          <w:bCs/>
          <w:color w:val="000000"/>
          <w:sz w:val="21"/>
          <w:szCs w:val="21"/>
        </w:rPr>
        <w:t xml:space="preserve">	86</w:t>
      </w:r>
    </w:p>
    <w:p>
      <w:pPr>
        <w:tabs>
          <w:tab w:val="right" w:pos="9406" w:leader="dot"/>
        </w:tabs>
        <w:spacing w:after="30" w:before="100" w:line="240"/>
      </w:pPr>
      <w:r>
        <w:rPr>
          <w:rFonts w:ascii="Times New Roman" w:cs="Times New Roman" w:eastAsia="Times New Roman" w:hAnsi="Times New Roman"/>
          <w:b/>
          <w:bCs/>
          <w:color w:val="000000"/>
          <w:sz w:val="21"/>
          <w:szCs w:val="21"/>
        </w:rPr>
        <w:t xml:space="preserve">ANEXO D. CATÁLOGO DE LOS 172 ENDPOINTS DE COLOMBIA</w:t>
      </w:r>
      <w:r>
        <w:rPr>
          <w:rFonts w:ascii="Times New Roman" w:cs="Times New Roman" w:eastAsia="Times New Roman" w:hAnsi="Times New Roman"/>
          <w:b/>
          <w:bCs/>
          <w:color w:val="000000"/>
          <w:sz w:val="21"/>
          <w:szCs w:val="21"/>
        </w:rPr>
        <w:t xml:space="preserve">	89</w:t>
      </w: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INTRODUCCIÓN</w:t>
      </w:r>
    </w:p>
    <w:p>
      <w:pPr>
        <w:spacing w:after="120" w:before="0" w:line="276"/>
        <w:jc w:val="both"/>
      </w:pPr>
      <w:r>
        <w:rPr>
          <w:rFonts w:ascii="Times New Roman" w:cs="Times New Roman" w:eastAsia="Times New Roman" w:hAnsi="Times New Roman"/>
          <w:color w:val="000000"/>
          <w:sz w:val="23"/>
          <w:szCs w:val="23"/>
        </w:rPr>
        <w:t xml:space="preserve">Colombia es uno de los países de la región con más registros públicos abiertos: el registro mercantil, los procesos judiciales, la contratación estatal, el registro de tránsito, los antecedentes disciplinarios y fiscales, el catastro, la jurisprudencia y la normativa están disponibles para consulta. El problema práctico no es la ausencia de datos, sino su dispersión: cada entidad tiene un portal, un formulario, un formato y un ritmo de actualización diferentes, y casi ninguno fue pensado para ser consultado por software o por agentes de inteligencia artificial.</w:t>
      </w:r>
    </w:p>
    <w:p>
      <w:pPr>
        <w:keepNext/>
        <w:spacing w:after="80" w:before="280" w:line="276"/>
        <w:ind w:left="851" w:right="851"/>
        <w:jc w:val="center"/>
      </w:pPr>
      <w:r>
        <w:rPr>
          <w:rFonts w:ascii="Times New Roman" w:cs="Times New Roman" w:eastAsia="Times New Roman" w:hAnsi="Times New Roman"/>
          <w:i/>
          <w:iCs/>
          <w:color w:val="000000"/>
          <w:sz w:val="23"/>
          <w:szCs w:val="23"/>
        </w:rPr>
        <w:t xml:space="preserve">«Colombia publica más registros abiertos que casi cualquier país de la región, pero cada uno vive en su propio portal, con su propio formulario y su propio ritmo.»</w:t>
      </w:r>
    </w:p>
    <w:p>
      <w:pPr>
        <w:spacing w:after="280" w:line="240"/>
        <w:ind w:left="851" w:right="851"/>
        <w:jc w:val="center"/>
      </w:pPr>
      <w:r>
        <w:rPr>
          <w:rFonts w:ascii="Times New Roman" w:cs="Times New Roman" w:eastAsia="Times New Roman" w:hAnsi="Times New Roman"/>
          <w:color w:val="000000"/>
          <w:sz w:val="21"/>
          <w:szCs w:val="21"/>
        </w:rPr>
        <w:t xml:space="preserve">(Croma, 2026, «Datos oficiales de Colombia por API»). https://usecroma.com/es/co</w:t>
      </w:r>
    </w:p>
    <w:p>
      <w:pPr>
        <w:spacing w:after="120" w:before="0" w:line="276"/>
        <w:jc w:val="both"/>
      </w:pPr>
      <w:r>
        <w:rPr>
          <w:rFonts w:ascii="Times New Roman" w:cs="Times New Roman" w:eastAsia="Times New Roman" w:hAnsi="Times New Roman"/>
          <w:color w:val="000000"/>
          <w:sz w:val="23"/>
          <w:szCs w:val="23"/>
        </w:rPr>
        <w:t xml:space="preserve">Croma propone resolver esa fricción con una sola integración: una llave de organización, una forma de respuesta común y un catálogo de endpoints que también se exponen como herramientas MCP, de modo que Claude, ChatGPT, Cursor o un agente propio puedan consultarlos directamente.</w:t>
      </w:r>
      <w:r>
        <w:rPr>
          <w:rStyle w:val="FootnoteReference"/>
        </w:rPr>
        <w:footnoteReference w:id="1"/>
      </w:r>
      <w:r>
        <w:rPr>
          <w:rFonts w:ascii="Times New Roman" w:cs="Times New Roman" w:eastAsia="Times New Roman" w:hAnsi="Times New Roman"/>
          <w:color w:val="000000"/>
          <w:sz w:val="23"/>
          <w:szCs w:val="23"/>
        </w:rPr>
        <w:t xml:space="preserve"> Para Colombia, el catálogo publicado en la </w:t>
      </w:r>
      <w:r>
        <w:rPr>
          <w:rFonts w:ascii="Times New Roman" w:cs="Times New Roman" w:eastAsia="Times New Roman" w:hAnsi="Times New Roman"/>
          <w:i/>
          <w:iCs/>
          <w:color w:val="000000"/>
          <w:sz w:val="23"/>
          <w:szCs w:val="23"/>
        </w:rPr>
        <w:t xml:space="preserve">Agent Skill</w:t>
      </w:r>
      <w:r>
        <w:rPr>
          <w:rFonts w:ascii="Times New Roman" w:cs="Times New Roman" w:eastAsia="Times New Roman" w:hAnsi="Times New Roman"/>
          <w:color w:val="000000"/>
          <w:sz w:val="23"/>
          <w:szCs w:val="23"/>
        </w:rPr>
        <w:t xml:space="preserve"> oficial suma 172 endpoints sobre 55 familias de fuente.</w:t>
      </w:r>
      <w:r>
        <w:rPr>
          <w:rStyle w:val="FootnoteReference"/>
        </w:rPr>
        <w:footnoteReference w:id="2"/>
      </w:r>
    </w:p>
    <w:p>
      <w:pPr>
        <w:spacing w:after="120" w:before="0" w:line="276"/>
        <w:jc w:val="both"/>
      </w:pPr>
      <w:r>
        <w:rPr>
          <w:rFonts w:ascii="Times New Roman" w:cs="Times New Roman" w:eastAsia="Times New Roman" w:hAnsi="Times New Roman"/>
          <w:color w:val="000000"/>
          <w:sz w:val="23"/>
          <w:szCs w:val="23"/>
        </w:rPr>
        <w:t xml:space="preserve">El objetivo de este informe es explicar con precisión cómo funciona Croma, cuál es su arquitectura, qué productos permite construir, cuáles son sus atajos, cómo deben formularse las instrucciones para aprovecharlo al máximo y qué limitaciones tiene. El análisis se restringe deliberadamente a Colombia. La sección I describe el método; la II, la arquitectura y el contrato técnico; la III, el mapa de fuentes colombianas; la IV, los flujos de trabajo por fuente diagramados con el Creador de Flujos de Trabajo; la V, los atajos; la VI, la forma de solicitar instrucciones; la VII, las limitaciones y riesgos; la VIII, el portafolio de productos, y la IX, las conclusiones. Los anexos documentan las especificaciones de forma del documento, la validación de los diagramas, el registro de pruebas y el catálogo completo.</w:t>
      </w:r>
    </w:p>
    <w:p>
      <w:pPr>
        <w:spacing w:after="120" w:before="0" w:line="276"/>
        <w:jc w:val="both"/>
      </w:pPr>
      <w:r>
        <w:rPr>
          <w:rFonts w:ascii="Times New Roman" w:cs="Times New Roman" w:eastAsia="Times New Roman" w:hAnsi="Times New Roman"/>
          <w:b/>
          <w:bCs/>
          <w:color w:val="000000"/>
          <w:sz w:val="23"/>
          <w:szCs w:val="23"/>
        </w:rPr>
        <w:t xml:space="preserve">Cómo leer este documento.</w:t>
      </w:r>
      <w:r>
        <w:rPr>
          <w:rFonts w:ascii="Times New Roman" w:cs="Times New Roman" w:eastAsia="Times New Roman" w:hAnsi="Times New Roman"/>
          <w:color w:val="000000"/>
          <w:sz w:val="23"/>
          <w:szCs w:val="23"/>
        </w:rPr>
        <w:t xml:space="preserve"> Las notas al pie identifican la fuente exacta de cada afirmación: la página de documentación y la sección concreta, o la prueba en vivo que la respalda. Los códigos T01 a T61 remiten al registro de pruebas del Anexo C; los códigos D00 a D16, a los diagramas validados del Anexo B; y los códigos R01 a R19, al registro de recursos que acompaña cada diagrama. Los nombres de herramientas, estados y términos legales se conservan en el idioma en que los publica la fuente.</w:t>
      </w: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I. METODOLOGÍA Y ALCANCE</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1.1 — Preguntas que guían el informe</w:t>
      </w:r>
    </w:p>
    <w:p>
      <w:pPr>
        <w:pStyle w:val="ListParagraph"/>
        <w:numPr>
          <w:ilvl w:val="0"/>
          <w:numId w:val="2"/>
        </w:numPr>
        <w:spacing w:after="60" w:line="276"/>
        <w:jc w:val="both"/>
      </w:pPr>
      <w:r>
        <w:rPr>
          <w:rFonts w:ascii="Times New Roman" w:cs="Times New Roman" w:eastAsia="Times New Roman" w:hAnsi="Times New Roman"/>
          <w:color w:val="000000"/>
          <w:sz w:val="23"/>
          <w:szCs w:val="23"/>
        </w:rPr>
        <w:t xml:space="preserve">¿Cómo funciona Croma de extremo a extremo y cuál es su arquitectura?</w:t>
      </w:r>
    </w:p>
    <w:p>
      <w:pPr>
        <w:pStyle w:val="ListParagraph"/>
        <w:numPr>
          <w:ilvl w:val="0"/>
          <w:numId w:val="2"/>
        </w:numPr>
        <w:spacing w:after="60" w:line="276"/>
        <w:jc w:val="both"/>
      </w:pPr>
      <w:r>
        <w:rPr>
          <w:rFonts w:ascii="Times New Roman" w:cs="Times New Roman" w:eastAsia="Times New Roman" w:hAnsi="Times New Roman"/>
          <w:color w:val="000000"/>
          <w:sz w:val="23"/>
          <w:szCs w:val="23"/>
        </w:rPr>
        <w:t xml:space="preserve">¿Qué fuentes colombianas cubre, con qué modo de respuesta, frescura y costo?</w:t>
      </w:r>
    </w:p>
    <w:p>
      <w:pPr>
        <w:pStyle w:val="ListParagraph"/>
        <w:numPr>
          <w:ilvl w:val="0"/>
          <w:numId w:val="2"/>
        </w:numPr>
        <w:spacing w:after="60" w:line="276"/>
        <w:jc w:val="both"/>
      </w:pPr>
      <w:r>
        <w:rPr>
          <w:rFonts w:ascii="Times New Roman" w:cs="Times New Roman" w:eastAsia="Times New Roman" w:hAnsi="Times New Roman"/>
          <w:color w:val="000000"/>
          <w:sz w:val="23"/>
          <w:szCs w:val="23"/>
        </w:rPr>
        <w:t xml:space="preserve">¿Cómo opera el flujo de trabajo de cada familia de fuentes del Estado colombiano?</w:t>
      </w:r>
    </w:p>
    <w:p>
      <w:pPr>
        <w:pStyle w:val="ListParagraph"/>
        <w:numPr>
          <w:ilvl w:val="0"/>
          <w:numId w:val="2"/>
        </w:numPr>
        <w:spacing w:after="60" w:line="276"/>
        <w:jc w:val="both"/>
      </w:pPr>
      <w:r>
        <w:rPr>
          <w:rFonts w:ascii="Times New Roman" w:cs="Times New Roman" w:eastAsia="Times New Roman" w:hAnsi="Times New Roman"/>
          <w:color w:val="000000"/>
          <w:sz w:val="23"/>
          <w:szCs w:val="23"/>
        </w:rPr>
        <w:t xml:space="preserve">¿Qué atajos permiten obtener más información con menos llamadas, créditos y contexto?</w:t>
      </w:r>
    </w:p>
    <w:p>
      <w:pPr>
        <w:pStyle w:val="ListParagraph"/>
        <w:numPr>
          <w:ilvl w:val="0"/>
          <w:numId w:val="2"/>
        </w:numPr>
        <w:spacing w:after="60" w:line="276"/>
        <w:jc w:val="both"/>
      </w:pPr>
      <w:r>
        <w:rPr>
          <w:rFonts w:ascii="Times New Roman" w:cs="Times New Roman" w:eastAsia="Times New Roman" w:hAnsi="Times New Roman"/>
          <w:color w:val="000000"/>
          <w:sz w:val="23"/>
          <w:szCs w:val="23"/>
        </w:rPr>
        <w:t xml:space="preserve">¿Cómo deben formularse las instrucciones a un agente para aprovechar el 100 % de la API?</w:t>
      </w:r>
    </w:p>
    <w:p>
      <w:pPr>
        <w:pStyle w:val="ListParagraph"/>
        <w:numPr>
          <w:ilvl w:val="0"/>
          <w:numId w:val="2"/>
        </w:numPr>
        <w:spacing w:after="60" w:line="276"/>
        <w:jc w:val="both"/>
      </w:pPr>
      <w:r>
        <w:rPr>
          <w:rFonts w:ascii="Times New Roman" w:cs="Times New Roman" w:eastAsia="Times New Roman" w:hAnsi="Times New Roman"/>
          <w:color w:val="000000"/>
          <w:sz w:val="23"/>
          <w:szCs w:val="23"/>
        </w:rPr>
        <w:t xml:space="preserve">¿Qué limitaciones y riesgos técnicos, de calidad de datos y jurídicos existen, y qué productos son viables?</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1.2 — Fuentes primarias consultadas</w:t>
      </w:r>
    </w:p>
    <w:p>
      <w:pPr>
        <w:spacing w:after="120" w:before="0" w:line="276"/>
        <w:jc w:val="both"/>
      </w:pPr>
      <w:r>
        <w:rPr>
          <w:rFonts w:ascii="Times New Roman" w:cs="Times New Roman" w:eastAsia="Times New Roman" w:hAnsi="Times New Roman"/>
          <w:color w:val="000000"/>
          <w:sz w:val="23"/>
          <w:szCs w:val="23"/>
        </w:rPr>
        <w:t xml:space="preserve">La exploración se apoyó exclusivamente en fuentes primarias: la documentación oficial de Croma y la observación directa de su comportamiento. Para leer la documentación se usó la propia herramienta de extracción de Croma, </w:t>
      </w:r>
      <w:r>
        <w:rPr>
          <w:rFonts w:ascii="Times New Roman" w:cs="Times New Roman" w:eastAsia="Times New Roman" w:hAnsi="Times New Roman"/>
          <w:i/>
          <w:iCs/>
          <w:color w:val="000000"/>
          <w:sz w:val="23"/>
          <w:szCs w:val="23"/>
        </w:rPr>
        <w:t xml:space="preserve">extract_markdown</w:t>
      </w:r>
      <w:r>
        <w:rPr>
          <w:rFonts w:ascii="Times New Roman" w:cs="Times New Roman" w:eastAsia="Times New Roman" w:hAnsi="Times New Roman"/>
          <w:color w:val="000000"/>
          <w:sz w:val="23"/>
          <w:szCs w:val="23"/>
        </w:rPr>
        <w:t xml:space="preserve">, porque la política de red del entorno de trabajo bloqueó el acceso directo a los dominios de Croma; ese uso sirvió, a la vez, como prueba de la herramienta.</w:t>
      </w:r>
    </w:p>
    <w:p>
      <w:pPr>
        <w:keepNext/>
        <w:spacing w:after="80" w:before="200" w:line="240"/>
        <w:jc w:val="left"/>
      </w:pPr>
      <w:r>
        <w:rPr>
          <w:rFonts w:ascii="Times New Roman" w:cs="Times New Roman" w:eastAsia="Times New Roman" w:hAnsi="Times New Roman"/>
          <w:b/>
          <w:bCs/>
          <w:color w:val="000000"/>
          <w:sz w:val="20"/>
          <w:szCs w:val="20"/>
        </w:rPr>
        <w:t xml:space="preserve">Tabla 1. </w:t>
      </w:r>
      <w:r>
        <w:rPr>
          <w:rFonts w:ascii="Times New Roman" w:cs="Times New Roman" w:eastAsia="Times New Roman" w:hAnsi="Times New Roman"/>
          <w:i/>
          <w:iCs/>
          <w:color w:val="000000"/>
          <w:sz w:val="20"/>
          <w:szCs w:val="20"/>
        </w:rPr>
        <w:t xml:space="preserve">Fuentes primarias y aporte de cada una</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4166"/>
        <w:gridCol w:w="3090"/>
      </w:tblGrid>
      <w:tr>
        <w:trPr>
          <w:cantSplit/>
          <w:tblHeader/>
        </w:trPr>
        <w:tc>
          <w:tcPr>
            <w:tcW w:type="dxa" w:w="215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Fuente</w:t>
            </w:r>
          </w:p>
        </w:tc>
        <w:tc>
          <w:tcPr>
            <w:tcW w:type="dxa" w:w="4166"/>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Qué aporta al análisis</w:t>
            </w:r>
          </w:p>
        </w:tc>
        <w:tc>
          <w:tcPr>
            <w:tcW w:type="dxa" w:w="309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Ubicación</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Índice </w:t>
            </w:r>
            <w:r>
              <w:rPr>
                <w:rFonts w:ascii="Times New Roman" w:cs="Times New Roman" w:eastAsia="Times New Roman" w:hAnsi="Times New Roman"/>
                <w:b w:val="false"/>
                <w:bCs w:val="false"/>
                <w:i/>
                <w:iCs/>
                <w:color w:val="000000"/>
                <w:sz w:val="18"/>
                <w:szCs w:val="18"/>
              </w:rPr>
              <w:t xml:space="preserve">llms.txt</w:t>
            </w:r>
          </w:p>
        </w:tc>
        <w:tc>
          <w:tcPr>
            <w:tcW w:type="dxa" w:w="41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Mapa completo de la documentación: 321 endpoints, guías por país, OpenAPI, catálogo y tarjeta del servidor MCP.</w:t>
            </w:r>
          </w:p>
        </w:tc>
        <w:tc>
          <w:tcPr>
            <w:tcW w:type="dxa" w:w="309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docs.usecroma.com/llms.txt</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Guías conceptuales (15)</w:t>
            </w:r>
          </w:p>
        </w:tc>
        <w:tc>
          <w:tcPr>
            <w:tcW w:type="dxa" w:w="41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Inicio rápido, autenticación, MCP, trabajos asíncronos, lotes, consultas en vivo, datasets, monitores, créditos, límites, errores y versionado.</w:t>
            </w:r>
          </w:p>
        </w:tc>
        <w:tc>
          <w:tcPr>
            <w:tcW w:type="dxa" w:w="309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docs.usecroma.com/es/…</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Agent Skill</w:t>
            </w:r>
            <w:r>
              <w:rPr>
                <w:rFonts w:ascii="Times New Roman" w:cs="Times New Roman" w:eastAsia="Times New Roman" w:hAnsi="Times New Roman"/>
                <w:b w:val="false"/>
                <w:bCs w:val="false"/>
                <w:color w:val="000000"/>
                <w:sz w:val="18"/>
                <w:szCs w:val="18"/>
              </w:rPr>
              <w:t xml:space="preserve"> oficial</w:t>
            </w:r>
          </w:p>
        </w:tc>
        <w:tc>
          <w:tcPr>
            <w:tcW w:type="dxa" w:w="41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Catálogo de 319 endpoints con la descripción operativa de cada herramienta y las convenciones de llamada.</w:t>
            </w:r>
          </w:p>
        </w:tc>
        <w:tc>
          <w:tcPr>
            <w:tcW w:type="dxa" w:w="309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usecroma.com/.well-known/agent-skills/…</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Guías por fuente (11)</w:t>
            </w:r>
          </w:p>
        </w:tc>
        <w:tc>
          <w:tcPr>
            <w:tcW w:type="dxa" w:w="41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Entradas, salidas y restricciones de las fuentes sensibles: Policía, Procuraduría, Registraduría, Contraloría, Contaduría, ADRES, RUAF, RUNT, SIMIT, DIAN MUISCA y Bancolombia.</w:t>
            </w:r>
          </w:p>
        </w:tc>
        <w:tc>
          <w:tcPr>
            <w:tcW w:type="dxa" w:w="309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docs.usecroma.com/es/guides/colombia/…</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Sitio comercial</w:t>
            </w:r>
          </w:p>
        </w:tc>
        <w:tc>
          <w:tcPr>
            <w:tcW w:type="dxa" w:w="41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Cobertura, precios, verticales de industria, equipo fundador y postura sobre protección de datos.</w:t>
            </w:r>
          </w:p>
        </w:tc>
        <w:tc>
          <w:tcPr>
            <w:tcW w:type="dxa" w:w="309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usecroma.com/es/…</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Pruebas en vivo (61)</w:t>
            </w:r>
          </w:p>
        </w:tc>
        <w:tc>
          <w:tcPr>
            <w:tcW w:type="dxa" w:w="41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Comportamiento real: latencia relativa, forma de las respuestas, frescura (</w:t>
            </w:r>
            <w:r>
              <w:rPr>
                <w:rFonts w:ascii="Times New Roman" w:cs="Times New Roman" w:eastAsia="Times New Roman" w:hAnsi="Times New Roman"/>
                <w:b w:val="false"/>
                <w:bCs w:val="false"/>
                <w:i/>
                <w:iCs/>
                <w:color w:val="000000"/>
                <w:sz w:val="18"/>
                <w:szCs w:val="18"/>
              </w:rPr>
              <w:t xml:space="preserve">as_of</w:t>
            </w:r>
            <w:r>
              <w:rPr>
                <w:rFonts w:ascii="Times New Roman" w:cs="Times New Roman" w:eastAsia="Times New Roman" w:hAnsi="Times New Roman"/>
                <w:b w:val="false"/>
                <w:bCs w:val="false"/>
                <w:color w:val="000000"/>
                <w:sz w:val="18"/>
                <w:szCs w:val="18"/>
              </w:rPr>
              <w:t xml:space="preserve">), errores y calidad de datos.</w:t>
            </w:r>
          </w:p>
        </w:tc>
        <w:tc>
          <w:tcPr>
            <w:tcW w:type="dxa" w:w="309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Anexo C</w:t>
            </w:r>
          </w:p>
        </w:tc>
      </w:tr>
    </w:tbl>
    <w:p>
      <w:pPr>
        <w:spacing w:after="200" w:before="60" w:line="240"/>
        <w:jc w:val="left"/>
      </w:pP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1.3 — Batería de pruebas en vivo</w:t>
      </w:r>
    </w:p>
    <w:p>
      <w:pPr>
        <w:spacing w:after="120" w:before="0" w:line="276"/>
        <w:jc w:val="both"/>
      </w:pPr>
      <w:r>
        <w:rPr>
          <w:rFonts w:ascii="Times New Roman" w:cs="Times New Roman" w:eastAsia="Times New Roman" w:hAnsi="Times New Roman"/>
          <w:color w:val="000000"/>
          <w:sz w:val="23"/>
          <w:szCs w:val="23"/>
        </w:rPr>
        <w:t xml:space="preserve">Entre la mañana y la tarde del 12 de octubre de 2026 se ejecutaron 61 pruebas a través del servidor MCP de Croma, conectado al entorno de Claude Code con la organización del autor. Las pruebas cubrieron los doce dominios colombianos y las capacidades transversales (lotes, validación, paginación, asincronía, herramientas web, monitores y conexiones); adicionalmente se hicieron una búsqueda web y unas treinta extracciones de documentación con las herramientas globales de Croma. Se privilegiaron identificadores públicos de personas jurídicas —Banco Finandina (NIT 860051894), Ecopetrol (NIT 899999068) y D1 S.A.S. (NIT 900276962)—, jurisprudencia y registros abiertos. La Tabla 2 resume el alcance; el detalle de cada prueba está en el Anexo C.</w:t>
      </w:r>
    </w:p>
    <w:p>
      <w:pPr>
        <w:keepNext/>
        <w:spacing w:after="80" w:before="200" w:line="240"/>
        <w:jc w:val="left"/>
      </w:pPr>
      <w:r>
        <w:rPr>
          <w:rFonts w:ascii="Times New Roman" w:cs="Times New Roman" w:eastAsia="Times New Roman" w:hAnsi="Times New Roman"/>
          <w:b/>
          <w:bCs/>
          <w:color w:val="000000"/>
          <w:sz w:val="20"/>
          <w:szCs w:val="20"/>
        </w:rPr>
        <w:t xml:space="preserve">Tabla 2. </w:t>
      </w:r>
      <w:r>
        <w:rPr>
          <w:rFonts w:ascii="Times New Roman" w:cs="Times New Roman" w:eastAsia="Times New Roman" w:hAnsi="Times New Roman"/>
          <w:i/>
          <w:iCs/>
          <w:color w:val="000000"/>
          <w:sz w:val="20"/>
          <w:szCs w:val="20"/>
        </w:rPr>
        <w:t xml:space="preserve">Distribución de las pruebas por dominio</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941"/>
        <w:gridCol w:w="5643"/>
      </w:tblGrid>
      <w:tr>
        <w:trPr>
          <w:cantSplit/>
          <w:tblHeader/>
        </w:trPr>
        <w:tc>
          <w:tcPr>
            <w:tcW w:type="dxa" w:w="2822"/>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Dominio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Pruebas</w:t>
            </w:r>
          </w:p>
        </w:tc>
        <w:tc>
          <w:tcPr>
            <w:tcW w:type="dxa" w:w="5643"/>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Hallazgo principal</w:t>
            </w:r>
          </w:p>
        </w:tc>
      </w:tr>
      <w:tr>
        <w:trPr>
          <w:cantSplit/>
        </w:trPr>
        <w:tc>
          <w:tcPr>
            <w:tcW w:type="dxa" w:w="282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Justicia y jurisprudencia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13</w:t>
            </w:r>
          </w:p>
        </w:tc>
        <w:tc>
          <w:tcPr>
            <w:tcW w:type="dxa" w:w="56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Búsquedas ordenadas por fecha; tope de 1.000 resultados en SAMAI; Consejo de Estado sin paginar.</w:t>
            </w:r>
          </w:p>
        </w:tc>
      </w:tr>
      <w:tr>
        <w:trPr>
          <w:cantSplit/>
        </w:trPr>
        <w:tc>
          <w:tcPr>
            <w:tcW w:type="dxa" w:w="282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Empresas y mercado de valores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11</w:t>
            </w:r>
          </w:p>
        </w:tc>
        <w:tc>
          <w:tcPr>
            <w:tcW w:type="dxa" w:w="56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RUES en vivo con EEFF desde 2013; Supersociedades con grafo de vinculados; un dataset caído.</w:t>
            </w:r>
          </w:p>
        </w:tc>
      </w:tr>
      <w:tr>
        <w:trPr>
          <w:cantSplit/>
        </w:trPr>
        <w:tc>
          <w:tcPr>
            <w:tcW w:type="dxa" w:w="282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Contratación pública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7</w:t>
            </w:r>
          </w:p>
        </w:tc>
        <w:tc>
          <w:tcPr>
            <w:tcW w:type="dxa" w:w="56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Registros de prueba en sanciones; valores imposibles; rezago de 39 días en modificaciones.</w:t>
            </w:r>
          </w:p>
        </w:tc>
      </w:tr>
      <w:tr>
        <w:trPr>
          <w:cantSplit/>
        </w:trPr>
        <w:tc>
          <w:tcPr>
            <w:tcW w:type="dxa" w:w="282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Regulación, normativa y SIC</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10</w:t>
            </w:r>
          </w:p>
        </w:tc>
        <w:tc>
          <w:tcPr>
            <w:tcW w:type="dxa" w:w="56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Gestor Normativo con modificaciones enlazadas; coincidencias amplias en texto libre.</w:t>
            </w:r>
          </w:p>
        </w:tc>
      </w:tr>
      <w:tr>
        <w:trPr>
          <w:cantSplit/>
        </w:trPr>
        <w:tc>
          <w:tcPr>
            <w:tcW w:type="dxa" w:w="282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Territorio, estadística y sectoriales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13</w:t>
            </w:r>
          </w:p>
        </w:tc>
        <w:tc>
          <w:tcPr>
            <w:tcW w:type="dxa" w:w="56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IGAC como lookup con avalúo; TRM diaria; valores centinela en SIATA.</w:t>
            </w:r>
          </w:p>
        </w:tc>
      </w:tr>
      <w:tr>
        <w:trPr>
          <w:cantSplit/>
        </w:trPr>
        <w:tc>
          <w:tcPr>
            <w:tcW w:type="dxa" w:w="282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Transversales y trámites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7</w:t>
            </w:r>
          </w:p>
        </w:tc>
        <w:tc>
          <w:tcPr>
            <w:tcW w:type="dxa" w:w="56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Extracción fallida en gov.co; monitores en beta privada; sin conexiones configuradas.</w:t>
            </w:r>
          </w:p>
        </w:tc>
      </w:tr>
    </w:tbl>
    <w:p>
      <w:pPr>
        <w:spacing w:after="200" w:before="60" w:line="240"/>
        <w:jc w:val="left"/>
      </w:pP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1.4 — Salvaguardas éticas y de protección de datos</w:t>
      </w:r>
    </w:p>
    <w:p>
      <w:pPr>
        <w:spacing w:after="120" w:before="0" w:line="276"/>
        <w:jc w:val="both"/>
      </w:pPr>
      <w:r>
        <w:rPr>
          <w:rFonts w:ascii="Times New Roman" w:cs="Times New Roman" w:eastAsia="Times New Roman" w:hAnsi="Times New Roman"/>
          <w:color w:val="000000"/>
          <w:sz w:val="23"/>
          <w:szCs w:val="23"/>
        </w:rPr>
        <w:t xml:space="preserve">Ninguna herramienta de verificación de personas naturales (Registraduría, Policía, Procuraduría, Contraloría, Contaduría, ADRES, RUAF, DNP, RUNT por persona o SIMIT) se ejecutó contra personas reales: su funcionamiento se documentó con las guías oficiales y con pruebas de validación de formato que no llegan a la fuente. Los datos personales que aparecieron de forma incidental en registros públicos de empresas o procesos (por ejemplo, representantes legales o partes) no se reproducen en este informe. Este criterio responde al principio de finalidad que Croma traslada expresamente al usuario: la consulta es posible porque el registro es público, pero la finalidad y la base legal del tratamiento son responsabilidad de quien consulta.</w:t>
      </w:r>
      <w:r>
        <w:rPr>
          <w:rStyle w:val="FootnoteReference"/>
        </w:rPr>
        <w:footnoteReference w:id="3"/>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1.5 — Ejecución del Creador de Flujos de Trabajo</w:t>
      </w:r>
    </w:p>
    <w:p>
      <w:pPr>
        <w:spacing w:after="120" w:before="0" w:line="276"/>
        <w:jc w:val="both"/>
      </w:pPr>
      <w:r>
        <w:rPr>
          <w:rFonts w:ascii="Times New Roman" w:cs="Times New Roman" w:eastAsia="Times New Roman" w:hAnsi="Times New Roman"/>
          <w:color w:val="000000"/>
          <w:sz w:val="23"/>
          <w:szCs w:val="23"/>
        </w:rPr>
        <w:t xml:space="preserve">Los diagramas de la sección IV se produjeron siguiendo la especificación </w:t>
      </w:r>
      <w:r>
        <w:rPr>
          <w:rFonts w:ascii="Times New Roman" w:cs="Times New Roman" w:eastAsia="Times New Roman" w:hAnsi="Times New Roman"/>
          <w:i/>
          <w:iCs/>
          <w:color w:val="000000"/>
          <w:sz w:val="23"/>
          <w:szCs w:val="23"/>
        </w:rPr>
        <w:t xml:space="preserve">Arquitecto de Diagramas de Proyectos de IA v1.0</w:t>
      </w:r>
      <w:r>
        <w:rPr>
          <w:rFonts w:ascii="Times New Roman" w:cs="Times New Roman" w:eastAsia="Times New Roman" w:hAnsi="Times New Roman"/>
          <w:color w:val="000000"/>
          <w:sz w:val="23"/>
          <w:szCs w:val="23"/>
        </w:rPr>
        <w:t xml:space="preserve"> suministrada como insumo: (1) ingesta de la descripción de cada fuente; (2) selección del tipo de diagrama según la pregunta que debe responder; (3) modelado del grafo en JSON con nodos, aristas y registro de recursos; (4) anotación de recursos y remisiones por nodo; (5) asignación de jerarquía y color semántico con la paleta apta para daltonismo; (6) validación con el motor del §9; (7) composición y render vectorial, y (8) redacción de la sección de objetivos y explicación. La regla de no inventar componentes se aplicó de forma estricta: cada nodo corresponde a un endpoint, un comportamiento documentado o una observación de las pruebas.</w:t>
      </w:r>
    </w:p>
    <w:p>
      <w:pPr>
        <w:spacing w:after="120" w:before="0" w:line="276"/>
        <w:jc w:val="both"/>
      </w:pPr>
      <w:r>
        <w:rPr>
          <w:rFonts w:ascii="Times New Roman" w:cs="Times New Roman" w:eastAsia="Times New Roman" w:hAnsi="Times New Roman"/>
          <w:color w:val="000000"/>
          <w:sz w:val="23"/>
          <w:szCs w:val="23"/>
        </w:rPr>
        <w:t xml:space="preserve">El motor de validación se implementó tal como lo define el §9 (alcanzabilidad desde el inicio, llegada a un terminal, decisiones con al menos dos ramas etiquetadas, ausencia de aristas colgantes y de nodos aislados, existencia de recursos referenciados, regla de dependencia y ausencia de ciclos en los DAG). Los 17 diagramas obtuvieron el veredicto </w:t>
      </w:r>
      <w:r>
        <w:rPr>
          <w:rFonts w:ascii="Times New Roman" w:cs="Times New Roman" w:eastAsia="Times New Roman" w:hAnsi="Times New Roman"/>
          <w:i/>
          <w:iCs/>
          <w:color w:val="000000"/>
          <w:sz w:val="23"/>
          <w:szCs w:val="23"/>
        </w:rPr>
        <w:t xml:space="preserve">APROBADO_RENDER</w:t>
      </w:r>
      <w:r>
        <w:rPr>
          <w:rFonts w:ascii="Times New Roman" w:cs="Times New Roman" w:eastAsia="Times New Roman" w:hAnsi="Times New Roman"/>
          <w:color w:val="000000"/>
          <w:sz w:val="23"/>
          <w:szCs w:val="23"/>
        </w:rPr>
        <w:t xml:space="preserve">, sin recursos huérfanos. El chequeo de contraste del §9 evalúa texto blanco sobre cada color; las categorías claras (decisión, datos, proceso) no alcanzan AA con texto blanco, por lo que se seleccionó automáticamente el color de texto —blanco o negro— que maximiza el contraste, y con ello todas las categorías superan la razón 4,5:1 (Anexo B). Los diagramas se insertan como gráficos vectoriales SVG con respaldo PNG, y la composición elige, entre seis estrategias de distribución, la que ofrece la letra efectiva más legible en página carta.</w:t>
      </w: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II. ARQUITECTURA DE CROMA</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2.1 — Qué es Croma y quién lo opera</w:t>
      </w:r>
    </w:p>
    <w:p>
      <w:pPr>
        <w:keepNext/>
        <w:spacing w:after="80" w:before="280" w:line="276"/>
        <w:ind w:left="851" w:right="851"/>
        <w:jc w:val="center"/>
      </w:pPr>
      <w:r>
        <w:rPr>
          <w:rFonts w:ascii="Times New Roman" w:cs="Times New Roman" w:eastAsia="Times New Roman" w:hAnsi="Times New Roman"/>
          <w:i/>
          <w:iCs/>
          <w:color w:val="000000"/>
          <w:sz w:val="23"/>
          <w:szCs w:val="23"/>
        </w:rPr>
        <w:t xml:space="preserve">«Croma es una API y un servidor MCP de datos oficiales de gobierno.»</w:t>
      </w:r>
    </w:p>
    <w:p>
      <w:pPr>
        <w:spacing w:after="280" w:line="240"/>
        <w:ind w:left="851" w:right="851"/>
        <w:jc w:val="center"/>
      </w:pPr>
      <w:r>
        <w:rPr>
          <w:rFonts w:ascii="Times New Roman" w:cs="Times New Roman" w:eastAsia="Times New Roman" w:hAnsi="Times New Roman"/>
          <w:color w:val="000000"/>
          <w:sz w:val="21"/>
          <w:szCs w:val="21"/>
        </w:rPr>
        <w:t xml:space="preserve">(Croma, 2026, «Introducción»). https://docs.usecroma.com/es/introduction</w:t>
      </w:r>
    </w:p>
    <w:p>
      <w:pPr>
        <w:spacing w:after="120" w:before="0" w:line="276"/>
        <w:jc w:val="both"/>
      </w:pPr>
      <w:r>
        <w:rPr>
          <w:rFonts w:ascii="Times New Roman" w:cs="Times New Roman" w:eastAsia="Times New Roman" w:hAnsi="Times New Roman"/>
          <w:color w:val="000000"/>
          <w:sz w:val="23"/>
          <w:szCs w:val="23"/>
        </w:rPr>
        <w:t xml:space="preserve">Croma convierte registros oficiales del sector público en datos estructurados y tipados. Según su página institucional, el producto tiene tres superficies: una API REST con 321 endpoints sobre 113 fuentes oficiales en ocho países, un servidor MCP para consultar las mismas fuentes desde una conversación y Croma Legal, un tablero con el que equipos jurídicos y de crédito de bancos monitorean a diario la actividad judicial de sus carteras.</w:t>
      </w:r>
      <w:r>
        <w:rPr>
          <w:rStyle w:val="FootnoteReference"/>
        </w:rPr>
        <w:footnoteReference w:id="4"/>
      </w:r>
      <w:r>
        <w:rPr>
          <w:rFonts w:ascii="Times New Roman" w:cs="Times New Roman" w:eastAsia="Times New Roman" w:hAnsi="Times New Roman"/>
          <w:color w:val="000000"/>
          <w:sz w:val="23"/>
          <w:szCs w:val="23"/>
        </w:rPr>
        <w:t xml:space="preserve"> La empresa declara operar bajo las leyes de la República de Colombia, etiquetar cada registro con su procedencia y no construir perfiles de las personas a quienes se refieren los registros; la desarrollan Cristian Correa y Tomás Calle, y reporta clientes en producción como Banco Finandina e Incomercio.</w:t>
      </w:r>
      <w:r>
        <w:rPr>
          <w:rStyle w:val="FootnoteReference"/>
        </w:rPr>
        <w:footnoteReference w:id="5"/>
      </w:r>
    </w:p>
    <w:p>
      <w:pPr>
        <w:spacing w:after="120" w:before="0" w:line="276"/>
        <w:jc w:val="both"/>
      </w:pPr>
      <w:r>
        <w:rPr>
          <w:rFonts w:ascii="Times New Roman" w:cs="Times New Roman" w:eastAsia="Times New Roman" w:hAnsi="Times New Roman"/>
          <w:color w:val="000000"/>
          <w:sz w:val="23"/>
          <w:szCs w:val="23"/>
        </w:rPr>
        <w:t xml:space="preserve">Las cifras de cobertura varían según la página: la introducción de la documentación menciona 80 fuentes y 33 colombianas, mientras el sitio comercial habla de 113 fuentes y 48 colombianas; el servidor MCP se anuncia con 319 herramientas.</w:t>
      </w:r>
      <w:r>
        <w:rPr>
          <w:rStyle w:val="FootnoteReference"/>
        </w:rPr>
        <w:footnoteReference w:id="6"/>
      </w:r>
      <w:r>
        <w:rPr>
          <w:rStyle w:val="FootnoteReference"/>
        </w:rPr>
        <w:footnoteReference w:id="7"/>
      </w:r>
      <w:r>
        <w:rPr>
          <w:rFonts w:ascii="Times New Roman" w:cs="Times New Roman" w:eastAsia="Times New Roman" w:hAnsi="Times New Roman"/>
          <w:color w:val="000000"/>
          <w:sz w:val="23"/>
          <w:szCs w:val="23"/>
        </w:rPr>
        <w:t xml:space="preserve"> La diferencia obedece a cómo se agrupan las fuentes. En este informe se usa la unidad más granular y verificable —la familia de endpoint en la ruta, por ejemplo </w:t>
      </w:r>
      <w:r>
        <w:rPr>
          <w:rFonts w:ascii="Times New Roman" w:cs="Times New Roman" w:eastAsia="Times New Roman" w:hAnsi="Times New Roman"/>
          <w:i/>
          <w:iCs/>
          <w:color w:val="000000"/>
          <w:sz w:val="23"/>
          <w:szCs w:val="23"/>
        </w:rPr>
        <w:t xml:space="preserve">/co/supersociedades-baranda/…</w:t>
      </w:r>
      <w:r>
        <w:rPr>
          <w:rFonts w:ascii="Times New Roman" w:cs="Times New Roman" w:eastAsia="Times New Roman" w:hAnsi="Times New Roman"/>
          <w:color w:val="000000"/>
          <w:sz w:val="23"/>
          <w:szCs w:val="23"/>
        </w:rPr>
        <w:t xml:space="preserve">—, que arroja 172 endpoints y 55 familias para Colombia.</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2.2 — Superficies y puntos de entrada</w:t>
      </w:r>
    </w:p>
    <w:p>
      <w:pPr>
        <w:keepNext/>
        <w:spacing w:after="80" w:before="200" w:line="240"/>
        <w:jc w:val="left"/>
      </w:pPr>
      <w:r>
        <w:rPr>
          <w:rFonts w:ascii="Times New Roman" w:cs="Times New Roman" w:eastAsia="Times New Roman" w:hAnsi="Times New Roman"/>
          <w:b/>
          <w:bCs/>
          <w:color w:val="000000"/>
          <w:sz w:val="20"/>
          <w:szCs w:val="20"/>
        </w:rPr>
        <w:t xml:space="preserve">Tabla 3. </w:t>
      </w:r>
      <w:r>
        <w:rPr>
          <w:rFonts w:ascii="Times New Roman" w:cs="Times New Roman" w:eastAsia="Times New Roman" w:hAnsi="Times New Roman"/>
          <w:i/>
          <w:iCs/>
          <w:color w:val="000000"/>
          <w:sz w:val="20"/>
          <w:szCs w:val="20"/>
        </w:rPr>
        <w:t xml:space="preserve">Superficies de acceso a Croma</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0"/>
        <w:gridCol w:w="2723"/>
        <w:gridCol w:w="2228"/>
        <w:gridCol w:w="2475"/>
      </w:tblGrid>
      <w:tr>
        <w:trPr>
          <w:cantSplit/>
          <w:tblHeader/>
        </w:trPr>
        <w:tc>
          <w:tcPr>
            <w:tcW w:type="dxa" w:w="198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Superficie</w:t>
            </w:r>
          </w:p>
        </w:tc>
        <w:tc>
          <w:tcPr>
            <w:tcW w:type="dxa" w:w="2723"/>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Dirección y protocolo</w:t>
            </w:r>
          </w:p>
        </w:tc>
        <w:tc>
          <w:tcPr>
            <w:tcW w:type="dxa" w:w="22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Autenticación</w:t>
            </w:r>
          </w:p>
        </w:tc>
        <w:tc>
          <w:tcPr>
            <w:tcW w:type="dxa" w:w="247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Uso típico</w:t>
            </w:r>
          </w:p>
        </w:tc>
      </w:tr>
      <w:tr>
        <w:trPr>
          <w:cantSplit/>
        </w:trPr>
        <w:tc>
          <w:tcPr>
            <w:tcW w:type="dxa" w:w="19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API REST</w:t>
            </w:r>
          </w:p>
        </w:tc>
        <w:tc>
          <w:tcPr>
            <w:tcW w:type="dxa" w:w="27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https://api.croma.run</w:t>
            </w:r>
            <w:r>
              <w:rPr>
                <w:rFonts w:ascii="Times New Roman" w:cs="Times New Roman" w:eastAsia="Times New Roman" w:hAnsi="Times New Roman"/>
                <w:b w:val="false"/>
                <w:bCs w:val="false"/>
                <w:color w:val="000000"/>
                <w:sz w:val="18"/>
                <w:szCs w:val="18"/>
              </w:rPr>
              <w:t xml:space="preserve">, rutas </w:t>
            </w:r>
            <w:r>
              <w:rPr>
                <w:rFonts w:ascii="Times New Roman" w:cs="Times New Roman" w:eastAsia="Times New Roman" w:hAnsi="Times New Roman"/>
                <w:b w:val="false"/>
                <w:bCs w:val="false"/>
                <w:i/>
                <w:iCs/>
                <w:color w:val="000000"/>
                <w:sz w:val="18"/>
                <w:szCs w:val="18"/>
              </w:rPr>
              <w:t xml:space="preserve">POST /{país}/{fuente}/{endpoint}/v1</w:t>
            </w:r>
            <w:r>
              <w:rPr>
                <w:rFonts w:ascii="Times New Roman" w:cs="Times New Roman" w:eastAsia="Times New Roman" w:hAnsi="Times New Roman"/>
                <w:b w:val="false"/>
                <w:bCs w:val="false"/>
                <w:color w:val="000000"/>
                <w:sz w:val="18"/>
                <w:szCs w:val="18"/>
              </w:rPr>
              <w:t xml:space="preserve"> con cuerpo JSON</w:t>
            </w:r>
          </w:p>
        </w:tc>
        <w:tc>
          <w:tcPr>
            <w:tcW w:type="dxa" w:w="22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Bearer con llave de organización (</w:t>
            </w:r>
            <w:r>
              <w:rPr>
                <w:rFonts w:ascii="Times New Roman" w:cs="Times New Roman" w:eastAsia="Times New Roman" w:hAnsi="Times New Roman"/>
                <w:b w:val="false"/>
                <w:bCs w:val="false"/>
                <w:i/>
                <w:iCs/>
                <w:color w:val="000000"/>
                <w:sz w:val="18"/>
                <w:szCs w:val="18"/>
              </w:rPr>
              <w:t xml:space="preserve">croma_live_…</w:t>
            </w:r>
            <w:r>
              <w:rPr>
                <w:rFonts w:ascii="Times New Roman" w:cs="Times New Roman" w:eastAsia="Times New Roman" w:hAnsi="Times New Roman"/>
                <w:b w:val="false"/>
                <w:bCs w:val="false"/>
                <w:color w:val="000000"/>
                <w:sz w:val="18"/>
                <w:szCs w:val="18"/>
              </w:rPr>
              <w:t xml:space="preserve"> o </w:t>
            </w:r>
            <w:r>
              <w:rPr>
                <w:rFonts w:ascii="Times New Roman" w:cs="Times New Roman" w:eastAsia="Times New Roman" w:hAnsi="Times New Roman"/>
                <w:b w:val="false"/>
                <w:bCs w:val="false"/>
                <w:i/>
                <w:iCs/>
                <w:color w:val="000000"/>
                <w:sz w:val="18"/>
                <w:szCs w:val="18"/>
              </w:rPr>
              <w:t xml:space="preserve">croma_test_…</w:t>
            </w:r>
            <w:r>
              <w:rPr>
                <w:rFonts w:ascii="Times New Roman" w:cs="Times New Roman" w:eastAsia="Times New Roman" w:hAnsi="Times New Roman"/>
                <w:b w:val="false"/>
                <w:bCs w:val="false"/>
                <w:color w:val="000000"/>
                <w:sz w:val="18"/>
                <w:szCs w:val="18"/>
              </w:rPr>
              <w:t xml:space="preserve">)</w:t>
            </w:r>
          </w:p>
        </w:tc>
        <w:tc>
          <w:tcPr>
            <w:tcW w:type="dxa" w:w="24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Integración en sistemas, backends, n8n o Make</w:t>
            </w:r>
          </w:p>
        </w:tc>
      </w:tr>
      <w:tr>
        <w:trPr>
          <w:cantSplit/>
        </w:trPr>
        <w:tc>
          <w:tcPr>
            <w:tcW w:type="dxa" w:w="19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Servidor MCP</w:t>
            </w:r>
          </w:p>
        </w:tc>
        <w:tc>
          <w:tcPr>
            <w:tcW w:type="dxa" w:w="27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https://api.croma.run/mcp</w:t>
            </w:r>
            <w:r>
              <w:rPr>
                <w:rFonts w:ascii="Times New Roman" w:cs="Times New Roman" w:eastAsia="Times New Roman" w:hAnsi="Times New Roman"/>
                <w:b w:val="false"/>
                <w:bCs w:val="false"/>
                <w:color w:val="000000"/>
                <w:sz w:val="18"/>
                <w:szCs w:val="18"/>
              </w:rPr>
              <w:t xml:space="preserve"> sobre Streamable HTTP</w:t>
            </w:r>
          </w:p>
        </w:tc>
        <w:tc>
          <w:tcPr>
            <w:tcW w:type="dxa" w:w="22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OAuth (Claude, ChatGPT, Cursor) o la misma llave como Bearer</w:t>
            </w:r>
          </w:p>
        </w:tc>
        <w:tc>
          <w:tcPr>
            <w:tcW w:type="dxa" w:w="24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Agentes y asistentes conversacionales</w:t>
            </w:r>
          </w:p>
        </w:tc>
      </w:tr>
      <w:tr>
        <w:trPr>
          <w:cantSplit/>
        </w:trPr>
        <w:tc>
          <w:tcPr>
            <w:tcW w:type="dxa" w:w="19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Consola</w:t>
            </w:r>
          </w:p>
        </w:tc>
        <w:tc>
          <w:tcPr>
            <w:tcW w:type="dxa" w:w="27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platform.usecroma.com</w:t>
            </w:r>
          </w:p>
        </w:tc>
        <w:tc>
          <w:tcPr>
            <w:tcW w:type="dxa" w:w="22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Cuenta de la organización</w:t>
            </w:r>
          </w:p>
        </w:tc>
        <w:tc>
          <w:tcPr>
            <w:tcW w:type="dxa" w:w="24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Llaves, plan, monitores y conexiones</w:t>
            </w:r>
          </w:p>
        </w:tc>
      </w:tr>
      <w:tr>
        <w:trPr>
          <w:cantSplit/>
        </w:trPr>
        <w:tc>
          <w:tcPr>
            <w:tcW w:type="dxa" w:w="19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Croma Legal</w:t>
            </w:r>
          </w:p>
        </w:tc>
        <w:tc>
          <w:tcPr>
            <w:tcW w:type="dxa" w:w="27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Tablero web</w:t>
            </w:r>
          </w:p>
        </w:tc>
        <w:tc>
          <w:tcPr>
            <w:tcW w:type="dxa" w:w="22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Cuenta de cliente</w:t>
            </w:r>
          </w:p>
        </w:tc>
        <w:tc>
          <w:tcPr>
            <w:tcW w:type="dxa" w:w="24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Monitoreo judicial diario de carteras</w:t>
            </w:r>
          </w:p>
        </w:tc>
      </w:tr>
      <w:tr>
        <w:trPr>
          <w:cantSplit/>
        </w:trPr>
        <w:tc>
          <w:tcPr>
            <w:tcW w:type="dxa" w:w="19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Descripciones máquina</w:t>
            </w:r>
          </w:p>
        </w:tc>
        <w:tc>
          <w:tcPr>
            <w:tcW w:type="dxa" w:w="27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OpenAPI 3.1, </w:t>
            </w:r>
            <w:r>
              <w:rPr>
                <w:rFonts w:ascii="Times New Roman" w:cs="Times New Roman" w:eastAsia="Times New Roman" w:hAnsi="Times New Roman"/>
                <w:b w:val="false"/>
                <w:bCs w:val="false"/>
                <w:i/>
                <w:iCs/>
                <w:color w:val="000000"/>
                <w:sz w:val="18"/>
                <w:szCs w:val="18"/>
              </w:rPr>
              <w:t xml:space="preserve">/catalog</w:t>
            </w:r>
            <w:r>
              <w:rPr>
                <w:rFonts w:ascii="Times New Roman" w:cs="Times New Roman" w:eastAsia="Times New Roman" w:hAnsi="Times New Roman"/>
                <w:b w:val="false"/>
                <w:bCs w:val="false"/>
                <w:color w:val="000000"/>
                <w:sz w:val="18"/>
                <w:szCs w:val="18"/>
              </w:rPr>
              <w:t xml:space="preserve">, tarjeta MCP, </w:t>
            </w:r>
            <w:r>
              <w:rPr>
                <w:rFonts w:ascii="Times New Roman" w:cs="Times New Roman" w:eastAsia="Times New Roman" w:hAnsi="Times New Roman"/>
                <w:b w:val="false"/>
                <w:bCs w:val="false"/>
                <w:i/>
                <w:iCs/>
                <w:color w:val="000000"/>
                <w:sz w:val="18"/>
                <w:szCs w:val="18"/>
              </w:rPr>
              <w:t xml:space="preserve">Agent Skill</w:t>
            </w:r>
          </w:p>
        </w:tc>
        <w:tc>
          <w:tcPr>
            <w:tcW w:type="dxa" w:w="22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Públicas</w:t>
            </w:r>
          </w:p>
        </w:tc>
        <w:tc>
          <w:tcPr>
            <w:tcW w:type="dxa" w:w="24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Generar clientes y guiar agentes</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con base en la documentación de inicio rápido, autenticación y MCP, y en el índice llms.txt.</w:t>
      </w:r>
    </w:p>
    <w:p>
      <w:pPr>
        <w:spacing w:after="120" w:before="0" w:line="276"/>
        <w:jc w:val="both"/>
      </w:pPr>
      <w:r>
        <w:rPr>
          <w:rFonts w:ascii="Times New Roman" w:cs="Times New Roman" w:eastAsia="Times New Roman" w:hAnsi="Times New Roman"/>
          <w:color w:val="000000"/>
          <w:sz w:val="23"/>
          <w:szCs w:val="23"/>
        </w:rPr>
        <w:t xml:space="preserve">Las herramientas MCP se nombran como la fuente y el endpoint con guiones bajos (por ejemplo, </w:t>
      </w:r>
      <w:r>
        <w:rPr>
          <w:rFonts w:ascii="Times New Roman" w:cs="Times New Roman" w:eastAsia="Times New Roman" w:hAnsi="Times New Roman"/>
          <w:i/>
          <w:iCs/>
          <w:color w:val="000000"/>
          <w:sz w:val="23"/>
          <w:szCs w:val="23"/>
        </w:rPr>
        <w:t xml:space="preserve">rues_entity_by_nit</w:t>
      </w:r>
      <w:r>
        <w:rPr>
          <w:rFonts w:ascii="Times New Roman" w:cs="Times New Roman" w:eastAsia="Times New Roman" w:hAnsi="Times New Roman"/>
          <w:color w:val="000000"/>
          <w:sz w:val="23"/>
          <w:szCs w:val="23"/>
        </w:rPr>
        <w:t xml:space="preserve"> o </w:t>
      </w:r>
      <w:r>
        <w:rPr>
          <w:rFonts w:ascii="Times New Roman" w:cs="Times New Roman" w:eastAsia="Times New Roman" w:hAnsi="Times New Roman"/>
          <w:i/>
          <w:iCs/>
          <w:color w:val="000000"/>
          <w:sz w:val="23"/>
          <w:szCs w:val="23"/>
        </w:rPr>
        <w:t xml:space="preserve">rama_judicial_cases_by_radicado</w:t>
      </w:r>
      <w:r>
        <w:rPr>
          <w:rFonts w:ascii="Times New Roman" w:cs="Times New Roman" w:eastAsia="Times New Roman" w:hAnsi="Times New Roman"/>
          <w:color w:val="000000"/>
          <w:sz w:val="23"/>
          <w:szCs w:val="23"/>
        </w:rPr>
        <w:t xml:space="preserve">); cada herramienta comparte esquema, cupo y calendario de deprecación con el endpoint REST que la respalda.</w:t>
      </w:r>
      <w:r>
        <w:rPr>
          <w:rStyle w:val="FootnoteReference"/>
        </w:rPr>
        <w:footnoteReference w:id="8"/>
      </w:r>
      <w:r>
        <w:rPr>
          <w:rFonts w:ascii="Times New Roman" w:cs="Times New Roman" w:eastAsia="Times New Roman" w:hAnsi="Times New Roman"/>
          <w:color w:val="000000"/>
          <w:sz w:val="23"/>
          <w:szCs w:val="23"/>
        </w:rPr>
        <w:t xml:space="preserve"> Las llaves pertenecen a una organización y no a una persona: una llave personal recibe </w:t>
      </w:r>
      <w:r>
        <w:rPr>
          <w:rFonts w:ascii="Times New Roman" w:cs="Times New Roman" w:eastAsia="Times New Roman" w:hAnsi="Times New Roman"/>
          <w:i/>
          <w:iCs/>
          <w:color w:val="000000"/>
          <w:sz w:val="23"/>
          <w:szCs w:val="23"/>
        </w:rPr>
        <w:t xml:space="preserve">401 personal_api_key_not_allowed</w:t>
      </w:r>
      <w:r>
        <w:rPr>
          <w:rFonts w:ascii="Times New Roman" w:cs="Times New Roman" w:eastAsia="Times New Roman" w:hAnsi="Times New Roman"/>
          <w:color w:val="000000"/>
          <w:sz w:val="23"/>
          <w:szCs w:val="23"/>
        </w:rPr>
        <w:t xml:space="preserve">, y todas las llaves de una misma organización comparten el mismo cupo.</w:t>
      </w:r>
      <w:r>
        <w:rPr>
          <w:rStyle w:val="FootnoteReference"/>
        </w:rPr>
        <w:footnoteReference w:id="9"/>
      </w:r>
      <w:r>
        <w:rPr>
          <w:rStyle w:val="FootnoteReference"/>
        </w:rPr>
        <w:footnoteReference w:id="10"/>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2.3 — Tres modos de respuesta: vivo, dataset y lookup</w:t>
      </w:r>
    </w:p>
    <w:p>
      <w:pPr>
        <w:spacing w:after="120" w:before="0" w:line="276"/>
        <w:jc w:val="both"/>
      </w:pPr>
      <w:r>
        <w:rPr>
          <w:rFonts w:ascii="Times New Roman" w:cs="Times New Roman" w:eastAsia="Times New Roman" w:hAnsi="Times New Roman"/>
          <w:color w:val="000000"/>
          <w:sz w:val="23"/>
          <w:szCs w:val="23"/>
        </w:rPr>
        <w:t xml:space="preserve">La decisión arquitectónica más importante de Croma es que no todos los endpoints consultan la fuente en el momento de la llamada. Existen tres modos de respuesta, con implicaciones directas sobre latencia, costo, frescura y disponibilidad (Tabla 4).</w:t>
      </w:r>
    </w:p>
    <w:p>
      <w:pPr>
        <w:keepNext/>
        <w:spacing w:after="80" w:before="200" w:line="240"/>
        <w:jc w:val="left"/>
      </w:pPr>
      <w:r>
        <w:rPr>
          <w:rFonts w:ascii="Times New Roman" w:cs="Times New Roman" w:eastAsia="Times New Roman" w:hAnsi="Times New Roman"/>
          <w:b/>
          <w:bCs/>
          <w:color w:val="000000"/>
          <w:sz w:val="20"/>
          <w:szCs w:val="20"/>
        </w:rPr>
        <w:t xml:space="preserve">Tabla 4. </w:t>
      </w:r>
      <w:r>
        <w:rPr>
          <w:rFonts w:ascii="Times New Roman" w:cs="Times New Roman" w:eastAsia="Times New Roman" w:hAnsi="Times New Roman"/>
          <w:i/>
          <w:iCs/>
          <w:color w:val="000000"/>
          <w:sz w:val="20"/>
          <w:szCs w:val="20"/>
        </w:rPr>
        <w:t xml:space="preserve">Modos de respuesta de los endpoints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3"/>
        <w:gridCol w:w="2545"/>
        <w:gridCol w:w="1328"/>
        <w:gridCol w:w="1107"/>
        <w:gridCol w:w="1660"/>
        <w:gridCol w:w="1493"/>
      </w:tblGrid>
      <w:tr>
        <w:trPr>
          <w:cantSplit/>
          <w:tblHeader/>
        </w:trPr>
        <w:tc>
          <w:tcPr>
            <w:tcW w:type="dxa" w:w="1273"/>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Modo</w:t>
            </w:r>
          </w:p>
        </w:tc>
        <w:tc>
          <w:tcPr>
            <w:tcW w:type="dxa" w:w="254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Cómo responde</w:t>
            </w:r>
          </w:p>
        </w:tc>
        <w:tc>
          <w:tcPr>
            <w:tcW w:type="dxa" w:w="13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Latencia</w:t>
            </w:r>
          </w:p>
        </w:tc>
        <w:tc>
          <w:tcPr>
            <w:tcW w:type="dxa" w:w="110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Créditos</w:t>
            </w:r>
          </w:p>
        </w:tc>
        <w:tc>
          <w:tcPr>
            <w:tcW w:type="dxa" w:w="166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Indicadores</w:t>
            </w:r>
          </w:p>
        </w:tc>
        <w:tc>
          <w:tcPr>
            <w:tcW w:type="dxa" w:w="1493"/>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Endpoints CO</w:t>
            </w:r>
          </w:p>
        </w:tc>
      </w:tr>
      <w:tr>
        <w:trPr>
          <w:cantSplit/>
        </w:trPr>
        <w:tc>
          <w:tcPr>
            <w:tcW w:type="dxa" w:w="127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En vivo</w:t>
            </w:r>
          </w:p>
        </w:tc>
        <w:tc>
          <w:tcPr>
            <w:tcW w:type="dxa" w:w="25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Consulta la fuente oficial en el momento; un sujeto por llamada</w:t>
            </w:r>
          </w:p>
        </w:tc>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Segundos; asíncrono si es lento</w:t>
            </w:r>
          </w:p>
        </w:tc>
        <w:tc>
          <w:tcPr>
            <w:tcW w:type="dxa" w:w="110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10</w:t>
            </w:r>
          </w:p>
        </w:tc>
        <w:tc>
          <w:tcPr>
            <w:tcW w:type="dxa" w:w="1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Sin </w:t>
            </w:r>
            <w:r>
              <w:rPr>
                <w:rFonts w:ascii="Times New Roman" w:cs="Times New Roman" w:eastAsia="Times New Roman" w:hAnsi="Times New Roman"/>
                <w:b w:val="false"/>
                <w:bCs w:val="false"/>
                <w:i/>
                <w:iCs/>
                <w:color w:val="000000"/>
                <w:sz w:val="18"/>
                <w:szCs w:val="18"/>
              </w:rPr>
              <w:t xml:space="preserve">as_of</w:t>
            </w:r>
            <w:r>
              <w:rPr>
                <w:rFonts w:ascii="Times New Roman" w:cs="Times New Roman" w:eastAsia="Times New Roman" w:hAnsi="Times New Roman"/>
                <w:b w:val="false"/>
                <w:bCs w:val="false"/>
                <w:color w:val="000000"/>
                <w:sz w:val="18"/>
                <w:szCs w:val="18"/>
              </w:rPr>
              <w:t xml:space="preserve">; </w:t>
            </w:r>
            <w:r>
              <w:rPr>
                <w:rFonts w:ascii="Times New Roman" w:cs="Times New Roman" w:eastAsia="Times New Roman" w:hAnsi="Times New Roman"/>
                <w:b w:val="false"/>
                <w:bCs w:val="false"/>
                <w:i/>
                <w:iCs/>
                <w:color w:val="000000"/>
                <w:sz w:val="18"/>
                <w:szCs w:val="18"/>
              </w:rPr>
              <w:t xml:space="preserve">checked_at</w:t>
            </w:r>
            <w:r>
              <w:rPr>
                <w:rFonts w:ascii="Times New Roman" w:cs="Times New Roman" w:eastAsia="Times New Roman" w:hAnsi="Times New Roman"/>
                <w:b w:val="false"/>
                <w:bCs w:val="false"/>
                <w:color w:val="000000"/>
                <w:sz w:val="18"/>
                <w:szCs w:val="18"/>
              </w:rPr>
              <w:t xml:space="preserve"> en algunas fuentes</w:t>
            </w:r>
          </w:p>
        </w:tc>
        <w:tc>
          <w:tcPr>
            <w:tcW w:type="dxa" w:w="149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59</w:t>
            </w:r>
          </w:p>
        </w:tc>
      </w:tr>
      <w:tr>
        <w:trPr>
          <w:cantSplit/>
        </w:trPr>
        <w:tc>
          <w:tcPr>
            <w:tcW w:type="dxa" w:w="127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Dataset</w:t>
            </w:r>
          </w:p>
        </w:tc>
        <w:tc>
          <w:tcPr>
            <w:tcW w:type="dxa" w:w="25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Responde desde una copia completa que Croma mantiene al día</w:t>
            </w:r>
          </w:p>
        </w:tc>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Milisegundos; nunca asíncrono</w:t>
            </w:r>
          </w:p>
        </w:tc>
        <w:tc>
          <w:tcPr>
            <w:tcW w:type="dxa" w:w="110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w:t>
            </w:r>
          </w:p>
        </w:tc>
        <w:tc>
          <w:tcPr>
            <w:tcW w:type="dxa" w:w="1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as_of</w:t>
            </w:r>
            <w:r>
              <w:rPr>
                <w:rFonts w:ascii="Times New Roman" w:cs="Times New Roman" w:eastAsia="Times New Roman" w:hAnsi="Times New Roman"/>
                <w:b w:val="false"/>
                <w:bCs w:val="false"/>
                <w:color w:val="000000"/>
                <w:sz w:val="18"/>
                <w:szCs w:val="18"/>
              </w:rPr>
              <w:t xml:space="preserve"> en cada respuesta</w:t>
            </w:r>
          </w:p>
        </w:tc>
        <w:tc>
          <w:tcPr>
            <w:tcW w:type="dxa" w:w="149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107</w:t>
            </w:r>
          </w:p>
        </w:tc>
      </w:tr>
      <w:tr>
        <w:trPr>
          <w:cantSplit/>
        </w:trPr>
        <w:tc>
          <w:tcPr>
            <w:tcW w:type="dxa" w:w="127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Lookup</w:t>
            </w:r>
          </w:p>
        </w:tc>
        <w:tc>
          <w:tcPr>
            <w:tcW w:type="dxa" w:w="25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Lee la fuente la primera vez y reutiliza la copia dentro de una ventana de frescura</w:t>
            </w:r>
          </w:p>
        </w:tc>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Milisegundos dentro de la ventana</w:t>
            </w:r>
          </w:p>
        </w:tc>
        <w:tc>
          <w:tcPr>
            <w:tcW w:type="dxa" w:w="110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10</w:t>
            </w:r>
          </w:p>
        </w:tc>
        <w:tc>
          <w:tcPr>
            <w:tcW w:type="dxa" w:w="1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served_from</w:t>
            </w:r>
            <w:r>
              <w:rPr>
                <w:rFonts w:ascii="Times New Roman" w:cs="Times New Roman" w:eastAsia="Times New Roman" w:hAnsi="Times New Roman"/>
                <w:b w:val="false"/>
                <w:bCs w:val="false"/>
                <w:color w:val="000000"/>
                <w:sz w:val="18"/>
                <w:szCs w:val="18"/>
              </w:rPr>
              <w:t xml:space="preserve"> (copy, upstream, stale) y </w:t>
            </w:r>
            <w:r>
              <w:rPr>
                <w:rFonts w:ascii="Times New Roman" w:cs="Times New Roman" w:eastAsia="Times New Roman" w:hAnsi="Times New Roman"/>
                <w:b w:val="false"/>
                <w:bCs w:val="false"/>
                <w:i/>
                <w:iCs/>
                <w:color w:val="000000"/>
                <w:sz w:val="18"/>
                <w:szCs w:val="18"/>
              </w:rPr>
              <w:t xml:space="preserve">checked_at</w:t>
            </w:r>
          </w:p>
        </w:tc>
        <w:tc>
          <w:tcPr>
            <w:tcW w:type="dxa" w:w="149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5</w:t>
            </w:r>
          </w:p>
        </w:tc>
      </w:tr>
      <w:tr>
        <w:trPr>
          <w:cantSplit/>
        </w:trPr>
        <w:tc>
          <w:tcPr>
            <w:tcW w:type="dxa" w:w="127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Lote</w:t>
            </w:r>
          </w:p>
        </w:tc>
        <w:tc>
          <w:tcPr>
            <w:tcW w:type="dxa" w:w="25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Resuelve hasta 50 consultas en vivo en paralelo</w:t>
            </w:r>
          </w:p>
        </w:tc>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Según la fuente</w:t>
            </w:r>
          </w:p>
        </w:tc>
        <w:tc>
          <w:tcPr>
            <w:tcW w:type="dxa" w:w="110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10 por ítem</w:t>
            </w:r>
          </w:p>
        </w:tc>
        <w:tc>
          <w:tcPr>
            <w:tcW w:type="dxa" w:w="1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summary</w:t>
            </w:r>
            <w:r>
              <w:rPr>
                <w:rFonts w:ascii="Times New Roman" w:cs="Times New Roman" w:eastAsia="Times New Roman" w:hAnsi="Times New Roman"/>
                <w:b w:val="false"/>
                <w:bCs w:val="false"/>
                <w:color w:val="000000"/>
                <w:sz w:val="18"/>
                <w:szCs w:val="18"/>
              </w:rPr>
              <w:t xml:space="preserve"> y estado por ítem</w:t>
            </w:r>
          </w:p>
        </w:tc>
        <w:tc>
          <w:tcPr>
            <w:tcW w:type="dxa" w:w="149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Conteos de elaboración propia sobre el catálogo de la Agent Skill y la tabla de fuentes servidas desde dataset de la documentación.</w:t>
      </w:r>
    </w:p>
    <w:p>
      <w:pPr>
        <w:keepNext/>
        <w:spacing w:after="80" w:before="280" w:line="276"/>
        <w:ind w:left="851" w:right="851"/>
        <w:jc w:val="center"/>
      </w:pPr>
      <w:r>
        <w:rPr>
          <w:rFonts w:ascii="Times New Roman" w:cs="Times New Roman" w:eastAsia="Times New Roman" w:hAnsi="Times New Roman"/>
          <w:i/>
          <w:iCs/>
          <w:color w:val="000000"/>
          <w:sz w:val="23"/>
          <w:szCs w:val="23"/>
        </w:rPr>
        <w:t xml:space="preserve">«Sigue respondiendo cuando la fuente está caída o en mantenimiento.»</w:t>
      </w:r>
    </w:p>
    <w:p>
      <w:pPr>
        <w:spacing w:after="280" w:line="240"/>
        <w:ind w:left="851" w:right="851"/>
        <w:jc w:val="center"/>
      </w:pPr>
      <w:r>
        <w:rPr>
          <w:rFonts w:ascii="Times New Roman" w:cs="Times New Roman" w:eastAsia="Times New Roman" w:hAnsi="Times New Roman"/>
          <w:color w:val="000000"/>
          <w:sz w:val="21"/>
          <w:szCs w:val="21"/>
        </w:rPr>
        <w:t xml:space="preserve">(Croma, 2026, «Datasets»). https://docs.usecroma.com/es/datasets</w:t>
      </w:r>
    </w:p>
    <w:p>
      <w:pPr>
        <w:spacing w:after="120" w:before="0" w:line="276"/>
        <w:jc w:val="both"/>
      </w:pPr>
      <w:r>
        <w:rPr>
          <w:rFonts w:ascii="Times New Roman" w:cs="Times New Roman" w:eastAsia="Times New Roman" w:hAnsi="Times New Roman"/>
          <w:color w:val="000000"/>
          <w:sz w:val="23"/>
          <w:szCs w:val="23"/>
        </w:rPr>
        <w:t xml:space="preserve">La ventaja del modo dataset es doble: es diez veces más barato y no depende de la disponibilidad del portal estatal. Su contrapartida es la frescura, que depende del calendario de refresco de cada fuente.</w:t>
      </w:r>
      <w:r>
        <w:rPr>
          <w:rStyle w:val="FootnoteReference"/>
        </w:rPr>
        <w:footnoteReference w:id="11"/>
      </w:r>
      <w:r>
        <w:rPr>
          <w:rFonts w:ascii="Times New Roman" w:cs="Times New Roman" w:eastAsia="Times New Roman" w:hAnsi="Times New Roman"/>
          <w:color w:val="000000"/>
          <w:sz w:val="23"/>
          <w:szCs w:val="23"/>
        </w:rPr>
        <w:t xml:space="preserve"> Las pruebas mostraron, además, que la promesa de disponibilidad no es absoluta: el dataset de procesos de insolvencia de Supersociedades devolvió «temporarily unavailable» en dos intentos separados.</w:t>
      </w:r>
      <w:r>
        <w:rPr>
          <w:rStyle w:val="FootnoteReference"/>
        </w:rPr>
        <w:footnoteReference w:id="12"/>
      </w:r>
      <w:r>
        <w:rPr>
          <w:rFonts w:ascii="Times New Roman" w:cs="Times New Roman" w:eastAsia="Times New Roman" w:hAnsi="Times New Roman"/>
          <w:color w:val="000000"/>
          <w:sz w:val="23"/>
          <w:szCs w:val="23"/>
        </w:rPr>
        <w:t xml:space="preserve"> En el modo lookup, la respuesta informa si salió de la copia (</w:t>
      </w:r>
      <w:r>
        <w:rPr>
          <w:rFonts w:ascii="Times New Roman" w:cs="Times New Roman" w:eastAsia="Times New Roman" w:hAnsi="Times New Roman"/>
          <w:i/>
          <w:iCs/>
          <w:color w:val="000000"/>
          <w:sz w:val="23"/>
          <w:szCs w:val="23"/>
        </w:rPr>
        <w:t xml:space="preserve">copy</w:t>
      </w:r>
      <w:r>
        <w:rPr>
          <w:rFonts w:ascii="Times New Roman" w:cs="Times New Roman" w:eastAsia="Times New Roman" w:hAnsi="Times New Roman"/>
          <w:color w:val="000000"/>
          <w:sz w:val="23"/>
          <w:szCs w:val="23"/>
        </w:rPr>
        <w:t xml:space="preserve">), de la fuente (</w:t>
      </w:r>
      <w:r>
        <w:rPr>
          <w:rFonts w:ascii="Times New Roman" w:cs="Times New Roman" w:eastAsia="Times New Roman" w:hAnsi="Times New Roman"/>
          <w:i/>
          <w:iCs/>
          <w:color w:val="000000"/>
          <w:sz w:val="23"/>
          <w:szCs w:val="23"/>
        </w:rPr>
        <w:t xml:space="preserve">upstream</w:t>
      </w:r>
      <w:r>
        <w:rPr>
          <w:rFonts w:ascii="Times New Roman" w:cs="Times New Roman" w:eastAsia="Times New Roman" w:hAnsi="Times New Roman"/>
          <w:color w:val="000000"/>
          <w:sz w:val="23"/>
          <w:szCs w:val="23"/>
        </w:rPr>
        <w:t xml:space="preserve">) o de una copia vencida usada porque la fuente falló (</w:t>
      </w:r>
      <w:r>
        <w:rPr>
          <w:rFonts w:ascii="Times New Roman" w:cs="Times New Roman" w:eastAsia="Times New Roman" w:hAnsi="Times New Roman"/>
          <w:i/>
          <w:iCs/>
          <w:color w:val="000000"/>
          <w:sz w:val="23"/>
          <w:szCs w:val="23"/>
        </w:rPr>
        <w:t xml:space="preserve">stale</w:t>
      </w:r>
      <w:r>
        <w:rPr>
          <w:rFonts w:ascii="Times New Roman" w:cs="Times New Roman" w:eastAsia="Times New Roman" w:hAnsi="Times New Roman"/>
          <w:color w:val="000000"/>
          <w:sz w:val="23"/>
          <w:szCs w:val="23"/>
        </w:rPr>
        <w:t xml:space="preserve">); por eso se mide como consulta en vivo.</w:t>
      </w:r>
      <w:r>
        <w:rPr>
          <w:rStyle w:val="FootnoteReference"/>
        </w:rPr>
        <w:footnoteReference w:id="13"/>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2.4 — Contrato de respuesta y manejo de errores</w:t>
      </w:r>
    </w:p>
    <w:p>
      <w:pPr>
        <w:spacing w:after="120" w:before="0" w:line="276"/>
        <w:jc w:val="both"/>
      </w:pPr>
      <w:r>
        <w:rPr>
          <w:rFonts w:ascii="Times New Roman" w:cs="Times New Roman" w:eastAsia="Times New Roman" w:hAnsi="Times New Roman"/>
          <w:color w:val="000000"/>
          <w:sz w:val="23"/>
          <w:szCs w:val="23"/>
        </w:rPr>
        <w:t xml:space="preserve">Las respuestas exitosas llegan envueltas en </w:t>
      </w:r>
      <w:r>
        <w:rPr>
          <w:rFonts w:ascii="Times New Roman" w:cs="Times New Roman" w:eastAsia="Times New Roman" w:hAnsi="Times New Roman"/>
          <w:i/>
          <w:iCs/>
          <w:color w:val="000000"/>
          <w:sz w:val="23"/>
          <w:szCs w:val="23"/>
        </w:rPr>
        <w:t xml:space="preserve">{ "data": … }</w:t>
      </w:r>
      <w:r>
        <w:rPr>
          <w:rFonts w:ascii="Times New Roman" w:cs="Times New Roman" w:eastAsia="Times New Roman" w:hAnsi="Times New Roman"/>
          <w:color w:val="000000"/>
          <w:sz w:val="23"/>
          <w:szCs w:val="23"/>
        </w:rPr>
        <w:t xml:space="preserve">; el saldo de créditos y un identificador de solicitud viajan como encabezados (</w:t>
      </w:r>
      <w:r>
        <w:rPr>
          <w:rFonts w:ascii="Times New Roman" w:cs="Times New Roman" w:eastAsia="Times New Roman" w:hAnsi="Times New Roman"/>
          <w:i/>
          <w:iCs/>
          <w:color w:val="000000"/>
          <w:sz w:val="23"/>
          <w:szCs w:val="23"/>
        </w:rPr>
        <w:t xml:space="preserve">X-RateLimit-Limit</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X-RateLimit-Remaining</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X-RateLimit-Reset</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X-Request-Id</w:t>
      </w:r>
      <w:r>
        <w:rPr>
          <w:rFonts w:ascii="Times New Roman" w:cs="Times New Roman" w:eastAsia="Times New Roman" w:hAnsi="Times New Roman"/>
          <w:color w:val="000000"/>
          <w:sz w:val="23"/>
          <w:szCs w:val="23"/>
        </w:rPr>
        <w:t xml:space="preserve">), no en el cuerpo.</w:t>
      </w:r>
      <w:r>
        <w:rPr>
          <w:rStyle w:val="FootnoteReference"/>
        </w:rPr>
        <w:footnoteReference w:id="14"/>
      </w:r>
      <w:r>
        <w:rPr>
          <w:rFonts w:ascii="Times New Roman" w:cs="Times New Roman" w:eastAsia="Times New Roman" w:hAnsi="Times New Roman"/>
          <w:color w:val="000000"/>
          <w:sz w:val="23"/>
          <w:szCs w:val="23"/>
        </w:rPr>
        <w:t xml:space="preserve"> Las fallas usan un sobre común con </w:t>
      </w:r>
      <w:r>
        <w:rPr>
          <w:rFonts w:ascii="Times New Roman" w:cs="Times New Roman" w:eastAsia="Times New Roman" w:hAnsi="Times New Roman"/>
          <w:i/>
          <w:iCs/>
          <w:color w:val="000000"/>
          <w:sz w:val="23"/>
          <w:szCs w:val="23"/>
        </w:rPr>
        <w:t xml:space="preserve">type</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code</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message</w:t>
      </w:r>
      <w:r>
        <w:rPr>
          <w:rFonts w:ascii="Times New Roman" w:cs="Times New Roman" w:eastAsia="Times New Roman" w:hAnsi="Times New Roman"/>
          <w:color w:val="000000"/>
          <w:sz w:val="23"/>
          <w:szCs w:val="23"/>
        </w:rPr>
        <w:t xml:space="preserve"> y, en errores de validación, </w:t>
      </w:r>
      <w:r>
        <w:rPr>
          <w:rFonts w:ascii="Times New Roman" w:cs="Times New Roman" w:eastAsia="Times New Roman" w:hAnsi="Times New Roman"/>
          <w:i/>
          <w:iCs/>
          <w:color w:val="000000"/>
          <w:sz w:val="23"/>
          <w:szCs w:val="23"/>
        </w:rPr>
        <w:t xml:space="preserve">param</w:t>
      </w:r>
      <w:r>
        <w:rPr>
          <w:rFonts w:ascii="Times New Roman" w:cs="Times New Roman" w:eastAsia="Times New Roman" w:hAnsi="Times New Roman"/>
          <w:color w:val="000000"/>
          <w:sz w:val="23"/>
          <w:szCs w:val="23"/>
        </w:rPr>
        <w:t xml:space="preserve"> y </w:t>
      </w:r>
      <w:r>
        <w:rPr>
          <w:rFonts w:ascii="Times New Roman" w:cs="Times New Roman" w:eastAsia="Times New Roman" w:hAnsi="Times New Roman"/>
          <w:i/>
          <w:iCs/>
          <w:color w:val="000000"/>
          <w:sz w:val="23"/>
          <w:szCs w:val="23"/>
        </w:rPr>
        <w:t xml:space="preserve">details</w:t>
      </w:r>
      <w:r>
        <w:rPr>
          <w:rFonts w:ascii="Times New Roman" w:cs="Times New Roman" w:eastAsia="Times New Roman" w:hAnsi="Times New Roman"/>
          <w:color w:val="000000"/>
          <w:sz w:val="23"/>
          <w:szCs w:val="23"/>
        </w:rPr>
        <w:t xml:space="preserve">; la documentación recomienda ramificar por el código de estado y el campo </w:t>
      </w:r>
      <w:r>
        <w:rPr>
          <w:rFonts w:ascii="Times New Roman" w:cs="Times New Roman" w:eastAsia="Times New Roman" w:hAnsi="Times New Roman"/>
          <w:i/>
          <w:iCs/>
          <w:color w:val="000000"/>
          <w:sz w:val="23"/>
          <w:szCs w:val="23"/>
        </w:rPr>
        <w:t xml:space="preserve">code</w:t>
      </w:r>
      <w:r>
        <w:rPr>
          <w:rFonts w:ascii="Times New Roman" w:cs="Times New Roman" w:eastAsia="Times New Roman" w:hAnsi="Times New Roman"/>
          <w:color w:val="000000"/>
          <w:sz w:val="23"/>
          <w:szCs w:val="23"/>
        </w:rPr>
        <w:t xml:space="preserve">.</w:t>
      </w:r>
      <w:r>
        <w:rPr>
          <w:rStyle w:val="FootnoteReference"/>
        </w:rPr>
        <w:footnoteReference w:id="15"/>
      </w:r>
    </w:p>
    <w:p>
      <w:pPr>
        <w:keepNext/>
        <w:spacing w:after="80" w:before="280" w:line="276"/>
        <w:ind w:left="851" w:right="851"/>
        <w:jc w:val="center"/>
      </w:pPr>
      <w:r>
        <w:rPr>
          <w:rFonts w:ascii="Times New Roman" w:cs="Times New Roman" w:eastAsia="Times New Roman" w:hAnsi="Times New Roman"/>
          <w:i/>
          <w:iCs/>
          <w:color w:val="000000"/>
          <w:sz w:val="23"/>
          <w:szCs w:val="23"/>
        </w:rPr>
        <w:t xml:space="preserve">«Un “sin coincidencias” nunca es un 404; es un 200 exitoso.»</w:t>
      </w:r>
    </w:p>
    <w:p>
      <w:pPr>
        <w:spacing w:after="280" w:line="240"/>
        <w:ind w:left="851" w:right="851"/>
        <w:jc w:val="center"/>
      </w:pPr>
      <w:r>
        <w:rPr>
          <w:rFonts w:ascii="Times New Roman" w:cs="Times New Roman" w:eastAsia="Times New Roman" w:hAnsi="Times New Roman"/>
          <w:color w:val="000000"/>
          <w:sz w:val="21"/>
          <w:szCs w:val="21"/>
        </w:rPr>
        <w:t xml:space="preserve">(Croma, 2026, «Errores»). https://docs.usecroma.com/es/errors</w:t>
      </w:r>
    </w:p>
    <w:p>
      <w:pPr>
        <w:keepNext/>
        <w:spacing w:after="80" w:before="200" w:line="240"/>
        <w:jc w:val="left"/>
      </w:pPr>
      <w:r>
        <w:rPr>
          <w:rFonts w:ascii="Times New Roman" w:cs="Times New Roman" w:eastAsia="Times New Roman" w:hAnsi="Times New Roman"/>
          <w:b/>
          <w:bCs/>
          <w:color w:val="000000"/>
          <w:sz w:val="20"/>
          <w:szCs w:val="20"/>
        </w:rPr>
        <w:t xml:space="preserve">Tabla 5. </w:t>
      </w:r>
      <w:r>
        <w:rPr>
          <w:rFonts w:ascii="Times New Roman" w:cs="Times New Roman" w:eastAsia="Times New Roman" w:hAnsi="Times New Roman"/>
          <w:i/>
          <w:iCs/>
          <w:color w:val="000000"/>
          <w:sz w:val="20"/>
          <w:szCs w:val="20"/>
        </w:rPr>
        <w:t xml:space="preserve">Códigos de error y acción recomendada</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
        <w:gridCol w:w="2150"/>
        <w:gridCol w:w="2419"/>
        <w:gridCol w:w="4031"/>
      </w:tblGrid>
      <w:tr>
        <w:trPr>
          <w:cantSplit/>
          <w:tblHeader/>
        </w:trPr>
        <w:tc>
          <w:tcPr>
            <w:tcW w:type="dxa" w:w="806"/>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HTTP</w:t>
            </w:r>
          </w:p>
        </w:tc>
        <w:tc>
          <w:tcPr>
            <w:tcW w:type="dxa" w:w="215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type</w:t>
            </w:r>
          </w:p>
        </w:tc>
        <w:tc>
          <w:tcPr>
            <w:tcW w:type="dxa" w:w="241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code</w:t>
            </w:r>
          </w:p>
        </w:tc>
        <w:tc>
          <w:tcPr>
            <w:tcW w:type="dxa" w:w="403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Significado y acción</w:t>
            </w:r>
          </w:p>
        </w:tc>
      </w:tr>
      <w:tr>
        <w:trPr>
          <w:cantSplit/>
        </w:trPr>
        <w:tc>
          <w:tcPr>
            <w:tcW w:type="dxa" w:w="8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400</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invalid_request_error</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invalid_param</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El cuerpo no pasó la validación; corregir </w:t>
            </w:r>
            <w:r>
              <w:rPr>
                <w:rFonts w:ascii="Times New Roman" w:cs="Times New Roman" w:eastAsia="Times New Roman" w:hAnsi="Times New Roman"/>
                <w:b w:val="false"/>
                <w:bCs w:val="false"/>
                <w:i/>
                <w:iCs/>
                <w:color w:val="000000"/>
                <w:sz w:val="18"/>
                <w:szCs w:val="18"/>
              </w:rPr>
              <w:t xml:space="preserve">param</w:t>
            </w:r>
            <w:r>
              <w:rPr>
                <w:rFonts w:ascii="Times New Roman" w:cs="Times New Roman" w:eastAsia="Times New Roman" w:hAnsi="Times New Roman"/>
                <w:b w:val="false"/>
                <w:bCs w:val="false"/>
                <w:color w:val="000000"/>
                <w:sz w:val="18"/>
                <w:szCs w:val="18"/>
              </w:rPr>
              <w:t xml:space="preserve">. Por MCP llega como error −32602 antes de consumir créditos (T55).</w:t>
            </w:r>
          </w:p>
        </w:tc>
      </w:tr>
      <w:tr>
        <w:trPr>
          <w:cantSplit/>
        </w:trPr>
        <w:tc>
          <w:tcPr>
            <w:tcW w:type="dxa" w:w="8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400</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invalid_request_error</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too_many_results</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La consulta coincide con demasiados registros; acotarla (T01).</w:t>
            </w:r>
          </w:p>
        </w:tc>
      </w:tr>
      <w:tr>
        <w:trPr>
          <w:cantSplit/>
        </w:trPr>
        <w:tc>
          <w:tcPr>
            <w:tcW w:type="dxa" w:w="8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401</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authentication_error</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invalid_api_key · personal_api_key_not_allowed</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Llave ausente, revocada o sin organización.</w:t>
            </w:r>
          </w:p>
        </w:tc>
      </w:tr>
      <w:tr>
        <w:trPr>
          <w:cantSplit/>
        </w:trPr>
        <w:tc>
          <w:tcPr>
            <w:tcW w:type="dxa" w:w="8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402</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billing_error</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plan_limit_reached</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Sin créditos en el periodo; mejorar el plan o esperar </w:t>
            </w:r>
            <w:r>
              <w:rPr>
                <w:rFonts w:ascii="Times New Roman" w:cs="Times New Roman" w:eastAsia="Times New Roman" w:hAnsi="Times New Roman"/>
                <w:b w:val="false"/>
                <w:bCs w:val="false"/>
                <w:i/>
                <w:iCs/>
                <w:color w:val="000000"/>
                <w:sz w:val="18"/>
                <w:szCs w:val="18"/>
              </w:rPr>
              <w:t xml:space="preserve">X-RateLimit-Reset</w:t>
            </w:r>
            <w:r>
              <w:rPr>
                <w:rFonts w:ascii="Times New Roman" w:cs="Times New Roman" w:eastAsia="Times New Roman" w:hAnsi="Times New Roman"/>
                <w:b w:val="false"/>
                <w:bCs w:val="false"/>
                <w:color w:val="000000"/>
                <w:sz w:val="18"/>
                <w:szCs w:val="18"/>
              </w:rPr>
              <w:t xml:space="preserve">.</w:t>
            </w:r>
          </w:p>
        </w:tc>
      </w:tr>
      <w:tr>
        <w:trPr>
          <w:cantSplit/>
        </w:trPr>
        <w:tc>
          <w:tcPr>
            <w:tcW w:type="dxa" w:w="8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404 / 410</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not_found_error</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endpoint_not_found · job_not_found · endpoint_retired</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Ruta o trabajo inexistente; 410 indica retiro con sucesor en el encabezado </w:t>
            </w:r>
            <w:r>
              <w:rPr>
                <w:rFonts w:ascii="Times New Roman" w:cs="Times New Roman" w:eastAsia="Times New Roman" w:hAnsi="Times New Roman"/>
                <w:b w:val="false"/>
                <w:bCs w:val="false"/>
                <w:i/>
                <w:iCs/>
                <w:color w:val="000000"/>
                <w:sz w:val="18"/>
                <w:szCs w:val="18"/>
              </w:rPr>
              <w:t xml:space="preserve">Link</w:t>
            </w:r>
            <w:r>
              <w:rPr>
                <w:rFonts w:ascii="Times New Roman" w:cs="Times New Roman" w:eastAsia="Times New Roman" w:hAnsi="Times New Roman"/>
                <w:b w:val="false"/>
                <w:bCs w:val="false"/>
                <w:color w:val="000000"/>
                <w:sz w:val="18"/>
                <w:szCs w:val="18"/>
              </w:rPr>
              <w:t xml:space="preserve">.</w:t>
            </w:r>
          </w:p>
        </w:tc>
      </w:tr>
      <w:tr>
        <w:trPr>
          <w:cantSplit/>
        </w:trPr>
        <w:tc>
          <w:tcPr>
            <w:tcW w:type="dxa" w:w="8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405</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invalid_request_error</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method_not_allowed</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Los endpoints de datos solo aceptan POST.</w:t>
            </w:r>
          </w:p>
        </w:tc>
      </w:tr>
      <w:tr>
        <w:trPr>
          <w:cantSplit/>
        </w:trPr>
        <w:tc>
          <w:tcPr>
            <w:tcW w:type="dxa" w:w="8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429</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rate_limit_error</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rate_limited</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Tope horario excedido; respetar </w:t>
            </w:r>
            <w:r>
              <w:rPr>
                <w:rFonts w:ascii="Times New Roman" w:cs="Times New Roman" w:eastAsia="Times New Roman" w:hAnsi="Times New Roman"/>
                <w:b w:val="false"/>
                <w:bCs w:val="false"/>
                <w:i/>
                <w:iCs/>
                <w:color w:val="000000"/>
                <w:sz w:val="18"/>
                <w:szCs w:val="18"/>
              </w:rPr>
              <w:t xml:space="preserve">Retry-After</w:t>
            </w:r>
            <w:r>
              <w:rPr>
                <w:rFonts w:ascii="Times New Roman" w:cs="Times New Roman" w:eastAsia="Times New Roman" w:hAnsi="Times New Roman"/>
                <w:b w:val="false"/>
                <w:bCs w:val="false"/>
                <w:color w:val="000000"/>
                <w:sz w:val="18"/>
                <w:szCs w:val="18"/>
              </w:rPr>
              <w:t xml:space="preserve">.</w:t>
            </w:r>
          </w:p>
        </w:tc>
      </w:tr>
      <w:tr>
        <w:trPr>
          <w:cantSplit/>
        </w:trPr>
        <w:tc>
          <w:tcPr>
            <w:tcW w:type="dxa" w:w="8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5xx</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upstream_error</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{fuente}_upstream</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La fuente estatal falló; reintentar (las consultas son idempotentes).</w:t>
            </w:r>
          </w:p>
        </w:tc>
      </w:tr>
      <w:tr>
        <w:trPr>
          <w:cantSplit/>
        </w:trPr>
        <w:tc>
          <w:tcPr>
            <w:tcW w:type="dxa" w:w="8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500</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api_error</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internal_error</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Error interno; reportar con </w:t>
            </w:r>
            <w:r>
              <w:rPr>
                <w:rFonts w:ascii="Times New Roman" w:cs="Times New Roman" w:eastAsia="Times New Roman" w:hAnsi="Times New Roman"/>
                <w:b w:val="false"/>
                <w:bCs w:val="false"/>
                <w:i/>
                <w:iCs/>
                <w:color w:val="000000"/>
                <w:sz w:val="18"/>
                <w:szCs w:val="18"/>
              </w:rPr>
              <w:t xml:space="preserve">X-Request-Id</w:t>
            </w:r>
            <w:r>
              <w:rPr>
                <w:rFonts w:ascii="Times New Roman" w:cs="Times New Roman" w:eastAsia="Times New Roman" w:hAnsi="Times New Roman"/>
                <w:b w:val="false"/>
                <w:bCs w:val="false"/>
                <w:color w:val="000000"/>
                <w:sz w:val="18"/>
                <w:szCs w:val="18"/>
              </w:rPr>
              <w:t xml:space="preserve">.</w:t>
            </w:r>
          </w:p>
        </w:tc>
      </w:tr>
      <w:tr>
        <w:trPr>
          <w:cantSplit/>
        </w:trPr>
        <w:tc>
          <w:tcPr>
            <w:tcW w:type="dxa" w:w="8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trabajo</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job_failed</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Una consulta asíncrona falló como trabajo, no como error HTTP.</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Errores (Croma, 2026). La validación previa al cobro se verificó en la prueba T55.</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2.5 — Asincronía, lotes y caché</w:t>
      </w:r>
    </w:p>
    <w:p>
      <w:pPr>
        <w:spacing w:after="120" w:before="0" w:line="276"/>
        <w:jc w:val="both"/>
      </w:pPr>
      <w:r>
        <w:rPr>
          <w:rFonts w:ascii="Times New Roman" w:cs="Times New Roman" w:eastAsia="Times New Roman" w:hAnsi="Times New Roman"/>
          <w:color w:val="000000"/>
          <w:sz w:val="23"/>
          <w:szCs w:val="23"/>
        </w:rPr>
        <w:t xml:space="preserve">Veintiséis endpoints colombianos se ejecutan como trabajos asíncronos porque su fuente tarda desde unos segundos hasta un par de minutos: Consejo de Estado (búsqueda y providencia), Policía, tres endpoints de la Baranda Virtual de Supersociedades, ADRES, RUAF, SIC Trámites, cuatro de Propiedad Industrial, SICAAC, quejas de la Superfinanciera, los cuatro del RUNT, SIMIT, Contaduría, el documento electrónico de la DIAN, los dos de DIAN MUISCA y los dos de Bancolombia.</w:t>
      </w:r>
      <w:r>
        <w:rPr>
          <w:rStyle w:val="FootnoteReference"/>
        </w:rPr>
        <w:footnoteReference w:id="16"/>
      </w:r>
      <w:r>
        <w:rPr>
          <w:rFonts w:ascii="Times New Roman" w:cs="Times New Roman" w:eastAsia="Times New Roman" w:hAnsi="Times New Roman"/>
          <w:color w:val="000000"/>
          <w:sz w:val="23"/>
          <w:szCs w:val="23"/>
        </w:rPr>
        <w:t xml:space="preserve"> Por REST, la misma solicitud puede resolverse de tres maneras (Tabla 6).</w:t>
      </w:r>
    </w:p>
    <w:p>
      <w:pPr>
        <w:keepNext/>
        <w:spacing w:after="80" w:before="200" w:line="240"/>
        <w:jc w:val="left"/>
      </w:pPr>
      <w:r>
        <w:rPr>
          <w:rFonts w:ascii="Times New Roman" w:cs="Times New Roman" w:eastAsia="Times New Roman" w:hAnsi="Times New Roman"/>
          <w:b/>
          <w:bCs/>
          <w:color w:val="000000"/>
          <w:sz w:val="20"/>
          <w:szCs w:val="20"/>
        </w:rPr>
        <w:t xml:space="preserve">Tabla 6. </w:t>
      </w:r>
      <w:r>
        <w:rPr>
          <w:rFonts w:ascii="Times New Roman" w:cs="Times New Roman" w:eastAsia="Times New Roman" w:hAnsi="Times New Roman"/>
          <w:i/>
          <w:iCs/>
          <w:color w:val="000000"/>
          <w:sz w:val="20"/>
          <w:szCs w:val="20"/>
        </w:rPr>
        <w:t xml:space="preserve">Tres maneras de obtener un resultado asíncrono por REST</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3091"/>
        <w:gridCol w:w="4299"/>
      </w:tblGrid>
      <w:tr>
        <w:trPr>
          <w:cantSplit/>
          <w:tblHeader/>
        </w:trPr>
        <w:tc>
          <w:tcPr>
            <w:tcW w:type="dxa" w:w="2016"/>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Modo</w:t>
            </w:r>
          </w:p>
        </w:tc>
        <w:tc>
          <w:tcPr>
            <w:tcW w:type="dxa" w:w="309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Lo que se envía</w:t>
            </w:r>
          </w:p>
        </w:tc>
        <w:tc>
          <w:tcPr>
            <w:tcW w:type="dxa" w:w="429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Lo que se recibe</w:t>
            </w:r>
          </w:p>
        </w:tc>
      </w:tr>
      <w:tr>
        <w:trPr>
          <w:cantSplit/>
        </w:trPr>
        <w:tc>
          <w:tcPr>
            <w:tcW w:type="dxa" w:w="201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Esperar en línea (predeterminado)</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Nada adicional o </w:t>
            </w:r>
            <w:r>
              <w:rPr>
                <w:rFonts w:ascii="Times New Roman" w:cs="Times New Roman" w:eastAsia="Times New Roman" w:hAnsi="Times New Roman"/>
                <w:b w:val="false"/>
                <w:bCs w:val="false"/>
                <w:i/>
                <w:iCs/>
                <w:color w:val="000000"/>
                <w:sz w:val="18"/>
                <w:szCs w:val="18"/>
              </w:rPr>
              <w:t xml:space="preserve">Prefer: wait=N</w:t>
            </w:r>
            <w:r>
              <w:rPr>
                <w:rFonts w:ascii="Times New Roman" w:cs="Times New Roman" w:eastAsia="Times New Roman" w:hAnsi="Times New Roman"/>
                <w:b w:val="false"/>
                <w:bCs w:val="false"/>
                <w:color w:val="000000"/>
                <w:sz w:val="18"/>
                <w:szCs w:val="18"/>
              </w:rPr>
              <w:t xml:space="preserve"> (máximo 55 s)</w:t>
            </w:r>
          </w:p>
        </w:tc>
        <w:tc>
          <w:tcPr>
            <w:tcW w:type="dxa" w:w="42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200 { data }</w:t>
            </w:r>
            <w:r>
              <w:rPr>
                <w:rFonts w:ascii="Times New Roman" w:cs="Times New Roman" w:eastAsia="Times New Roman" w:hAnsi="Times New Roman"/>
                <w:b w:val="false"/>
                <w:bCs w:val="false"/>
                <w:color w:val="000000"/>
                <w:sz w:val="18"/>
                <w:szCs w:val="18"/>
              </w:rPr>
              <w:t xml:space="preserve"> si termina a tiempo; si no, </w:t>
            </w:r>
            <w:r>
              <w:rPr>
                <w:rFonts w:ascii="Times New Roman" w:cs="Times New Roman" w:eastAsia="Times New Roman" w:hAnsi="Times New Roman"/>
                <w:b w:val="false"/>
                <w:bCs w:val="false"/>
                <w:i/>
                <w:iCs/>
                <w:color w:val="000000"/>
                <w:sz w:val="18"/>
                <w:szCs w:val="18"/>
              </w:rPr>
              <w:t xml:space="preserve">202</w:t>
            </w:r>
            <w:r>
              <w:rPr>
                <w:rFonts w:ascii="Times New Roman" w:cs="Times New Roman" w:eastAsia="Times New Roman" w:hAnsi="Times New Roman"/>
                <w:b w:val="false"/>
                <w:bCs w:val="false"/>
                <w:color w:val="000000"/>
                <w:sz w:val="18"/>
                <w:szCs w:val="18"/>
              </w:rPr>
              <w:t xml:space="preserve"> con </w:t>
            </w:r>
            <w:r>
              <w:rPr>
                <w:rFonts w:ascii="Times New Roman" w:cs="Times New Roman" w:eastAsia="Times New Roman" w:hAnsi="Times New Roman"/>
                <w:b w:val="false"/>
                <w:bCs w:val="false"/>
                <w:i/>
                <w:iCs/>
                <w:color w:val="000000"/>
                <w:sz w:val="18"/>
                <w:szCs w:val="18"/>
              </w:rPr>
              <w:t xml:space="preserve">status_url</w:t>
            </w:r>
            <w:r>
              <w:rPr>
                <w:rFonts w:ascii="Times New Roman" w:cs="Times New Roman" w:eastAsia="Times New Roman" w:hAnsi="Times New Roman"/>
                <w:b w:val="false"/>
                <w:bCs w:val="false"/>
                <w:color w:val="000000"/>
                <w:sz w:val="18"/>
                <w:szCs w:val="18"/>
              </w:rPr>
              <w:t xml:space="preserve"> y encabezado </w:t>
            </w:r>
            <w:r>
              <w:rPr>
                <w:rFonts w:ascii="Times New Roman" w:cs="Times New Roman" w:eastAsia="Times New Roman" w:hAnsi="Times New Roman"/>
                <w:b w:val="false"/>
                <w:bCs w:val="false"/>
                <w:i/>
                <w:iCs/>
                <w:color w:val="000000"/>
                <w:sz w:val="18"/>
                <w:szCs w:val="18"/>
              </w:rPr>
              <w:t xml:space="preserve">X-Job-Id</w:t>
            </w:r>
          </w:p>
        </w:tc>
      </w:tr>
      <w:tr>
        <w:trPr>
          <w:cantSplit/>
        </w:trPr>
        <w:tc>
          <w:tcPr>
            <w:tcW w:type="dxa" w:w="201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Polling</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Prefer: wait=0</w:t>
            </w:r>
          </w:p>
        </w:tc>
        <w:tc>
          <w:tcPr>
            <w:tcW w:type="dxa" w:w="42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202</w:t>
            </w:r>
            <w:r>
              <w:rPr>
                <w:rFonts w:ascii="Times New Roman" w:cs="Times New Roman" w:eastAsia="Times New Roman" w:hAnsi="Times New Roman"/>
                <w:b w:val="false"/>
                <w:bCs w:val="false"/>
                <w:color w:val="000000"/>
                <w:sz w:val="18"/>
                <w:szCs w:val="18"/>
              </w:rPr>
              <w:t xml:space="preserve"> inmediato; luego </w:t>
            </w:r>
            <w:r>
              <w:rPr>
                <w:rFonts w:ascii="Times New Roman" w:cs="Times New Roman" w:eastAsia="Times New Roman" w:hAnsi="Times New Roman"/>
                <w:b w:val="false"/>
                <w:bCs w:val="false"/>
                <w:i/>
                <w:iCs/>
                <w:color w:val="000000"/>
                <w:sz w:val="18"/>
                <w:szCs w:val="18"/>
              </w:rPr>
              <w:t xml:space="preserve">GET /jobs/:id</w:t>
            </w:r>
            <w:r>
              <w:rPr>
                <w:rFonts w:ascii="Times New Roman" w:cs="Times New Roman" w:eastAsia="Times New Roman" w:hAnsi="Times New Roman"/>
                <w:b w:val="false"/>
                <w:bCs w:val="false"/>
                <w:color w:val="000000"/>
                <w:sz w:val="18"/>
                <w:szCs w:val="18"/>
              </w:rPr>
              <w:t xml:space="preserve"> respetando </w:t>
            </w:r>
            <w:r>
              <w:rPr>
                <w:rFonts w:ascii="Times New Roman" w:cs="Times New Roman" w:eastAsia="Times New Roman" w:hAnsi="Times New Roman"/>
                <w:b w:val="false"/>
                <w:bCs w:val="false"/>
                <w:i/>
                <w:iCs/>
                <w:color w:val="000000"/>
                <w:sz w:val="18"/>
                <w:szCs w:val="18"/>
              </w:rPr>
              <w:t xml:space="preserve">Retry-After</w:t>
            </w:r>
            <w:r>
              <w:rPr>
                <w:rFonts w:ascii="Times New Roman" w:cs="Times New Roman" w:eastAsia="Times New Roman" w:hAnsi="Times New Roman"/>
                <w:b w:val="false"/>
                <w:bCs w:val="false"/>
                <w:color w:val="000000"/>
                <w:sz w:val="18"/>
                <w:szCs w:val="18"/>
              </w:rPr>
              <w:t xml:space="preserve"> (cupo propio de 600 por minuto, sin costo)</w:t>
            </w:r>
          </w:p>
        </w:tc>
      </w:tr>
      <w:tr>
        <w:trPr>
          <w:cantSplit/>
        </w:trPr>
        <w:tc>
          <w:tcPr>
            <w:tcW w:type="dxa" w:w="201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Callback</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callback_url</w:t>
            </w:r>
            <w:r>
              <w:rPr>
                <w:rFonts w:ascii="Times New Roman" w:cs="Times New Roman" w:eastAsia="Times New Roman" w:hAnsi="Times New Roman"/>
                <w:b w:val="false"/>
                <w:bCs w:val="false"/>
                <w:color w:val="000000"/>
                <w:sz w:val="18"/>
                <w:szCs w:val="18"/>
              </w:rPr>
              <w:t xml:space="preserve"> HTTPS pública en el cuerpo</w:t>
            </w:r>
          </w:p>
        </w:tc>
        <w:tc>
          <w:tcPr>
            <w:tcW w:type="dxa" w:w="42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202</w:t>
            </w:r>
            <w:r>
              <w:rPr>
                <w:rFonts w:ascii="Times New Roman" w:cs="Times New Roman" w:eastAsia="Times New Roman" w:hAnsi="Times New Roman"/>
                <w:b w:val="false"/>
                <w:bCs w:val="false"/>
                <w:color w:val="000000"/>
                <w:sz w:val="18"/>
                <w:szCs w:val="18"/>
              </w:rPr>
              <w:t xml:space="preserve"> inmediato; luego un POST con el sobre del trabajo, </w:t>
            </w:r>
            <w:r>
              <w:rPr>
                <w:rFonts w:ascii="Times New Roman" w:cs="Times New Roman" w:eastAsia="Times New Roman" w:hAnsi="Times New Roman"/>
                <w:b w:val="false"/>
                <w:bCs w:val="false"/>
                <w:i/>
                <w:iCs/>
                <w:color w:val="000000"/>
                <w:sz w:val="18"/>
                <w:szCs w:val="18"/>
              </w:rPr>
              <w:t xml:space="preserve">x-croma-job-id</w:t>
            </w:r>
            <w:r>
              <w:rPr>
                <w:rFonts w:ascii="Times New Roman" w:cs="Times New Roman" w:eastAsia="Times New Roman" w:hAnsi="Times New Roman"/>
                <w:b w:val="false"/>
                <w:bCs w:val="false"/>
                <w:color w:val="000000"/>
                <w:sz w:val="18"/>
                <w:szCs w:val="18"/>
              </w:rPr>
              <w:t xml:space="preserve"> y firma HMAC </w:t>
            </w:r>
            <w:r>
              <w:rPr>
                <w:rFonts w:ascii="Times New Roman" w:cs="Times New Roman" w:eastAsia="Times New Roman" w:hAnsi="Times New Roman"/>
                <w:b w:val="false"/>
                <w:bCs w:val="false"/>
                <w:i/>
                <w:iCs/>
                <w:color w:val="000000"/>
                <w:sz w:val="18"/>
                <w:szCs w:val="18"/>
              </w:rPr>
              <w:t xml:space="preserve">x-croma-signature</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Trabajos asíncronos (Croma, 2026). Estados posibles: queued, running, completed, failed, canceled y expired.</w:t>
      </w:r>
    </w:p>
    <w:p>
      <w:pPr>
        <w:keepNext/>
        <w:spacing w:after="80" w:before="280" w:line="276"/>
        <w:ind w:left="851" w:right="851"/>
        <w:jc w:val="center"/>
      </w:pPr>
      <w:r>
        <w:rPr>
          <w:rFonts w:ascii="Times New Roman" w:cs="Times New Roman" w:eastAsia="Times New Roman" w:hAnsi="Times New Roman"/>
          <w:i/>
          <w:iCs/>
          <w:color w:val="000000"/>
          <w:sz w:val="23"/>
          <w:szCs w:val="23"/>
        </w:rPr>
        <w:t xml:space="preserve">«Las consultas asíncronas siempre esperan en línea sobre MCP: la llamada a la herramienta devuelve el resultado terminado, sin 202, polling ni callbacks.»</w:t>
      </w:r>
    </w:p>
    <w:p>
      <w:pPr>
        <w:spacing w:after="280" w:line="240"/>
        <w:ind w:left="851" w:right="851"/>
        <w:jc w:val="center"/>
      </w:pPr>
      <w:r>
        <w:rPr>
          <w:rFonts w:ascii="Times New Roman" w:cs="Times New Roman" w:eastAsia="Times New Roman" w:hAnsi="Times New Roman"/>
          <w:color w:val="000000"/>
          <w:sz w:val="21"/>
          <w:szCs w:val="21"/>
        </w:rPr>
        <w:t xml:space="preserve">(Croma, 2026, «MCP»). https://docs.usecroma.com/es/mcp-server</w:t>
      </w:r>
    </w:p>
    <w:p>
      <w:pPr>
        <w:spacing w:after="120" w:before="0" w:line="276"/>
        <w:jc w:val="both"/>
      </w:pPr>
      <w:r>
        <w:rPr>
          <w:rFonts w:ascii="Times New Roman" w:cs="Times New Roman" w:eastAsia="Times New Roman" w:hAnsi="Times New Roman"/>
          <w:color w:val="000000"/>
          <w:sz w:val="23"/>
          <w:szCs w:val="23"/>
        </w:rPr>
        <w:t xml:space="preserve">Así ocurrió en las pruebas: la consulta asíncrona del portafolio de marcas de un titular y la providencia del Consejo de Estado se resolvieron dentro de la misma llamada MCP.</w:t>
      </w:r>
      <w:r>
        <w:rPr>
          <w:rStyle w:val="FootnoteReference"/>
        </w:rPr>
        <w:footnoteReference w:id="17"/>
      </w:r>
      <w:r>
        <w:rPr>
          <w:rFonts w:ascii="Times New Roman" w:cs="Times New Roman" w:eastAsia="Times New Roman" w:hAnsi="Times New Roman"/>
          <w:color w:val="000000"/>
          <w:sz w:val="23"/>
          <w:szCs w:val="23"/>
        </w:rPr>
        <w:t xml:space="preserve"> El modo en lote existe hoy para un único endpoint —Rama Judicial por radicado—: recibe entre 1 y 50 ítems, deduplica las entradas repetidas, cobra por ítem, comparte caché con el endpoint individual y nunca falla en bloque por un ítem defectuoso de la fuente, aunque un ítem mal formado invalida toda la solicitud con un 400.</w:t>
      </w:r>
      <w:r>
        <w:rPr>
          <w:rStyle w:val="FootnoteReference"/>
        </w:rPr>
        <w:footnoteReference w:id="18"/>
      </w:r>
      <w:r>
        <w:rPr>
          <w:rStyle w:val="FootnoteReference"/>
        </w:rPr>
        <w:footnoteReference w:id="19"/>
      </w:r>
      <w:r>
        <w:rPr>
          <w:rFonts w:ascii="Times New Roman" w:cs="Times New Roman" w:eastAsia="Times New Roman" w:hAnsi="Times New Roman"/>
          <w:color w:val="000000"/>
          <w:sz w:val="23"/>
          <w:szCs w:val="23"/>
        </w:rPr>
        <w:t xml:space="preserve"> Una consulta idéntica y reciente se responde desde caché (</w:t>
      </w:r>
      <w:r>
        <w:rPr>
          <w:rFonts w:ascii="Times New Roman" w:cs="Times New Roman" w:eastAsia="Times New Roman" w:hAnsi="Times New Roman"/>
          <w:i/>
          <w:iCs/>
          <w:color w:val="000000"/>
          <w:sz w:val="23"/>
          <w:szCs w:val="23"/>
        </w:rPr>
        <w:t xml:space="preserve">X-Cache: HIT</w:t>
      </w:r>
      <w:r>
        <w:rPr>
          <w:rFonts w:ascii="Times New Roman" w:cs="Times New Roman" w:eastAsia="Times New Roman" w:hAnsi="Times New Roman"/>
          <w:color w:val="000000"/>
          <w:sz w:val="23"/>
          <w:szCs w:val="23"/>
        </w:rPr>
        <w:t xml:space="preserve">) sin consumir créditos.</w:t>
      </w:r>
      <w:r>
        <w:rPr>
          <w:rStyle w:val="FootnoteReference"/>
        </w:rPr>
        <w:footnoteReference w:id="20"/>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2.6 — Créditos, planes y límites</w:t>
      </w:r>
    </w:p>
    <w:p>
      <w:pPr>
        <w:spacing w:after="120" w:before="0" w:line="276"/>
        <w:jc w:val="both"/>
      </w:pPr>
      <w:r>
        <w:rPr>
          <w:rFonts w:ascii="Times New Roman" w:cs="Times New Roman" w:eastAsia="Times New Roman" w:hAnsi="Times New Roman"/>
          <w:color w:val="000000"/>
          <w:sz w:val="23"/>
          <w:szCs w:val="23"/>
        </w:rPr>
        <w:t xml:space="preserve">Cada organización tiene un saldo mensual de créditos: una consulta en vivo (o un lookup) cuesta 10 y una solicitud a dataset cuesta 1, sin importar cuántos datos traiga la respuesta. Las respuestas desde caché, las solicitudes fallidas y la consulta del estado de un trabajo no consumen créditos.</w:t>
      </w:r>
      <w:r>
        <w:rPr>
          <w:rStyle w:val="FootnoteReference"/>
        </w:rPr>
        <w:footnoteReference w:id="21"/>
      </w:r>
      <w:r>
        <w:rPr>
          <w:rStyle w:val="FootnoteReference"/>
        </w:rPr>
        <w:footnoteReference w:id="22"/>
      </w:r>
    </w:p>
    <w:p>
      <w:pPr>
        <w:keepNext/>
        <w:spacing w:after="80" w:before="200" w:line="240"/>
        <w:jc w:val="left"/>
      </w:pPr>
      <w:r>
        <w:rPr>
          <w:rFonts w:ascii="Times New Roman" w:cs="Times New Roman" w:eastAsia="Times New Roman" w:hAnsi="Times New Roman"/>
          <w:b/>
          <w:bCs/>
          <w:color w:val="000000"/>
          <w:sz w:val="20"/>
          <w:szCs w:val="20"/>
        </w:rPr>
        <w:t xml:space="preserve">Tabla 7. </w:t>
      </w:r>
      <w:r>
        <w:rPr>
          <w:rFonts w:ascii="Times New Roman" w:cs="Times New Roman" w:eastAsia="Times New Roman" w:hAnsi="Times New Roman"/>
          <w:i/>
          <w:iCs/>
          <w:color w:val="000000"/>
          <w:sz w:val="20"/>
          <w:szCs w:val="20"/>
        </w:rPr>
        <w:t xml:space="preserve">Planes y equivalencias de créditos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6"/>
        <w:gridCol w:w="1344"/>
        <w:gridCol w:w="1588"/>
        <w:gridCol w:w="1710"/>
        <w:gridCol w:w="1710"/>
        <w:gridCol w:w="1588"/>
      </w:tblGrid>
      <w:tr>
        <w:trPr>
          <w:cantSplit/>
          <w:tblHeader/>
        </w:trPr>
        <w:tc>
          <w:tcPr>
            <w:tcW w:type="dxa" w:w="1466"/>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Plan</w:t>
            </w:r>
          </w:p>
        </w:tc>
        <w:tc>
          <w:tcPr>
            <w:tcW w:type="dxa" w:w="1344"/>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USD / mes</w:t>
            </w:r>
          </w:p>
        </w:tc>
        <w:tc>
          <w:tcPr>
            <w:tcW w:type="dxa" w:w="158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Créditos / mes</w:t>
            </w:r>
          </w:p>
        </w:tc>
        <w:tc>
          <w:tcPr>
            <w:tcW w:type="dxa" w:w="17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Consultas en vivo</w:t>
            </w:r>
          </w:p>
        </w:tc>
        <w:tc>
          <w:tcPr>
            <w:tcW w:type="dxa" w:w="17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Solicitudes a dataset</w:t>
            </w:r>
          </w:p>
        </w:tc>
        <w:tc>
          <w:tcPr>
            <w:tcW w:type="dxa" w:w="158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USD por 1.000 créditos</w:t>
            </w:r>
          </w:p>
        </w:tc>
      </w:tr>
      <w:tr>
        <w:trPr>
          <w:cantSplit/>
        </w:trPr>
        <w:tc>
          <w:tcPr>
            <w:tcW w:type="dxa" w:w="14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Free</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5.000 (1.500 desde el 15-oct-2026)</w:t>
            </w:r>
          </w:p>
        </w:tc>
        <w:tc>
          <w:tcPr>
            <w:tcW w:type="dxa" w:w="17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500 (150)</w:t>
            </w:r>
          </w:p>
        </w:tc>
        <w:tc>
          <w:tcPr>
            <w:tcW w:type="dxa" w:w="17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5.000 (1.500)</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w:t>
            </w:r>
          </w:p>
        </w:tc>
      </w:tr>
      <w:tr>
        <w:trPr>
          <w:cantSplit/>
        </w:trPr>
        <w:tc>
          <w:tcPr>
            <w:tcW w:type="dxa" w:w="14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Hobby</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20</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20.000</w:t>
            </w:r>
          </w:p>
        </w:tc>
        <w:tc>
          <w:tcPr>
            <w:tcW w:type="dxa" w:w="17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2.000</w:t>
            </w:r>
          </w:p>
        </w:tc>
        <w:tc>
          <w:tcPr>
            <w:tcW w:type="dxa" w:w="17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20.000</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1,00</w:t>
            </w:r>
          </w:p>
        </w:tc>
      </w:tr>
      <w:tr>
        <w:trPr>
          <w:cantSplit/>
        </w:trPr>
        <w:tc>
          <w:tcPr>
            <w:tcW w:type="dxa" w:w="14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Standard</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99</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100.000</w:t>
            </w:r>
          </w:p>
        </w:tc>
        <w:tc>
          <w:tcPr>
            <w:tcW w:type="dxa" w:w="17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10.000</w:t>
            </w:r>
          </w:p>
        </w:tc>
        <w:tc>
          <w:tcPr>
            <w:tcW w:type="dxa" w:w="17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100.000</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0,99</w:t>
            </w:r>
          </w:p>
        </w:tc>
      </w:tr>
      <w:tr>
        <w:trPr>
          <w:cantSplit/>
        </w:trPr>
        <w:tc>
          <w:tcPr>
            <w:tcW w:type="dxa" w:w="14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Pro</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299</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350.000</w:t>
            </w:r>
          </w:p>
        </w:tc>
        <w:tc>
          <w:tcPr>
            <w:tcW w:type="dxa" w:w="17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35.000</w:t>
            </w:r>
          </w:p>
        </w:tc>
        <w:tc>
          <w:tcPr>
            <w:tcW w:type="dxa" w:w="17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350.000</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0,85</w:t>
            </w:r>
          </w:p>
        </w:tc>
      </w:tr>
      <w:tr>
        <w:trPr>
          <w:cantSplit/>
        </w:trPr>
        <w:tc>
          <w:tcPr>
            <w:tcW w:type="dxa" w:w="14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Scale</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799</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1.000.000</w:t>
            </w:r>
          </w:p>
        </w:tc>
        <w:tc>
          <w:tcPr>
            <w:tcW w:type="dxa" w:w="17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100.000</w:t>
            </w:r>
          </w:p>
        </w:tc>
        <w:tc>
          <w:tcPr>
            <w:tcW w:type="dxa" w:w="17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1.000.000</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0,80</w:t>
            </w:r>
          </w:p>
        </w:tc>
      </w:tr>
      <w:tr>
        <w:trPr>
          <w:cantSplit/>
        </w:trPr>
        <w:tc>
          <w:tcPr>
            <w:tcW w:type="dxa" w:w="14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Contrato</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A medida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Cifra mensual pactada</w:t>
            </w:r>
          </w:p>
        </w:tc>
        <w:tc>
          <w:tcPr>
            <w:tcW w:type="dxa" w:w="17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w:t>
            </w:r>
          </w:p>
        </w:tc>
        <w:tc>
          <w:tcPr>
            <w:tcW w:type="dxa" w:w="17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Precios (Croma, 2026). Los créditos no se acumulan entre periodos; no existe pago por uso: al agotarse el saldo, las solicitudes reciben 402.</w:t>
      </w:r>
    </w:p>
    <w:p>
      <w:pPr>
        <w:keepNext/>
        <w:spacing w:after="80" w:before="280" w:line="276"/>
        <w:ind w:left="851" w:right="851"/>
        <w:jc w:val="center"/>
      </w:pPr>
      <w:r>
        <w:rPr>
          <w:rFonts w:ascii="Times New Roman" w:cs="Times New Roman" w:eastAsia="Times New Roman" w:hAnsi="Times New Roman"/>
          <w:i/>
          <w:iCs/>
          <w:color w:val="000000"/>
          <w:sz w:val="23"/>
          <w:szCs w:val="23"/>
        </w:rPr>
        <w:t xml:space="preserve">«Una solicitud que falla no consume nada y una respuesta desde caché tampoco.»</w:t>
      </w:r>
    </w:p>
    <w:p>
      <w:pPr>
        <w:spacing w:after="280" w:line="240"/>
        <w:ind w:left="851" w:right="851"/>
        <w:jc w:val="center"/>
      </w:pPr>
      <w:r>
        <w:rPr>
          <w:rFonts w:ascii="Times New Roman" w:cs="Times New Roman" w:eastAsia="Times New Roman" w:hAnsi="Times New Roman"/>
          <w:color w:val="000000"/>
          <w:sz w:val="21"/>
          <w:szCs w:val="21"/>
        </w:rPr>
        <w:t xml:space="preserve">(Croma, 2026, «Precios: planes y créditos de la API de Croma»). https://usecroma.com/es/pricing</w:t>
      </w:r>
    </w:p>
    <w:p>
      <w:pPr>
        <w:spacing w:after="120" w:before="0" w:line="276"/>
        <w:jc w:val="both"/>
      </w:pPr>
      <w:r>
        <w:rPr>
          <w:rFonts w:ascii="Times New Roman" w:cs="Times New Roman" w:eastAsia="Times New Roman" w:hAnsi="Times New Roman"/>
          <w:color w:val="000000"/>
          <w:sz w:val="23"/>
          <w:szCs w:val="23"/>
        </w:rPr>
        <w:t xml:space="preserve">Encima de los créditos existen topes horarios. La página de límites indica 100 búsquedas web, 60 extracciones o generaciones y 10 investigaciones por hora solo en el plan gratuito, y ningún tope en los planes de pago.</w:t>
      </w:r>
      <w:r>
        <w:rPr>
          <w:rStyle w:val="FootnoteReference"/>
        </w:rPr>
        <w:footnoteReference w:id="23"/>
      </w:r>
      <w:r>
        <w:rPr>
          <w:rFonts w:ascii="Times New Roman" w:cs="Times New Roman" w:eastAsia="Times New Roman" w:hAnsi="Times New Roman"/>
          <w:color w:val="000000"/>
          <w:sz w:val="23"/>
          <w:szCs w:val="23"/>
        </w:rPr>
        <w:t xml:space="preserve"> La página de precios, en cambio, afirma que búsqueda web e investigación permiten 10 llamadas por hora y extracción y generación 60 por hora «en todos los planes».</w:t>
      </w:r>
      <w:r>
        <w:rPr>
          <w:rStyle w:val="FootnoteReference"/>
        </w:rPr>
        <w:footnoteReference w:id="24"/>
      </w:r>
      <w:r>
        <w:rPr>
          <w:rFonts w:ascii="Times New Roman" w:cs="Times New Roman" w:eastAsia="Times New Roman" w:hAnsi="Times New Roman"/>
          <w:color w:val="000000"/>
          <w:sz w:val="23"/>
          <w:szCs w:val="23"/>
        </w:rPr>
        <w:t xml:space="preserve"> Mientras Croma no unifique ambas versiones, conviene diseñar con el límite más estricto. Otro hecho relevante para la planeación: desde el 15 de octubre de 2026, tres días después de esta exploración, el plan gratuito baja de 5.000 a 1.500 créditos mensuales.</w:t>
      </w:r>
      <w:r>
        <w:rPr>
          <w:rStyle w:val="FootnoteReference"/>
        </w:rPr>
        <w:footnoteReference w:id="25"/>
      </w:r>
      <w:r>
        <w:rPr>
          <w:rFonts w:ascii="Times New Roman" w:cs="Times New Roman" w:eastAsia="Times New Roman" w:hAnsi="Times New Roman"/>
          <w:color w:val="000000"/>
          <w:sz w:val="23"/>
          <w:szCs w:val="23"/>
        </w:rPr>
        <w:t xml:space="preserve"> El limitador «falla abierto»: si su backend no está disponible, deja pasar las solicitudes sin encabezados </w:t>
      </w:r>
      <w:r>
        <w:rPr>
          <w:rFonts w:ascii="Times New Roman" w:cs="Times New Roman" w:eastAsia="Times New Roman" w:hAnsi="Times New Roman"/>
          <w:i/>
          <w:iCs/>
          <w:color w:val="000000"/>
          <w:sz w:val="23"/>
          <w:szCs w:val="23"/>
        </w:rPr>
        <w:t xml:space="preserve">X-RateLimit-*</w:t>
      </w:r>
      <w:r>
        <w:rPr>
          <w:rFonts w:ascii="Times New Roman" w:cs="Times New Roman" w:eastAsia="Times New Roman" w:hAnsi="Times New Roman"/>
          <w:color w:val="000000"/>
          <w:sz w:val="23"/>
          <w:szCs w:val="23"/>
        </w:rPr>
        <w:t xml:space="preserve">, por lo que el cliente no debe depender de su presencia.</w:t>
      </w:r>
      <w:r>
        <w:rPr>
          <w:rStyle w:val="FootnoteReference"/>
        </w:rPr>
        <w:footnoteReference w:id="26"/>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2.7 — Versionado y deprecación</w:t>
      </w:r>
    </w:p>
    <w:p>
      <w:pPr>
        <w:keepNext/>
        <w:spacing w:after="80" w:before="280" w:line="276"/>
        <w:ind w:left="851" w:right="851"/>
        <w:jc w:val="center"/>
      </w:pPr>
      <w:r>
        <w:rPr>
          <w:rFonts w:ascii="Times New Roman" w:cs="Times New Roman" w:eastAsia="Times New Roman" w:hAnsi="Times New Roman"/>
          <w:i/>
          <w:iCs/>
          <w:color w:val="000000"/>
          <w:sz w:val="23"/>
          <w:szCs w:val="23"/>
        </w:rPr>
        <w:t xml:space="preserve">«Los agentes se integran una vez y luego corren sin supervisión, así que el contrato tiene que decir de antemano qué puede cambiar y con cuánto aviso.»</w:t>
      </w:r>
    </w:p>
    <w:p>
      <w:pPr>
        <w:spacing w:after="280" w:line="240"/>
        <w:ind w:left="851" w:right="851"/>
        <w:jc w:val="center"/>
      </w:pPr>
      <w:r>
        <w:rPr>
          <w:rFonts w:ascii="Times New Roman" w:cs="Times New Roman" w:eastAsia="Times New Roman" w:hAnsi="Times New Roman"/>
          <w:color w:val="000000"/>
          <w:sz w:val="21"/>
          <w:szCs w:val="21"/>
        </w:rPr>
        <w:t xml:space="preserve">(Croma, 2026, «Versionado y deprecación»). https://docs.usecroma.com/es/versioning</w:t>
      </w:r>
    </w:p>
    <w:p>
      <w:pPr>
        <w:spacing w:after="120" w:before="0" w:line="276"/>
        <w:jc w:val="both"/>
      </w:pPr>
      <w:r>
        <w:rPr>
          <w:rFonts w:ascii="Times New Roman" w:cs="Times New Roman" w:eastAsia="Times New Roman" w:hAnsi="Times New Roman"/>
          <w:color w:val="000000"/>
          <w:sz w:val="23"/>
          <w:szCs w:val="23"/>
        </w:rPr>
        <w:t xml:space="preserve">La versión mayor viaja en la ruta (</w:t>
      </w:r>
      <w:r>
        <w:rPr>
          <w:rFonts w:ascii="Times New Roman" w:cs="Times New Roman" w:eastAsia="Times New Roman" w:hAnsi="Times New Roman"/>
          <w:i/>
          <w:iCs/>
          <w:color w:val="000000"/>
          <w:sz w:val="23"/>
          <w:szCs w:val="23"/>
        </w:rPr>
        <w:t xml:space="preserve">/v1</w:t>
      </w:r>
      <w:r>
        <w:rPr>
          <w:rFonts w:ascii="Times New Roman" w:cs="Times New Roman" w:eastAsia="Times New Roman" w:hAnsi="Times New Roman"/>
          <w:color w:val="000000"/>
          <w:sz w:val="23"/>
          <w:szCs w:val="23"/>
        </w:rPr>
        <w:t xml:space="preserve">). Dentro de una versión el contrato solo crece: pueden aparecer endpoints, campos opcionales de entrada, campos de respuesta, valores nuevos en conjuntos abiertos y fuentes nuevas detrás de un endpoint. Eliminar o renombrar campos, cambiar tipos o significados, volver obligatorio un campo o cambiar un código de error exige una nueva ruta </w:t>
      </w:r>
      <w:r>
        <w:rPr>
          <w:rFonts w:ascii="Times New Roman" w:cs="Times New Roman" w:eastAsia="Times New Roman" w:hAnsi="Times New Roman"/>
          <w:i/>
          <w:iCs/>
          <w:color w:val="000000"/>
          <w:sz w:val="23"/>
          <w:szCs w:val="23"/>
        </w:rPr>
        <w:t xml:space="preserve">/v2</w:t>
      </w:r>
      <w:r>
        <w:rPr>
          <w:rFonts w:ascii="Times New Roman" w:cs="Times New Roman" w:eastAsia="Times New Roman" w:hAnsi="Times New Roman"/>
          <w:color w:val="000000"/>
          <w:sz w:val="23"/>
          <w:szCs w:val="23"/>
        </w:rPr>
        <w:t xml:space="preserve">. Un retiro se anuncia con al menos 90 días en el changelog y en cada respuesta mediante los encabezados </w:t>
      </w:r>
      <w:r>
        <w:rPr>
          <w:rFonts w:ascii="Times New Roman" w:cs="Times New Roman" w:eastAsia="Times New Roman" w:hAnsi="Times New Roman"/>
          <w:i/>
          <w:iCs/>
          <w:color w:val="000000"/>
          <w:sz w:val="23"/>
          <w:szCs w:val="23"/>
        </w:rPr>
        <w:t xml:space="preserve">Deprecation</w:t>
      </w:r>
      <w:r>
        <w:rPr>
          <w:rFonts w:ascii="Times New Roman" w:cs="Times New Roman" w:eastAsia="Times New Roman" w:hAnsi="Times New Roman"/>
          <w:color w:val="000000"/>
          <w:sz w:val="23"/>
          <w:szCs w:val="23"/>
        </w:rPr>
        <w:t xml:space="preserve"> (RFC 9745), </w:t>
      </w:r>
      <w:r>
        <w:rPr>
          <w:rFonts w:ascii="Times New Roman" w:cs="Times New Roman" w:eastAsia="Times New Roman" w:hAnsi="Times New Roman"/>
          <w:i/>
          <w:iCs/>
          <w:color w:val="000000"/>
          <w:sz w:val="23"/>
          <w:szCs w:val="23"/>
        </w:rPr>
        <w:t xml:space="preserve">Sunset</w:t>
      </w:r>
      <w:r>
        <w:rPr>
          <w:rFonts w:ascii="Times New Roman" w:cs="Times New Roman" w:eastAsia="Times New Roman" w:hAnsi="Times New Roman"/>
          <w:color w:val="000000"/>
          <w:sz w:val="23"/>
          <w:szCs w:val="23"/>
        </w:rPr>
        <w:t xml:space="preserve"> (RFC 8594) y </w:t>
      </w:r>
      <w:r>
        <w:rPr>
          <w:rFonts w:ascii="Times New Roman" w:cs="Times New Roman" w:eastAsia="Times New Roman" w:hAnsi="Times New Roman"/>
          <w:i/>
          <w:iCs/>
          <w:color w:val="000000"/>
          <w:sz w:val="23"/>
          <w:szCs w:val="23"/>
        </w:rPr>
        <w:t xml:space="preserve">Link</w:t>
      </w:r>
      <w:r>
        <w:rPr>
          <w:rFonts w:ascii="Times New Roman" w:cs="Times New Roman" w:eastAsia="Times New Roman" w:hAnsi="Times New Roman"/>
          <w:color w:val="000000"/>
          <w:sz w:val="23"/>
          <w:szCs w:val="23"/>
        </w:rPr>
        <w:t xml:space="preserve"> con </w:t>
      </w:r>
      <w:r>
        <w:rPr>
          <w:rFonts w:ascii="Times New Roman" w:cs="Times New Roman" w:eastAsia="Times New Roman" w:hAnsi="Times New Roman"/>
          <w:i/>
          <w:iCs/>
          <w:color w:val="000000"/>
          <w:sz w:val="23"/>
          <w:szCs w:val="23"/>
        </w:rPr>
        <w:t xml:space="preserve">rel="successor-version"</w:t>
      </w:r>
      <w:r>
        <w:rPr>
          <w:rFonts w:ascii="Times New Roman" w:cs="Times New Roman" w:eastAsia="Times New Roman" w:hAnsi="Times New Roman"/>
          <w:color w:val="000000"/>
          <w:sz w:val="23"/>
          <w:szCs w:val="23"/>
        </w:rPr>
        <w:t xml:space="preserve">; vencida la fecha, la ruta responde </w:t>
      </w:r>
      <w:r>
        <w:rPr>
          <w:rFonts w:ascii="Times New Roman" w:cs="Times New Roman" w:eastAsia="Times New Roman" w:hAnsi="Times New Roman"/>
          <w:i/>
          <w:iCs/>
          <w:color w:val="000000"/>
          <w:sz w:val="23"/>
          <w:szCs w:val="23"/>
        </w:rPr>
        <w:t xml:space="preserve">410 endpoint_retired</w:t>
      </w:r>
      <w:r>
        <w:rPr>
          <w:rFonts w:ascii="Times New Roman" w:cs="Times New Roman" w:eastAsia="Times New Roman" w:hAnsi="Times New Roman"/>
          <w:color w:val="000000"/>
          <w:sz w:val="23"/>
          <w:szCs w:val="23"/>
        </w:rPr>
        <w:t xml:space="preserve"> durante al menos otros 90 días.</w:t>
      </w:r>
      <w:r>
        <w:rPr>
          <w:rStyle w:val="FootnoteReference"/>
        </w:rPr>
        <w:footnoteReference w:id="27"/>
      </w:r>
    </w:p>
    <w:p>
      <w:pPr>
        <w:keepNext/>
        <w:spacing w:after="80" w:before="200" w:line="240"/>
        <w:jc w:val="left"/>
      </w:pPr>
      <w:r>
        <w:rPr>
          <w:rFonts w:ascii="Times New Roman" w:cs="Times New Roman" w:eastAsia="Times New Roman" w:hAnsi="Times New Roman"/>
          <w:b/>
          <w:bCs/>
          <w:color w:val="000000"/>
          <w:sz w:val="20"/>
          <w:szCs w:val="20"/>
        </w:rPr>
        <w:t xml:space="preserve">Tabla 8. </w:t>
      </w:r>
      <w:r>
        <w:rPr>
          <w:rFonts w:ascii="Times New Roman" w:cs="Times New Roman" w:eastAsia="Times New Roman" w:hAnsi="Times New Roman"/>
          <w:i/>
          <w:iCs/>
          <w:color w:val="000000"/>
          <w:sz w:val="20"/>
          <w:szCs w:val="20"/>
        </w:rPr>
        <w:t xml:space="preserve">Endpoints colombianos deprecados vigentes a la fecha del informe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92"/>
        <w:gridCol w:w="1528"/>
        <w:gridCol w:w="1528"/>
        <w:gridCol w:w="3058"/>
      </w:tblGrid>
      <w:tr>
        <w:trPr>
          <w:cantSplit/>
          <w:tblHeader/>
        </w:trPr>
        <w:tc>
          <w:tcPr>
            <w:tcW w:type="dxa" w:w="3292"/>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Endpoint</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Deprecado desde</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Deja de responder</w:t>
            </w:r>
          </w:p>
        </w:tc>
        <w:tc>
          <w:tcPr>
            <w:tcW w:type="dxa" w:w="305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Sucesor</w:t>
            </w:r>
          </w:p>
        </w:tc>
      </w:tr>
      <w:tr>
        <w:trPr>
          <w:cantSplit/>
        </w:trPr>
        <w:tc>
          <w:tcPr>
            <w:tcW w:type="dxa" w:w="329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POST /co/secop/contracts-by-provider/v1</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2026-08-30</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2026-12-01</w:t>
            </w:r>
          </w:p>
        </w:tc>
        <w:tc>
          <w:tcPr>
            <w:tcW w:type="dxa" w:w="3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/co/secop/contracts-search/v1</w:t>
            </w:r>
          </w:p>
        </w:tc>
      </w:tr>
      <w:tr>
        <w:trPr>
          <w:cantSplit/>
        </w:trPr>
        <w:tc>
          <w:tcPr>
            <w:tcW w:type="dxa" w:w="329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POST /co/secop/processes-by-entity/v1</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2026-08-30</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2026-12-01</w:t>
            </w:r>
          </w:p>
        </w:tc>
        <w:tc>
          <w:tcPr>
            <w:tcW w:type="dxa" w:w="3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/co/secop/processes-search/v1</w:t>
            </w:r>
          </w:p>
        </w:tc>
      </w:tr>
      <w:tr>
        <w:trPr>
          <w:cantSplit/>
        </w:trPr>
        <w:tc>
          <w:tcPr>
            <w:tcW w:type="dxa" w:w="329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POST /co/secop/sanctions-by-provider/v1</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2026-08-30</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2026-12-01</w:t>
            </w:r>
          </w:p>
        </w:tc>
        <w:tc>
          <w:tcPr>
            <w:tcW w:type="dxa" w:w="3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/co/secop/sanctions-search/v1</w:t>
            </w:r>
          </w:p>
        </w:tc>
      </w:tr>
      <w:tr>
        <w:trPr>
          <w:cantSplit/>
        </w:trPr>
        <w:tc>
          <w:tcPr>
            <w:tcW w:type="dxa" w:w="329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POST /co/siata/v1</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2026-08-27</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2026-12-01</w:t>
            </w:r>
          </w:p>
        </w:tc>
        <w:tc>
          <w:tcPr>
            <w:tcW w:type="dxa" w:w="3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/co/siata-geoportal/weather/v1</w:t>
            </w:r>
          </w:p>
        </w:tc>
      </w:tr>
      <w:tr>
        <w:trPr>
          <w:cantSplit/>
        </w:trPr>
        <w:tc>
          <w:tcPr>
            <w:tcW w:type="dxa" w:w="329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POST /co/legalize/laws/v1</w:t>
            </w:r>
            <w:r>
              <w:rPr>
                <w:rFonts w:ascii="Times New Roman" w:cs="Times New Roman" w:eastAsia="Times New Roman" w:hAnsi="Times New Roman"/>
                <w:b w:val="false"/>
                <w:bCs w:val="false"/>
                <w:color w:val="000000"/>
                <w:sz w:val="18"/>
                <w:szCs w:val="18"/>
              </w:rPr>
              <w:t xml:space="preserve"> y </w:t>
            </w:r>
            <w:r>
              <w:rPr>
                <w:rFonts w:ascii="Times New Roman" w:cs="Times New Roman" w:eastAsia="Times New Roman" w:hAnsi="Times New Roman"/>
                <w:b w:val="false"/>
                <w:bCs w:val="false"/>
                <w:i/>
                <w:iCs/>
                <w:color w:val="000000"/>
                <w:sz w:val="18"/>
                <w:szCs w:val="18"/>
              </w:rPr>
              <w:t xml:space="preserve">law/v1</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2026-09-16</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2026-09-30 (ya retirado)</w:t>
            </w:r>
          </w:p>
        </w:tc>
        <w:tc>
          <w:tcPr>
            <w:tcW w:type="dxa" w:w="3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8"/>
                <w:szCs w:val="18"/>
              </w:rPr>
              <w:t xml:space="preserve">/co/funcion-publica/norms-search/v1</w:t>
            </w:r>
            <w:r>
              <w:rPr>
                <w:rFonts w:ascii="Times New Roman" w:cs="Times New Roman" w:eastAsia="Times New Roman" w:hAnsi="Times New Roman"/>
                <w:b w:val="false"/>
                <w:bCs w:val="false"/>
                <w:color w:val="000000"/>
                <w:sz w:val="18"/>
                <w:szCs w:val="18"/>
              </w:rPr>
              <w:t xml:space="preserve"> y </w:t>
            </w:r>
            <w:r>
              <w:rPr>
                <w:rFonts w:ascii="Times New Roman" w:cs="Times New Roman" w:eastAsia="Times New Roman" w:hAnsi="Times New Roman"/>
                <w:b w:val="false"/>
                <w:bCs w:val="false"/>
                <w:i/>
                <w:iCs/>
                <w:color w:val="000000"/>
                <w:sz w:val="18"/>
                <w:szCs w:val="18"/>
              </w:rPr>
              <w:t xml:space="preserve">norm/v1</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Versionado y deprecación (Croma, 2026). Los endpoints de Legalize tuvieron 14 días de aviso en lugar de 90 y ya no se ofrecen como herramientas MCP.</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2.8 — Monitores y conexiones</w:t>
      </w:r>
    </w:p>
    <w:p>
      <w:pPr>
        <w:spacing w:after="120" w:before="0" w:line="276"/>
        <w:jc w:val="both"/>
      </w:pPr>
      <w:r>
        <w:rPr>
          <w:rFonts w:ascii="Times New Roman" w:cs="Times New Roman" w:eastAsia="Times New Roman" w:hAnsi="Times New Roman"/>
          <w:color w:val="000000"/>
          <w:sz w:val="23"/>
          <w:szCs w:val="23"/>
        </w:rPr>
        <w:t xml:space="preserve">Un monitor es una consulta guardada que Croma ejecuta con una frecuencia y envía por correo a uno, dos o tres destinatarios. Sobre una búsqueda reporta resultados nuevos; sobre la consulta de un registro (un radicado, un NIT, una placa) reporta qué cambió, con la ruta del campo y su valor anterior y nuevo. Los endpoints de dataset pueden seguir el refresco de la fuente (</w:t>
      </w:r>
      <w:r>
        <w:rPr>
          <w:rFonts w:ascii="Times New Roman" w:cs="Times New Roman" w:eastAsia="Times New Roman" w:hAnsi="Times New Roman"/>
          <w:i/>
          <w:iCs/>
          <w:color w:val="000000"/>
          <w:sz w:val="23"/>
          <w:szCs w:val="23"/>
        </w:rPr>
        <w:t xml:space="preserve">cadence: source</w:t>
      </w:r>
      <w:r>
        <w:rPr>
          <w:rFonts w:ascii="Times New Roman" w:cs="Times New Roman" w:eastAsia="Times New Roman" w:hAnsi="Times New Roman"/>
          <w:color w:val="000000"/>
          <w:sz w:val="23"/>
          <w:szCs w:val="23"/>
        </w:rPr>
        <w:t xml:space="preserve">, un crédito por ejecución); los endpoints en vivo solo admiten frecuencias diaria o semanal. Una organización admite hasta 20 monitores, cada ejecución reporta hasta 500 filas nuevas y un filtro de relevancia en lenguaje natural puede descartar filas sin perderlas.</w:t>
      </w:r>
      <w:r>
        <w:rPr>
          <w:rStyle w:val="FootnoteReference"/>
        </w:rPr>
        <w:footnoteReference w:id="28"/>
      </w:r>
      <w:r>
        <w:rPr>
          <w:rFonts w:ascii="Times New Roman" w:cs="Times New Roman" w:eastAsia="Times New Roman" w:hAnsi="Times New Roman"/>
          <w:color w:val="000000"/>
          <w:sz w:val="23"/>
          <w:szCs w:val="23"/>
        </w:rPr>
        <w:t xml:space="preserve"> En la organización usada para este informe, sin embargo, la función no estaba habilitada.</w:t>
      </w:r>
      <w:r>
        <w:rPr>
          <w:rStyle w:val="FootnoteReference"/>
        </w:rPr>
        <w:footnoteReference w:id="29"/>
      </w:r>
    </w:p>
    <w:p>
      <w:pPr>
        <w:spacing w:after="120" w:before="0" w:line="276"/>
        <w:jc w:val="both"/>
      </w:pPr>
      <w:r>
        <w:rPr>
          <w:rFonts w:ascii="Times New Roman" w:cs="Times New Roman" w:eastAsia="Times New Roman" w:hAnsi="Times New Roman"/>
          <w:color w:val="000000"/>
          <w:sz w:val="23"/>
          <w:szCs w:val="23"/>
        </w:rPr>
        <w:t xml:space="preserve">Las conexiones resuelven las fuentes que solo responden a una persona con sesión iniciada. En Colombia son dos: la cuenta DIAN (MUISCA) y la banca virtual de Bancolombia. La herramienta </w:t>
      </w:r>
      <w:r>
        <w:rPr>
          <w:rFonts w:ascii="Times New Roman" w:cs="Times New Roman" w:eastAsia="Times New Roman" w:hAnsi="Times New Roman"/>
          <w:i/>
          <w:iCs/>
          <w:color w:val="000000"/>
          <w:sz w:val="23"/>
          <w:szCs w:val="23"/>
        </w:rPr>
        <w:t xml:space="preserve">*_connect</w:t>
      </w:r>
      <w:r>
        <w:rPr>
          <w:rFonts w:ascii="Times New Roman" w:cs="Times New Roman" w:eastAsia="Times New Roman" w:hAnsi="Times New Roman"/>
          <w:color w:val="000000"/>
          <w:sz w:val="23"/>
          <w:szCs w:val="23"/>
        </w:rPr>
        <w:t xml:space="preserve"> entrega un enlace seguro donde el titular escribe sus credenciales en la consola de Croma, de modo que nunca pasan por la conversación; Croma las cifra al llegar, nunca las devuelve, admite hasta cinco conexiones por fuente y rota entre ellas cuando una agota su cupo diario.</w:t>
      </w:r>
      <w:r>
        <w:rPr>
          <w:rStyle w:val="FootnoteReference"/>
        </w:rPr>
        <w:footnoteReference w:id="30"/>
      </w:r>
      <w:r>
        <w:rPr>
          <w:rStyle w:val="FootnoteReference"/>
        </w:rPr>
        <w:footnoteReference w:id="31"/>
      </w:r>
      <w:r>
        <w:rPr>
          <w:rFonts w:ascii="Times New Roman" w:cs="Times New Roman" w:eastAsia="Times New Roman" w:hAnsi="Times New Roman"/>
          <w:color w:val="000000"/>
          <w:sz w:val="23"/>
          <w:szCs w:val="23"/>
        </w:rPr>
        <w:t xml:space="preserve"> Las herramientas de monitores y de conexiones son las únicas que escriben; todas las demás son consultas idempotentes.</w:t>
      </w:r>
      <w:r>
        <w:rPr>
          <w:rStyle w:val="FootnoteReference"/>
        </w:rPr>
        <w:footnoteReference w:id="32"/>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2.9 — Diagrama de arquitectura (D00)</w:t>
      </w:r>
    </w:p>
    <w:p>
      <w:pPr>
        <w:keepNext/>
        <w:spacing w:after="80" w:before="60" w:line="240"/>
        <w:jc w:val="left"/>
      </w:pPr>
      <w:r>
        <w:rPr>
          <w:rFonts w:ascii="Times New Roman" w:cs="Times New Roman" w:eastAsia="Times New Roman" w:hAnsi="Times New Roman"/>
          <w:b/>
          <w:bCs/>
          <w:color w:val="000000"/>
          <w:sz w:val="20"/>
          <w:szCs w:val="20"/>
        </w:rPr>
        <w:t xml:space="preserve">Figura 1. </w:t>
      </w:r>
      <w:r>
        <w:rPr>
          <w:rFonts w:ascii="Times New Roman" w:cs="Times New Roman" w:eastAsia="Times New Roman" w:hAnsi="Times New Roman"/>
          <w:i/>
          <w:iCs/>
          <w:color w:val="000000"/>
          <w:sz w:val="20"/>
          <w:szCs w:val="20"/>
        </w:rPr>
        <w:t xml:space="preserve">Arquitectura general de Croma: actores, superficies, núcleo, modos de respuesta y fuentes</w:t>
      </w:r>
    </w:p>
    <w:p>
      <w:pPr>
        <w:keepNext/>
        <w:spacing w:after="60"/>
        <w:jc w:val="center"/>
      </w:pPr>
      <w:r>
        <w:drawing>
          <wp:inline distT="0" distB="0" distL="0" distR="0">
            <wp:extent cx="4762500" cy="6905625"/>
            <wp:effectExtent t="0" r="0" b="0" l="0"/>
            <wp:docPr id="1" name="D00" descr="Diagrama D00: Arquitectura general de Croma: actores, superficies, núcleo, modos de respuesta y fuentes" title="Arquitectura general de Croma: actores, superficies, núcleo, modos de respuesta y fu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4762500" cy="690562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con el Creador de Flujos de Trabajo a partir de la documentación oficial de Croma. Veredicto §9: APROBADO_RENDER. Recursos Rxx en la Tabla 9.</w:t>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Mostrar cómo una necesidad de información viaja desde el usuario —directamente o a través de un agente— hasta la fuente oficial, y cómo regresa como JSON tipado con su procedencia. Es la vista de contexto y contenedores que enmarca todos los flujos de la sección IV.</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3"/>
        </w:numPr>
        <w:spacing w:after="60" w:line="276"/>
        <w:jc w:val="both"/>
      </w:pPr>
      <w:r>
        <w:rPr>
          <w:rFonts w:ascii="Times New Roman" w:cs="Times New Roman" w:eastAsia="Times New Roman" w:hAnsi="Times New Roman"/>
          <w:color w:val="000000"/>
          <w:sz w:val="23"/>
          <w:szCs w:val="23"/>
        </w:rPr>
        <w:t xml:space="preserve">El usuario actúa por cuatro vías: un cliente MCP con OAuth, código propio con llave Bearer, la consola de administración o el tablero Croma Legal.</w:t>
      </w:r>
    </w:p>
    <w:p>
      <w:pPr>
        <w:pStyle w:val="ListParagraph"/>
        <w:numPr>
          <w:ilvl w:val="0"/>
          <w:numId w:val="3"/>
        </w:numPr>
        <w:spacing w:after="60" w:line="276"/>
        <w:jc w:val="both"/>
      </w:pPr>
      <w:r>
        <w:rPr>
          <w:rFonts w:ascii="Times New Roman" w:cs="Times New Roman" w:eastAsia="Times New Roman" w:hAnsi="Times New Roman"/>
          <w:color w:val="000000"/>
          <w:sz w:val="23"/>
          <w:szCs w:val="23"/>
        </w:rPr>
        <w:t xml:space="preserve">Las dos superficies técnicas (MCP y REST) convergen en una misma puerta de entrada que valida la llave, descuenta créditos y aplica topes; si algo falla, responde con el sobre de error.</w:t>
      </w:r>
    </w:p>
    <w:p>
      <w:pPr>
        <w:pStyle w:val="ListParagraph"/>
        <w:numPr>
          <w:ilvl w:val="0"/>
          <w:numId w:val="3"/>
        </w:numPr>
        <w:spacing w:after="60" w:line="276"/>
        <w:jc w:val="both"/>
      </w:pPr>
      <w:r>
        <w:rPr>
          <w:rFonts w:ascii="Times New Roman" w:cs="Times New Roman" w:eastAsia="Times New Roman" w:hAnsi="Times New Roman"/>
          <w:color w:val="000000"/>
          <w:sz w:val="23"/>
          <w:szCs w:val="23"/>
        </w:rPr>
        <w:t xml:space="preserve">El enrutador decide el modo del endpoint: dataset (copia completa), lookup (copia por llave con ventana de frescura) o consulta en vivo.</w:t>
      </w:r>
    </w:p>
    <w:p>
      <w:pPr>
        <w:pStyle w:val="ListParagraph"/>
        <w:numPr>
          <w:ilvl w:val="0"/>
          <w:numId w:val="3"/>
        </w:numPr>
        <w:spacing w:after="60" w:line="276"/>
        <w:jc w:val="both"/>
      </w:pPr>
      <w:r>
        <w:rPr>
          <w:rFonts w:ascii="Times New Roman" w:cs="Times New Roman" w:eastAsia="Times New Roman" w:hAnsi="Times New Roman"/>
          <w:color w:val="000000"/>
          <w:sz w:val="23"/>
          <w:szCs w:val="23"/>
        </w:rPr>
        <w:t xml:space="preserve">Las consultas en vivo lentas pasan por la cola de trabajos; las rápidas van directo a la fuente oficial. Las conexiones cifradas aportan la sesión del titular cuando la fuente la exige.</w:t>
      </w:r>
    </w:p>
    <w:p>
      <w:pPr>
        <w:pStyle w:val="ListParagraph"/>
        <w:numPr>
          <w:ilvl w:val="0"/>
          <w:numId w:val="3"/>
        </w:numPr>
        <w:spacing w:after="60" w:line="276"/>
        <w:jc w:val="both"/>
      </w:pPr>
      <w:r>
        <w:rPr>
          <w:rFonts w:ascii="Times New Roman" w:cs="Times New Roman" w:eastAsia="Times New Roman" w:hAnsi="Times New Roman"/>
          <w:color w:val="000000"/>
          <w:sz w:val="23"/>
          <w:szCs w:val="23"/>
        </w:rPr>
        <w:t xml:space="preserve">La consola crea monitores que reutilizan el mismo enrutador y envían por correo solo lo nuevo o lo que cambió.</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Hay dos decisiones estructurales: el modo de servicio del endpoint, que determina costo, latencia y frescura, y la naturaleza asíncrona, que determina si la respuesta puede requerir espera, polling o callback por REST.</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La puerta de entrada rechaza solicitudes sin llave válida, sin créditos o sobre un tope (401, 402, 429). La fuente oficial puede fallar (5xx upstream); en ese caso el lookup puede servir una copia vencida marcada como </w:t>
      </w:r>
      <w:r>
        <w:rPr>
          <w:rFonts w:ascii="Times New Roman" w:cs="Times New Roman" w:eastAsia="Times New Roman" w:hAnsi="Times New Roman"/>
          <w:i/>
          <w:iCs/>
          <w:color w:val="000000"/>
          <w:sz w:val="23"/>
          <w:szCs w:val="23"/>
        </w:rPr>
        <w:t xml:space="preserve">stale</w:t>
      </w:r>
      <w:r>
        <w:rPr>
          <w:rFonts w:ascii="Times New Roman" w:cs="Times New Roman" w:eastAsia="Times New Roman" w:hAnsi="Times New Roman"/>
          <w:color w:val="000000"/>
          <w:sz w:val="23"/>
          <w:szCs w:val="23"/>
        </w:rPr>
        <w:t xml:space="preserve">.</w:t>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Supuesto: Croma Legal consume la misma API REST que ofrece a terceros; la documentación lo describe como superficie del producto, pero no detalla su integración interna, por lo que se modela como cliente de la API.</w:t>
      </w:r>
    </w:p>
    <w:p>
      <w:pPr>
        <w:keepNext/>
        <w:spacing w:after="80" w:before="200" w:line="240"/>
        <w:jc w:val="left"/>
      </w:pPr>
      <w:r>
        <w:rPr>
          <w:rFonts w:ascii="Times New Roman" w:cs="Times New Roman" w:eastAsia="Times New Roman" w:hAnsi="Times New Roman"/>
          <w:b/>
          <w:bCs/>
          <w:color w:val="000000"/>
          <w:sz w:val="20"/>
          <w:szCs w:val="20"/>
        </w:rPr>
        <w:t xml:space="preserve">Tabla 9. </w:t>
      </w:r>
      <w:r>
        <w:rPr>
          <w:rFonts w:ascii="Times New Roman" w:cs="Times New Roman" w:eastAsia="Times New Roman" w:hAnsi="Times New Roman"/>
          <w:i/>
          <w:iCs/>
          <w:color w:val="000000"/>
          <w:sz w:val="20"/>
          <w:szCs w:val="20"/>
        </w:rPr>
        <w:t xml:space="preserve">Recursos y remisiones del diagrama D00</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R01</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Llave de organización (Bearer croma_live_… u OAuth MCP)</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api</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C1, C2, C3, G</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Consola de Croma (emitir o rotar llaves)</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R02</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Saldo de créditos del plan (10 vivo · 1 dataset)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G, LV</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Plan y facturación; 402 al agotarse</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DS</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SRC</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R05</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Cola de trabajos asíncronos (/jobs, espera ≤55 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compute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AS, JQ</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GET /jobs/:id o callback_url</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R07</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Almacén de lookups (served_from copy/upstream/stale)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LK</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Fuente oficial al vencer la ventana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Agente o cliente MCP (Claude, ChatGPT, Cursor)</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modelo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C1, MCP</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Herramientas MCP del catálogo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R10</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Identificador del sujeto (NIT, radicado, placa, cédula, CUFE)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CL, OUT</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Validación de formato (400 / −32602)</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R11</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Base legal y finalidad (Ley 1581 de 2012)</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humano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U</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Responsable del tratamiento (usuario)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R12</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Conexión cifrada del titular (DIAN, Bancolombia)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CN</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Consola: </w:t>
            </w:r>
            <w:r>
              <w:rPr>
                <w:rFonts w:ascii="Times New Roman" w:cs="Times New Roman" w:eastAsia="Times New Roman" w:hAnsi="Times New Roman"/>
                <w:b w:val="false"/>
                <w:bCs w:val="false"/>
                <w:i/>
                <w:iCs/>
                <w:color w:val="000000"/>
                <w:sz w:val="17"/>
                <w:szCs w:val="17"/>
              </w:rPr>
              <w:t xml:space="preserve">_connect / </w:t>
            </w:r>
            <w:r>
              <w:rPr>
                <w:rFonts w:ascii="Times New Roman" w:cs="Times New Roman" w:eastAsia="Times New Roman" w:hAnsi="Times New Roman"/>
                <w:b w:val="false"/>
                <w:bCs w:val="false"/>
                <w:color w:val="000000"/>
                <w:sz w:val="17"/>
                <w:szCs w:val="17"/>
              </w:rPr>
              <w:t xml:space="preserve">_delete_connection</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R13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Correo de notificación (1 a 3 destinatarios)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BAJA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MO, MAIL</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Destinatarios (máx. 3) y baja por enlace</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Filtro de relevancia en lenguaje natural</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modelo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BAJA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MO</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list_monitor_matches (relevant:false)</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R15</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Catálogo y OpenAPI (/catalog, /openapi)</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BAJA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REST, RT</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OpenAPI y /catalog</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R16</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Webhook del cliente (callback_url HTTPS + HMAC)</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api</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JQ</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Endpoint del cliente con firma HMAC</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20 nodos, 29 aristas, 2 decisiones, 2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2.10 — Diagrama del ciclo de vida de una solicitud (D01)</w:t>
      </w:r>
    </w:p>
    <w:p>
      <w:pPr>
        <w:keepNext/>
        <w:spacing w:after="80" w:before="60" w:line="240"/>
        <w:jc w:val="left"/>
      </w:pPr>
      <w:r>
        <w:rPr>
          <w:rFonts w:ascii="Times New Roman" w:cs="Times New Roman" w:eastAsia="Times New Roman" w:hAnsi="Times New Roman"/>
          <w:b/>
          <w:bCs/>
          <w:color w:val="000000"/>
          <w:sz w:val="20"/>
          <w:szCs w:val="20"/>
        </w:rPr>
        <w:t xml:space="preserve">Figura 2. </w:t>
      </w:r>
      <w:r>
        <w:rPr>
          <w:rFonts w:ascii="Times New Roman" w:cs="Times New Roman" w:eastAsia="Times New Roman" w:hAnsi="Times New Roman"/>
          <w:i/>
          <w:iCs/>
          <w:color w:val="000000"/>
          <w:sz w:val="20"/>
          <w:szCs w:val="20"/>
        </w:rPr>
        <w:t xml:space="preserve">Ciclo de vida de una solicitud: admisión, caché, modo de servicio, asincronía y respuesta</w:t>
      </w:r>
    </w:p>
    <w:p>
      <w:pPr>
        <w:keepNext/>
        <w:spacing w:after="60"/>
        <w:jc w:val="center"/>
      </w:pPr>
      <w:r>
        <w:drawing>
          <wp:inline distT="0" distB="0" distL="0" distR="0">
            <wp:extent cx="5429250" cy="6905625"/>
            <wp:effectExtent t="0" r="0" b="0" l="0"/>
            <wp:docPr id="1" name="D01" descr="Diagrama D01: Ciclo de vida de una solicitud: admisión, caché, modo de servicio, asincronía y respuesta" title="Ciclo de vida de una solicitud: admisión, caché, modo de servicio, asincronía y res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extLst>
                        <a:ext uri="{96DAC541-7B7A-43D3-8B79-37D633B846F1}">
                          <asvg:svgBlip xmlns:asvg="http://schemas.microsoft.com/office/drawing/2016/SVG/main" r:embed="rId11"/>
                        </a:ext>
                      </a:extLst>
                    </a:blip>
                    <a:srcRect/>
                    <a:stretch>
                      <a:fillRect/>
                    </a:stretch>
                  </pic:blipFill>
                  <pic:spPr bwMode="auto">
                    <a:xfrm>
                      <a:off x="0" y="0"/>
                      <a:ext cx="5429250" cy="690562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a partir de las guías de errores, trabajos asíncronos, consultas en vivo y datasets. Veredicto §9: APROBADO_RENDER (contiene un ciclo intencional de polling).</w:t>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Explicar decisión por decisión qué ocurre con cada llamada y qué respuesta o error debe esperar quien integra, de modo que el cliente maneje todos los caminos y no solo el exitoso.</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4"/>
        </w:numPr>
        <w:spacing w:after="60" w:line="276"/>
        <w:jc w:val="both"/>
      </w:pPr>
      <w:r>
        <w:rPr>
          <w:rFonts w:ascii="Times New Roman" w:cs="Times New Roman" w:eastAsia="Times New Roman" w:hAnsi="Times New Roman"/>
          <w:color w:val="000000"/>
          <w:sz w:val="23"/>
          <w:szCs w:val="23"/>
        </w:rPr>
        <w:t xml:space="preserve">La solicitud se admite si su cuerpo cumple el esquema, la llave es válida y hay créditos y cupo horario; si no, termina en un error 4xx tipado.</w:t>
      </w:r>
    </w:p>
    <w:p>
      <w:pPr>
        <w:pStyle w:val="ListParagraph"/>
        <w:numPr>
          <w:ilvl w:val="0"/>
          <w:numId w:val="4"/>
        </w:numPr>
        <w:spacing w:after="60" w:line="276"/>
        <w:jc w:val="both"/>
      </w:pPr>
      <w:r>
        <w:rPr>
          <w:rFonts w:ascii="Times New Roman" w:cs="Times New Roman" w:eastAsia="Times New Roman" w:hAnsi="Times New Roman"/>
          <w:color w:val="000000"/>
          <w:sz w:val="23"/>
          <w:szCs w:val="23"/>
        </w:rPr>
        <w:t xml:space="preserve">Si existe un resultado reciente idéntico, se devuelve desde caché con </w:t>
      </w:r>
      <w:r>
        <w:rPr>
          <w:rFonts w:ascii="Times New Roman" w:cs="Times New Roman" w:eastAsia="Times New Roman" w:hAnsi="Times New Roman"/>
          <w:i/>
          <w:iCs/>
          <w:color w:val="000000"/>
          <w:sz w:val="23"/>
          <w:szCs w:val="23"/>
        </w:rPr>
        <w:t xml:space="preserve">X-Cache: HIT</w:t>
      </w:r>
      <w:r>
        <w:rPr>
          <w:rFonts w:ascii="Times New Roman" w:cs="Times New Roman" w:eastAsia="Times New Roman" w:hAnsi="Times New Roman"/>
          <w:color w:val="000000"/>
          <w:sz w:val="23"/>
          <w:szCs w:val="23"/>
        </w:rPr>
        <w:t xml:space="preserve"> y sin costo.</w:t>
      </w:r>
    </w:p>
    <w:p>
      <w:pPr>
        <w:pStyle w:val="ListParagraph"/>
        <w:numPr>
          <w:ilvl w:val="0"/>
          <w:numId w:val="4"/>
        </w:numPr>
        <w:spacing w:after="60" w:line="276"/>
        <w:jc w:val="both"/>
      </w:pPr>
      <w:r>
        <w:rPr>
          <w:rFonts w:ascii="Times New Roman" w:cs="Times New Roman" w:eastAsia="Times New Roman" w:hAnsi="Times New Roman"/>
          <w:color w:val="000000"/>
          <w:sz w:val="23"/>
          <w:szCs w:val="23"/>
        </w:rPr>
        <w:t xml:space="preserve">Según el modo, se consulta la copia completa (dataset), la copia por llave si está vigente (lookup) o la fuente en vivo.</w:t>
      </w:r>
    </w:p>
    <w:p>
      <w:pPr>
        <w:pStyle w:val="ListParagraph"/>
        <w:numPr>
          <w:ilvl w:val="0"/>
          <w:numId w:val="4"/>
        </w:numPr>
        <w:spacing w:after="60" w:line="276"/>
        <w:jc w:val="both"/>
      </w:pPr>
      <w:r>
        <w:rPr>
          <w:rFonts w:ascii="Times New Roman" w:cs="Times New Roman" w:eastAsia="Times New Roman" w:hAnsi="Times New Roman"/>
          <w:color w:val="000000"/>
          <w:sz w:val="23"/>
          <w:szCs w:val="23"/>
        </w:rPr>
        <w:t xml:space="preserve">En vivo, si el endpoint es asíncrono, el canal MCP siempre espera el resultado; por REST, la espera llega hasta 55 segundos y luego se pasa a polling o callback hasta un estado terminal.</w:t>
      </w:r>
    </w:p>
    <w:p>
      <w:pPr>
        <w:pStyle w:val="ListParagraph"/>
        <w:numPr>
          <w:ilvl w:val="0"/>
          <w:numId w:val="4"/>
        </w:numPr>
        <w:spacing w:after="60" w:line="276"/>
        <w:jc w:val="both"/>
      </w:pPr>
      <w:r>
        <w:rPr>
          <w:rFonts w:ascii="Times New Roman" w:cs="Times New Roman" w:eastAsia="Times New Roman" w:hAnsi="Times New Roman"/>
          <w:color w:val="000000"/>
          <w:sz w:val="23"/>
          <w:szCs w:val="23"/>
        </w:rPr>
        <w:t xml:space="preserve">Con la respuesta de la fuente se decide si hubo coincidencia: un registro o lista (</w:t>
      </w:r>
      <w:r>
        <w:rPr>
          <w:rFonts w:ascii="Times New Roman" w:cs="Times New Roman" w:eastAsia="Times New Roman" w:hAnsi="Times New Roman"/>
          <w:i/>
          <w:iCs/>
          <w:color w:val="000000"/>
          <w:sz w:val="23"/>
          <w:szCs w:val="23"/>
        </w:rPr>
        <w:t xml:space="preserve">200 { data }</w:t>
      </w:r>
      <w:r>
        <w:rPr>
          <w:rFonts w:ascii="Times New Roman" w:cs="Times New Roman" w:eastAsia="Times New Roman" w:hAnsi="Times New Roman"/>
          <w:color w:val="000000"/>
          <w:sz w:val="23"/>
          <w:szCs w:val="23"/>
        </w:rPr>
        <w:t xml:space="preserve">) o una respuesta definitiva sin coincidencias (</w:t>
      </w:r>
      <w:r>
        <w:rPr>
          <w:rFonts w:ascii="Times New Roman" w:cs="Times New Roman" w:eastAsia="Times New Roman" w:hAnsi="Times New Roman"/>
          <w:i/>
          <w:iCs/>
          <w:color w:val="000000"/>
          <w:sz w:val="23"/>
          <w:szCs w:val="23"/>
        </w:rPr>
        <w:t xml:space="preserve">found: false</w:t>
      </w:r>
      <w:r>
        <w:rPr>
          <w:rFonts w:ascii="Times New Roman" w:cs="Times New Roman" w:eastAsia="Times New Roman" w:hAnsi="Times New Roman"/>
          <w:color w:val="000000"/>
          <w:sz w:val="23"/>
          <w:szCs w:val="23"/>
        </w:rPr>
        <w:t xml:space="preserve"> o lista vacía).</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La decisión «¿Hay coincidencia?» es la más malinterpretada: </w:t>
      </w:r>
      <w:r>
        <w:rPr>
          <w:rFonts w:ascii="Times New Roman" w:cs="Times New Roman" w:eastAsia="Times New Roman" w:hAnsi="Times New Roman"/>
          <w:i/>
          <w:iCs/>
          <w:color w:val="000000"/>
          <w:sz w:val="23"/>
          <w:szCs w:val="23"/>
        </w:rPr>
        <w:t xml:space="preserve">found: false</w:t>
      </w:r>
      <w:r>
        <w:rPr>
          <w:rFonts w:ascii="Times New Roman" w:cs="Times New Roman" w:eastAsia="Times New Roman" w:hAnsi="Times New Roman"/>
          <w:color w:val="000000"/>
          <w:sz w:val="23"/>
          <w:szCs w:val="23"/>
        </w:rPr>
        <w:t xml:space="preserve"> no es un error, es una respuesta definitiva y válida. La decisión del estado del trabajo contiene el único ciclo del diagrama (queued o running vuelven a polling).</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Errores de admisión (400, 401, 402, 429), fallas de la fuente (5xx </w:t>
      </w:r>
      <w:r>
        <w:rPr>
          <w:rFonts w:ascii="Times New Roman" w:cs="Times New Roman" w:eastAsia="Times New Roman" w:hAnsi="Times New Roman"/>
          <w:i/>
          <w:iCs/>
          <w:color w:val="000000"/>
          <w:sz w:val="23"/>
          <w:szCs w:val="23"/>
        </w:rPr>
        <w:t xml:space="preserve">upstream_error</w:t>
      </w:r>
      <w:r>
        <w:rPr>
          <w:rFonts w:ascii="Times New Roman" w:cs="Times New Roman" w:eastAsia="Times New Roman" w:hAnsi="Times New Roman"/>
          <w:color w:val="000000"/>
          <w:sz w:val="23"/>
          <w:szCs w:val="23"/>
        </w:rPr>
        <w:t xml:space="preserve">) y fallas del trabajo (</w:t>
      </w:r>
      <w:r>
        <w:rPr>
          <w:rFonts w:ascii="Times New Roman" w:cs="Times New Roman" w:eastAsia="Times New Roman" w:hAnsi="Times New Roman"/>
          <w:i/>
          <w:iCs/>
          <w:color w:val="000000"/>
          <w:sz w:val="23"/>
          <w:szCs w:val="23"/>
        </w:rPr>
        <w:t xml:space="preserve">job_failed</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canceled</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expired</w:t>
      </w:r>
      <w:r>
        <w:rPr>
          <w:rFonts w:ascii="Times New Roman" w:cs="Times New Roman" w:eastAsia="Times New Roman" w:hAnsi="Times New Roman"/>
          <w:color w:val="000000"/>
          <w:sz w:val="23"/>
          <w:szCs w:val="23"/>
        </w:rPr>
        <w:t xml:space="preserve">). Las consultas son idempotentes, por lo que reintentar es seguro; el encabezado </w:t>
      </w:r>
      <w:r>
        <w:rPr>
          <w:rFonts w:ascii="Times New Roman" w:cs="Times New Roman" w:eastAsia="Times New Roman" w:hAnsi="Times New Roman"/>
          <w:i/>
          <w:iCs/>
          <w:color w:val="000000"/>
          <w:sz w:val="23"/>
          <w:szCs w:val="23"/>
        </w:rPr>
        <w:t xml:space="preserve">Idempotency-Key</w:t>
      </w:r>
      <w:r>
        <w:rPr>
          <w:rFonts w:ascii="Times New Roman" w:cs="Times New Roman" w:eastAsia="Times New Roman" w:hAnsi="Times New Roman"/>
          <w:color w:val="000000"/>
          <w:sz w:val="23"/>
          <w:szCs w:val="23"/>
        </w:rPr>
        <w:t xml:space="preserve"> permite correlacionar reintentos.</w:t>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Se fusionaron en un solo nodo de error los códigos de admisión para mantener la legibilidad; su detalle está en la Tabla 5. La ventana de frescura de cada lookup varía por fuente (por ejemplo, 30 días en IGAC y un día en Propiedad Industrial).</w:t>
      </w:r>
    </w:p>
    <w:p>
      <w:pPr>
        <w:keepNext/>
        <w:spacing w:after="80" w:before="200" w:line="240"/>
        <w:jc w:val="left"/>
      </w:pPr>
      <w:r>
        <w:rPr>
          <w:rFonts w:ascii="Times New Roman" w:cs="Times New Roman" w:eastAsia="Times New Roman" w:hAnsi="Times New Roman"/>
          <w:b/>
          <w:bCs/>
          <w:color w:val="000000"/>
          <w:sz w:val="20"/>
          <w:szCs w:val="20"/>
        </w:rPr>
        <w:t xml:space="preserve">Tabla 10. </w:t>
      </w:r>
      <w:r>
        <w:rPr>
          <w:rFonts w:ascii="Times New Roman" w:cs="Times New Roman" w:eastAsia="Times New Roman" w:hAnsi="Times New Roman"/>
          <w:i/>
          <w:iCs/>
          <w:color w:val="000000"/>
          <w:sz w:val="20"/>
          <w:szCs w:val="20"/>
        </w:rPr>
        <w:t xml:space="preserve">Recursos y remisiones del diagrama D01</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R01</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Llave de organización (Bearer croma_live_… u OAuth MCP)</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api</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Consola de Croma (emitir o rotar llaves)</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R02</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Saldo de créditos del plan (10 vivo · 1 dataset)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Plan y facturación; 402 al agotarse</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DSQ</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SRC</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R05</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Cola de trabajos asíncronos (/jobs, espera ≤55 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compute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ASY, W, P, JS</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GET /jobs/:id o callback_url</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R06</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Caché de resultados recientes (X-Cache: HIT)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BAJA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CH, HIT</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Fuente oficial cuando la copia expira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R07</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Almacén de lookups (served_from copy/upstream/stale)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LKQ</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Fuente oficial al vencer la ventana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Agente o cliente MCP (Claude, ChatGPT, Cursor)</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modelo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W</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Herramientas MCP del catálogo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R10</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Identificador del sujeto (NIT, radicado, placa, cédula, CUFE)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 RES</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Validación de formato (400 / −32602)</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R15</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Catálogo y OpenAPI (/catalog, /openapi)</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BAJA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 M</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OpenAPI y /catalog</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R16</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Webhook del cliente (callback_url HTTPS + HMAC)</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api</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Endpoint del cliente con firma HMAC</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19 nodos, 28 aristas, 9 decisiones, 3 rutas de error, 0 recursos huérfanos.</w:t>
      </w: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III. MAPA DE LAS FUENTES COLOMBIANAS</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3.1 — Inventario por dominio</w:t>
      </w:r>
    </w:p>
    <w:p>
      <w:pPr>
        <w:spacing w:after="120" w:before="0" w:line="276"/>
        <w:jc w:val="both"/>
      </w:pPr>
      <w:r>
        <w:rPr>
          <w:rFonts w:ascii="Times New Roman" w:cs="Times New Roman" w:eastAsia="Times New Roman" w:hAnsi="Times New Roman"/>
          <w:color w:val="000000"/>
          <w:sz w:val="23"/>
          <w:szCs w:val="23"/>
        </w:rPr>
        <w:t xml:space="preserve">Los 172 endpoints colombianos se agruparon en doce dominios funcionales. La Tabla 11 muestra cuántas familias y endpoints tiene cada dominio y cómo se reparten por modo de respuesta. Seis de cada diez endpoints (107) responden desde dataset; los 59 en vivo se concentran en verificación de personas, vehículos, finanzas del titular, ambiente y procesos judiciales activos.</w:t>
      </w:r>
    </w:p>
    <w:p>
      <w:pPr>
        <w:keepNext/>
        <w:spacing w:after="80" w:before="200" w:line="240"/>
        <w:jc w:val="left"/>
      </w:pPr>
      <w:r>
        <w:rPr>
          <w:rFonts w:ascii="Times New Roman" w:cs="Times New Roman" w:eastAsia="Times New Roman" w:hAnsi="Times New Roman"/>
          <w:b/>
          <w:bCs/>
          <w:color w:val="000000"/>
          <w:sz w:val="20"/>
          <w:szCs w:val="20"/>
        </w:rPr>
        <w:t xml:space="preserve">Tabla 11. </w:t>
      </w:r>
      <w:r>
        <w:rPr>
          <w:rFonts w:ascii="Times New Roman" w:cs="Times New Roman" w:eastAsia="Times New Roman" w:hAnsi="Times New Roman"/>
          <w:i/>
          <w:iCs/>
          <w:color w:val="000000"/>
          <w:sz w:val="20"/>
          <w:szCs w:val="20"/>
        </w:rPr>
        <w:t xml:space="preserve">Endpoints de Colombia por dominio y modo de respuesta</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6"/>
        <w:gridCol w:w="977"/>
        <w:gridCol w:w="1099"/>
        <w:gridCol w:w="977"/>
        <w:gridCol w:w="855"/>
        <w:gridCol w:w="1160"/>
        <w:gridCol w:w="1162"/>
      </w:tblGrid>
      <w:tr>
        <w:trPr>
          <w:cantSplit/>
          <w:tblHeader/>
        </w:trPr>
        <w:tc>
          <w:tcPr>
            <w:tcW w:type="dxa" w:w="3176"/>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Dominio</w:t>
            </w:r>
          </w:p>
        </w:tc>
        <w:tc>
          <w:tcPr>
            <w:tcW w:type="dxa" w:w="97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Familias</w:t>
            </w:r>
          </w:p>
        </w:tc>
        <w:tc>
          <w:tcPr>
            <w:tcW w:type="dxa" w:w="109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Endpoints</w:t>
            </w:r>
          </w:p>
        </w:tc>
        <w:tc>
          <w:tcPr>
            <w:tcW w:type="dxa" w:w="97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Dataset</w:t>
            </w:r>
          </w:p>
        </w:tc>
        <w:tc>
          <w:tcPr>
            <w:tcW w:type="dxa" w:w="85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Vivo</w:t>
            </w:r>
          </w:p>
        </w:tc>
        <w:tc>
          <w:tcPr>
            <w:tcW w:type="dxa" w:w="116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Lookup / lote</w:t>
            </w:r>
          </w:p>
        </w:tc>
        <w:tc>
          <w:tcPr>
            <w:tcW w:type="dxa" w:w="1162"/>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Asíncronos</w:t>
            </w:r>
          </w:p>
        </w:tc>
      </w:tr>
      <w:tr>
        <w:trPr>
          <w:cantSplit/>
        </w:trPr>
        <w:tc>
          <w:tcPr>
            <w:tcW w:type="dxa" w:w="31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Justicia y jurisprudencia</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9</w:t>
            </w:r>
          </w:p>
        </w:tc>
        <w:tc>
          <w:tcPr>
            <w:tcW w:type="dxa" w:w="10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20</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8</w:t>
            </w:r>
          </w:p>
        </w:tc>
        <w:tc>
          <w:tcPr>
            <w:tcW w:type="dxa" w:w="8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11</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w:t>
            </w:r>
          </w:p>
        </w:tc>
        <w:tc>
          <w:tcPr>
            <w:tcW w:type="dxa" w:w="11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3</w:t>
            </w:r>
          </w:p>
        </w:tc>
      </w:tr>
      <w:tr>
        <w:trPr>
          <w:cantSplit/>
        </w:trPr>
        <w:tc>
          <w:tcPr>
            <w:tcW w:type="dxa" w:w="31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Empresas y mercado de valores</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6</w:t>
            </w:r>
          </w:p>
        </w:tc>
        <w:tc>
          <w:tcPr>
            <w:tcW w:type="dxa" w:w="10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30</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25</w:t>
            </w:r>
          </w:p>
        </w:tc>
        <w:tc>
          <w:tcPr>
            <w:tcW w:type="dxa" w:w="8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5</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11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3</w:t>
            </w:r>
          </w:p>
        </w:tc>
      </w:tr>
      <w:tr>
        <w:trPr>
          <w:cantSplit/>
        </w:trPr>
        <w:tc>
          <w:tcPr>
            <w:tcW w:type="dxa" w:w="31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Contratación pública</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w:t>
            </w:r>
          </w:p>
        </w:tc>
        <w:tc>
          <w:tcPr>
            <w:tcW w:type="dxa" w:w="10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18</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11</w:t>
            </w:r>
          </w:p>
        </w:tc>
        <w:tc>
          <w:tcPr>
            <w:tcW w:type="dxa" w:w="8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7</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11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r>
      <w:tr>
        <w:trPr>
          <w:cantSplit/>
        </w:trPr>
        <w:tc>
          <w:tcPr>
            <w:tcW w:type="dxa" w:w="31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Verificación de personas</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9</w:t>
            </w:r>
          </w:p>
        </w:tc>
        <w:tc>
          <w:tcPr>
            <w:tcW w:type="dxa" w:w="10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10</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8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10</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11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4</w:t>
            </w:r>
          </w:p>
        </w:tc>
      </w:tr>
      <w:tr>
        <w:trPr>
          <w:cantSplit/>
        </w:trPr>
        <w:tc>
          <w:tcPr>
            <w:tcW w:type="dxa" w:w="31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Vehículos y tránsito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w:t>
            </w:r>
          </w:p>
        </w:tc>
        <w:tc>
          <w:tcPr>
            <w:tcW w:type="dxa" w:w="10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5</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8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5</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11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5</w:t>
            </w:r>
          </w:p>
        </w:tc>
      </w:tr>
      <w:tr>
        <w:trPr>
          <w:cantSplit/>
        </w:trPr>
        <w:tc>
          <w:tcPr>
            <w:tcW w:type="dxa" w:w="31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Tributario y finanzas del titular</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3</w:t>
            </w:r>
          </w:p>
        </w:tc>
        <w:tc>
          <w:tcPr>
            <w:tcW w:type="dxa" w:w="10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7</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8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7</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11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5</w:t>
            </w:r>
          </w:p>
        </w:tc>
      </w:tr>
      <w:tr>
        <w:trPr>
          <w:cantSplit/>
        </w:trPr>
        <w:tc>
          <w:tcPr>
            <w:tcW w:type="dxa" w:w="31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Regulación y normativa</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6</w:t>
            </w:r>
          </w:p>
        </w:tc>
        <w:tc>
          <w:tcPr>
            <w:tcW w:type="dxa" w:w="10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17</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16</w:t>
            </w:r>
          </w:p>
        </w:tc>
        <w:tc>
          <w:tcPr>
            <w:tcW w:type="dxa" w:w="8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11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w:t>
            </w:r>
          </w:p>
        </w:tc>
      </w:tr>
      <w:tr>
        <w:trPr>
          <w:cantSplit/>
        </w:trPr>
        <w:tc>
          <w:tcPr>
            <w:tcW w:type="dxa" w:w="31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SIC: consumidor y propiedad industrial</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5</w:t>
            </w:r>
          </w:p>
        </w:tc>
        <w:tc>
          <w:tcPr>
            <w:tcW w:type="dxa" w:w="10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15</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10</w:t>
            </w:r>
          </w:p>
        </w:tc>
        <w:tc>
          <w:tcPr>
            <w:tcW w:type="dxa" w:w="8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3</w:t>
            </w:r>
          </w:p>
        </w:tc>
        <w:tc>
          <w:tcPr>
            <w:tcW w:type="dxa" w:w="11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5</w:t>
            </w:r>
          </w:p>
        </w:tc>
      </w:tr>
      <w:tr>
        <w:trPr>
          <w:cantSplit/>
        </w:trPr>
        <w:tc>
          <w:tcPr>
            <w:tcW w:type="dxa" w:w="31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Territorio y catastro (IGAC)</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w:t>
            </w:r>
          </w:p>
        </w:tc>
        <w:tc>
          <w:tcPr>
            <w:tcW w:type="dxa" w:w="10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15</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13</w:t>
            </w:r>
          </w:p>
        </w:tc>
        <w:tc>
          <w:tcPr>
            <w:tcW w:type="dxa" w:w="8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w:t>
            </w:r>
          </w:p>
        </w:tc>
        <w:tc>
          <w:tcPr>
            <w:tcW w:type="dxa" w:w="11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r>
      <w:tr>
        <w:trPr>
          <w:cantSplit/>
        </w:trPr>
        <w:tc>
          <w:tcPr>
            <w:tcW w:type="dxa" w:w="31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Estadística y macroeconomía</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6</w:t>
            </w:r>
          </w:p>
        </w:tc>
        <w:tc>
          <w:tcPr>
            <w:tcW w:type="dxa" w:w="10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14</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14</w:t>
            </w:r>
          </w:p>
        </w:tc>
        <w:tc>
          <w:tcPr>
            <w:tcW w:type="dxa" w:w="8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11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0</w:t>
            </w:r>
          </w:p>
        </w:tc>
      </w:tr>
      <w:tr>
        <w:trPr>
          <w:cantSplit/>
        </w:trPr>
        <w:tc>
          <w:tcPr>
            <w:tcW w:type="dxa" w:w="31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Sectoriales: salud, minería y ambiente</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4</w:t>
            </w:r>
          </w:p>
        </w:tc>
        <w:tc>
          <w:tcPr>
            <w:tcW w:type="dxa" w:w="10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17</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6</w:t>
            </w:r>
          </w:p>
        </w:tc>
        <w:tc>
          <w:tcPr>
            <w:tcW w:type="dxa" w:w="8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11</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11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0</w:t>
            </w:r>
          </w:p>
        </w:tc>
      </w:tr>
      <w:tr>
        <w:trPr>
          <w:cantSplit/>
        </w:trPr>
        <w:tc>
          <w:tcPr>
            <w:tcW w:type="dxa" w:w="31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Trámites del Estado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2</w:t>
            </w:r>
          </w:p>
        </w:tc>
        <w:tc>
          <w:tcPr>
            <w:tcW w:type="dxa" w:w="10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4</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4</w:t>
            </w:r>
          </w:p>
        </w:tc>
        <w:tc>
          <w:tcPr>
            <w:tcW w:type="dxa" w:w="8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0</w:t>
            </w:r>
          </w:p>
        </w:tc>
        <w:tc>
          <w:tcPr>
            <w:tcW w:type="dxa" w:w="11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0</w:t>
            </w:r>
          </w:p>
        </w:tc>
      </w:tr>
      <w:tr>
        <w:trPr>
          <w:cantSplit/>
        </w:trPr>
        <w:tc>
          <w:tcPr>
            <w:tcW w:type="dxa" w:w="31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Total</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bCs/>
                <w:color w:val="000000"/>
                <w:sz w:val="18"/>
                <w:szCs w:val="18"/>
              </w:rPr>
              <w:t xml:space="preserve">55</w:t>
            </w:r>
          </w:p>
        </w:tc>
        <w:tc>
          <w:tcPr>
            <w:tcW w:type="dxa" w:w="10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bCs/>
                <w:color w:val="000000"/>
                <w:sz w:val="18"/>
                <w:szCs w:val="18"/>
              </w:rPr>
              <w:t xml:space="preserve">172</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bCs/>
                <w:color w:val="000000"/>
                <w:sz w:val="18"/>
                <w:szCs w:val="18"/>
              </w:rPr>
              <w:t xml:space="preserve">107</w:t>
            </w:r>
          </w:p>
        </w:tc>
        <w:tc>
          <w:tcPr>
            <w:tcW w:type="dxa" w:w="8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bCs/>
                <w:color w:val="000000"/>
                <w:sz w:val="18"/>
                <w:szCs w:val="18"/>
              </w:rPr>
              <w:t xml:space="preserve">59</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bCs/>
                <w:color w:val="000000"/>
                <w:sz w:val="18"/>
                <w:szCs w:val="18"/>
              </w:rPr>
              <w:t xml:space="preserve">6</w:t>
            </w:r>
          </w:p>
        </w:tc>
        <w:tc>
          <w:tcPr>
            <w:tcW w:type="dxa" w:w="11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bCs/>
                <w:color w:val="000000"/>
                <w:sz w:val="18"/>
                <w:szCs w:val="18"/>
              </w:rPr>
              <w:t xml:space="preserve">26</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sobre el catálogo de la Agent Skill (usecroma.com/.well-known/agent-skills/croma-api/SKILL.md) y la tabla de fuentes servidas desde dataset. El listado completo está en el Anexo D.</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3.2 — Frescura de los datos observada</w:t>
      </w:r>
    </w:p>
    <w:p>
      <w:pPr>
        <w:spacing w:after="120" w:before="0" w:line="276"/>
        <w:jc w:val="both"/>
      </w:pPr>
      <w:r>
        <w:rPr>
          <w:rFonts w:ascii="Times New Roman" w:cs="Times New Roman" w:eastAsia="Times New Roman" w:hAnsi="Times New Roman"/>
          <w:color w:val="000000"/>
          <w:sz w:val="23"/>
          <w:szCs w:val="23"/>
        </w:rPr>
        <w:t xml:space="preserve">El campo </w:t>
      </w:r>
      <w:r>
        <w:rPr>
          <w:rFonts w:ascii="Times New Roman" w:cs="Times New Roman" w:eastAsia="Times New Roman" w:hAnsi="Times New Roman"/>
          <w:i/>
          <w:iCs/>
          <w:color w:val="000000"/>
          <w:sz w:val="23"/>
          <w:szCs w:val="23"/>
        </w:rPr>
        <w:t xml:space="preserve">as_of</w:t>
      </w:r>
      <w:r>
        <w:rPr>
          <w:rFonts w:ascii="Times New Roman" w:cs="Times New Roman" w:eastAsia="Times New Roman" w:hAnsi="Times New Roman"/>
          <w:color w:val="000000"/>
          <w:sz w:val="23"/>
          <w:szCs w:val="23"/>
        </w:rPr>
        <w:t xml:space="preserve"> indica hasta cuándo está al día cada copia. La Tabla 12 compara el valor observado en las pruebas del 12 de octubre de 2026 con el horario de refresco declarado en la página de fuentes monitoreables.</w:t>
      </w:r>
      <w:r>
        <w:rPr>
          <w:rStyle w:val="FootnoteReference"/>
        </w:rPr>
        <w:footnoteReference w:id="33"/>
      </w:r>
      <w:r>
        <w:rPr>
          <w:rFonts w:ascii="Times New Roman" w:cs="Times New Roman" w:eastAsia="Times New Roman" w:hAnsi="Times New Roman"/>
          <w:color w:val="000000"/>
          <w:sz w:val="23"/>
          <w:szCs w:val="23"/>
        </w:rPr>
        <w:t xml:space="preserve"> La mayoría de las fuentes estaba al día (rezago de cero a siete días), pero cinco mostraban rezagos de entre 16 y 39 días, un dato crítico para productos de alertas o de cumplimiento.</w:t>
      </w:r>
    </w:p>
    <w:p>
      <w:pPr>
        <w:keepNext/>
        <w:spacing w:after="80" w:before="200" w:line="240"/>
        <w:jc w:val="left"/>
      </w:pPr>
      <w:r>
        <w:rPr>
          <w:rFonts w:ascii="Times New Roman" w:cs="Times New Roman" w:eastAsia="Times New Roman" w:hAnsi="Times New Roman"/>
          <w:b/>
          <w:bCs/>
          <w:color w:val="000000"/>
          <w:sz w:val="20"/>
          <w:szCs w:val="20"/>
        </w:rPr>
        <w:t xml:space="preserve">Tabla 12. </w:t>
      </w:r>
      <w:r>
        <w:rPr>
          <w:rFonts w:ascii="Times New Roman" w:cs="Times New Roman" w:eastAsia="Times New Roman" w:hAnsi="Times New Roman"/>
          <w:i/>
          <w:iCs/>
          <w:color w:val="000000"/>
          <w:sz w:val="20"/>
          <w:szCs w:val="20"/>
        </w:rPr>
        <w:t xml:space="preserve">Rezago observado de los datasets frente a su calendario de refresco</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1698"/>
        <w:gridCol w:w="1045"/>
        <w:gridCol w:w="2352"/>
        <w:gridCol w:w="1045"/>
      </w:tblGrid>
      <w:tr>
        <w:trPr>
          <w:cantSplit/>
          <w:tblHeader/>
        </w:trPr>
        <w:tc>
          <w:tcPr>
            <w:tcW w:type="dxa" w:w="3266"/>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Endpoint (prueba)</w:t>
            </w:r>
          </w:p>
        </w:tc>
        <w:tc>
          <w:tcPr>
            <w:tcW w:type="dxa" w:w="169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i/>
                <w:iCs/>
                <w:color w:val="000000"/>
                <w:sz w:val="18"/>
                <w:szCs w:val="18"/>
              </w:rPr>
              <w:t xml:space="preserve">as_of</w:t>
            </w:r>
            <w:r>
              <w:rPr>
                <w:rFonts w:ascii="Times New Roman" w:cs="Times New Roman" w:eastAsia="Times New Roman" w:hAnsi="Times New Roman"/>
                <w:b/>
                <w:bCs/>
                <w:color w:val="000000"/>
                <w:sz w:val="18"/>
                <w:szCs w:val="18"/>
              </w:rPr>
              <w:t xml:space="preserve"> observado</w:t>
            </w:r>
          </w:p>
        </w:tc>
        <w:tc>
          <w:tcPr>
            <w:tcW w:type="dxa" w:w="104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Rezago</w:t>
            </w:r>
          </w:p>
        </w:tc>
        <w:tc>
          <w:tcPr>
            <w:tcW w:type="dxa" w:w="2352"/>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Refresco declarado (Bogotá)</w:t>
            </w:r>
          </w:p>
        </w:tc>
        <w:tc>
          <w:tcPr>
            <w:tcW w:type="dxa" w:w="104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Prueba</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SECOP: modificaciones de contratos</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2026-09-03</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39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Diario, 06:00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T24</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SECOP: planes anuales de adquisiciones</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2026-09-07</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35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Semanal, lunes 08:00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T28</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SAMAI: providencias del Consejo de Estado</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2026-09-18</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24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Diario, 04:20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T04</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SIMEV: accionistas de emisores</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2026-09-21</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21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Semanal, lunes 06:00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T13</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SIC: actos administrativos y sentencias</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2026-09-26</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16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Diario, 05:30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T43</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Supersociedades: empresas, vinculados, ranking</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2026-10-05</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7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Semanal, lunes 05:00–07:45</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T12, T15, T21</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Rama Judicial: directorio de correos</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2026-10-05</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7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Semanal, lunes 04:20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T08</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DIAN: importadores y exportadores</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2026-10-05</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7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Semanal, lunes 07:00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T14</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INVIMA: medicamentos (CUM)</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2026-10-05</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7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Semanal, lunes 05:30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T32</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IGAC: catastro</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2026-10-07</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5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Mensual, día 25</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T29, T33</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Imprenta Nacional: Gaceta del Congreso</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2026-10-07</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5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Diario, 07:20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T38</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Supersociedades Baranda: autos</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2026-10-08</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4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Diario, 06:30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T16</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DANE, TerriData e ICFES</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2026-10-10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Mensual o semanal</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T47, T48, T59</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Corte Constitucional y Corte Suprema</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2026-10-11</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1 día</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8"/>
                <w:szCs w:val="18"/>
              </w:rPr>
              <w:t xml:space="preserve">Diario, 05:50 y 04:40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8"/>
                <w:szCs w:val="18"/>
              </w:rPr>
              <w:t xml:space="preserve">T02, T03</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SECOP: procesos, contratos, perfil y sanciones</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2026-10-11</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 día</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Diario, 05:00–07:30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T25, T23, T27</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Función Pública, CREG, SUIT, ANM, Superfinanciera</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2026-10-11</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1 día</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Diario</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T35, T40, T39, T37, T18</w:t>
            </w:r>
          </w:p>
        </w:tc>
      </w:tr>
      <w:tr>
        <w:trPr>
          <w:cantSplit/>
        </w:trPr>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Banco de la República: series</w:t>
            </w:r>
          </w:p>
        </w:tc>
        <w:tc>
          <w:tcPr>
            <w:tcW w:type="dxa" w:w="1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2026-10-12</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0 días</w:t>
            </w:r>
          </w:p>
        </w:tc>
        <w:tc>
          <w:tcPr>
            <w:tcW w:type="dxa" w:w="235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Diario, 19:30</w:t>
            </w:r>
          </w:p>
        </w:tc>
        <w:tc>
          <w:tcPr>
            <w:tcW w:type="dxa" w:w="10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8"/>
                <w:szCs w:val="18"/>
              </w:rPr>
              <w:t xml:space="preserve">T36</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 rezago se calcula frente al 12 de octubre de 2026. Que el as_of sea antiguo no implica error de Croma: puede reflejar que la entidad no ha publicado; la página de monitores indica que en ese caso la ejecución se marca con source_stale.</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3.3 — Identificadores que abren cada fuente</w:t>
      </w:r>
    </w:p>
    <w:p>
      <w:pPr>
        <w:spacing w:after="120" w:before="0" w:line="276"/>
        <w:jc w:val="both"/>
      </w:pPr>
      <w:r>
        <w:rPr>
          <w:rFonts w:ascii="Times New Roman" w:cs="Times New Roman" w:eastAsia="Times New Roman" w:hAnsi="Times New Roman"/>
          <w:color w:val="000000"/>
          <w:sz w:val="23"/>
          <w:szCs w:val="23"/>
        </w:rPr>
        <w:t xml:space="preserve">En Croma el identificador correcto es el atajo más potente: valida antes de cobrar, evita búsquedas ambiguas y habilita la consulta de detalle. La Tabla 13 resume los formatos aceptados por las herramientas colombianas.</w:t>
      </w:r>
    </w:p>
    <w:p>
      <w:pPr>
        <w:keepNext/>
        <w:spacing w:after="80" w:before="200" w:line="240"/>
        <w:jc w:val="left"/>
      </w:pPr>
      <w:r>
        <w:rPr>
          <w:rFonts w:ascii="Times New Roman" w:cs="Times New Roman" w:eastAsia="Times New Roman" w:hAnsi="Times New Roman"/>
          <w:b/>
          <w:bCs/>
          <w:color w:val="000000"/>
          <w:sz w:val="20"/>
          <w:szCs w:val="20"/>
        </w:rPr>
        <w:t xml:space="preserve">Tabla 13. </w:t>
      </w:r>
      <w:r>
        <w:rPr>
          <w:rFonts w:ascii="Times New Roman" w:cs="Times New Roman" w:eastAsia="Times New Roman" w:hAnsi="Times New Roman"/>
          <w:i/>
          <w:iCs/>
          <w:color w:val="000000"/>
          <w:sz w:val="20"/>
          <w:szCs w:val="20"/>
        </w:rPr>
        <w:t xml:space="preserve">Identificadores, formatos y herramientas que los aceptan</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9"/>
        <w:gridCol w:w="2469"/>
        <w:gridCol w:w="2469"/>
        <w:gridCol w:w="2469"/>
      </w:tblGrid>
      <w:tr>
        <w:trPr>
          <w:cantSplit/>
          <w:tblHeader/>
        </w:trPr>
        <w:tc>
          <w:tcPr>
            <w:tcW w:type="dxa" w:w="199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Identificador</w:t>
            </w:r>
          </w:p>
        </w:tc>
        <w:tc>
          <w:tcPr>
            <w:tcW w:type="dxa" w:w="246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Formato</w:t>
            </w:r>
          </w:p>
        </w:tc>
        <w:tc>
          <w:tcPr>
            <w:tcW w:type="dxa" w:w="246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Herramientas</w:t>
            </w:r>
          </w:p>
        </w:tc>
        <w:tc>
          <w:tcPr>
            <w:tcW w:type="dxa" w:w="246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Atajo</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NIT</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4 a 15 dígitos, normalmente sin dígito de verificación</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RUES, Supersociedades, SIMEV, DIAN comercio, SECOP, SIC</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En SECOP probar con y sin DV; en SIC PI se acepta con o sin DV.</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Documento de persona</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CC, CE, PA, PEP, PPT, TI, RC, DPO según la fuente</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Policía, Procuraduría, Contraloría, Contaduría, ADRES, RUAF, RUNT, SICAAC</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RUAF exige además la fecha de expedición.</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Radicado judicial</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20 a 25 dígitos</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Rama Judicial, SAMAI, correos de despachos</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Sus primeros 12 dígitos son el código del despacho.</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Código de despacho</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12 dígitos</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7"/>
                <w:szCs w:val="17"/>
              </w:rPr>
              <w:t xml:space="preserve">rama_judicial_emails_by_court</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Responde «a quién le escribo» en una llamada.</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Noticia criminal</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21 dígitos</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7"/>
                <w:szCs w:val="17"/>
              </w:rPr>
              <w:t xml:space="preserve">fiscalia_case</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Datos no reservados del SPOA.</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Radicado y ficha CNDJ</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23 dígitos + número de ficha</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7"/>
                <w:szCs w:val="17"/>
              </w:rPr>
              <w:t xml:space="preserve">cndj_ruling</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La búsqueda devuelve ambos.</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Número predial nacional</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30 dígitos</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IGAC (predio, construcciones, placas)</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Los primeros 17 identifican manzana o vereda.</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SECOP</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7"/>
                <w:szCs w:val="17"/>
              </w:rPr>
              <w:t xml:space="preserve">CO1.NTC.…</w:t>
            </w:r>
            <w:r>
              <w:rPr>
                <w:rFonts w:ascii="Times New Roman" w:cs="Times New Roman" w:eastAsia="Times New Roman" w:hAnsi="Times New Roman"/>
                <w:b w:val="false"/>
                <w:bCs w:val="false"/>
                <w:color w:val="000000"/>
                <w:sz w:val="17"/>
                <w:szCs w:val="17"/>
              </w:rPr>
              <w:t xml:space="preserve">, </w:t>
            </w:r>
            <w:r>
              <w:rPr>
                <w:rFonts w:ascii="Times New Roman" w:cs="Times New Roman" w:eastAsia="Times New Roman" w:hAnsi="Times New Roman"/>
                <w:b w:val="false"/>
                <w:bCs w:val="false"/>
                <w:i/>
                <w:iCs/>
                <w:color w:val="000000"/>
                <w:sz w:val="17"/>
                <w:szCs w:val="17"/>
              </w:rPr>
              <w:t xml:space="preserve">CO1.PCCNTR.…</w:t>
            </w:r>
            <w:r>
              <w:rPr>
                <w:rFonts w:ascii="Times New Roman" w:cs="Times New Roman" w:eastAsia="Times New Roman" w:hAnsi="Times New Roman"/>
                <w:b w:val="false"/>
                <w:bCs w:val="false"/>
                <w:color w:val="000000"/>
                <w:sz w:val="17"/>
                <w:szCs w:val="17"/>
              </w:rPr>
              <w:t xml:space="preserve"> o id prefijado </w:t>
            </w:r>
            <w:r>
              <w:rPr>
                <w:rFonts w:ascii="Times New Roman" w:cs="Times New Roman" w:eastAsia="Times New Roman" w:hAnsi="Times New Roman"/>
                <w:b w:val="false"/>
                <w:bCs w:val="false"/>
                <w:i/>
                <w:iCs/>
                <w:color w:val="000000"/>
                <w:sz w:val="17"/>
                <w:szCs w:val="17"/>
              </w:rPr>
              <w:t xml:space="preserve">secop_ii:…</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Procesos y contratos</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El id prefijado se lee en milisegundos con </w:t>
            </w:r>
            <w:r>
              <w:rPr>
                <w:rFonts w:ascii="Times New Roman" w:cs="Times New Roman" w:eastAsia="Times New Roman" w:hAnsi="Times New Roman"/>
                <w:b w:val="false"/>
                <w:bCs w:val="false"/>
                <w:i/>
                <w:iCs/>
                <w:color w:val="000000"/>
                <w:sz w:val="17"/>
                <w:szCs w:val="17"/>
              </w:rPr>
              <w:t xml:space="preserve">*_record</w:t>
            </w:r>
            <w:r>
              <w:rPr>
                <w:rFonts w:ascii="Times New Roman" w:cs="Times New Roman" w:eastAsia="Times New Roman" w:hAnsi="Times New Roman"/>
                <w:b w:val="false"/>
                <w:bCs w:val="false"/>
                <w:color w:val="000000"/>
                <w:sz w:val="17"/>
                <w:szCs w:val="17"/>
              </w:rPr>
              <w:t xml:space="preserve">.</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CUFE</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Código de factura electrónica + NIT emisor o receptor</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7"/>
                <w:szCs w:val="17"/>
              </w:rPr>
              <w:t xml:space="preserve">dian_electronic_document</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Caché de 24 h; </w:t>
            </w:r>
            <w:r>
              <w:rPr>
                <w:rFonts w:ascii="Times New Roman" w:cs="Times New Roman" w:eastAsia="Times New Roman" w:hAnsi="Times New Roman"/>
                <w:b w:val="false"/>
                <w:bCs w:val="false"/>
                <w:i/>
                <w:iCs/>
                <w:color w:val="000000"/>
                <w:sz w:val="17"/>
                <w:szCs w:val="17"/>
              </w:rPr>
              <w:t xml:space="preserve">cache: false</w:t>
            </w:r>
            <w:r>
              <w:rPr>
                <w:rFonts w:ascii="Times New Roman" w:cs="Times New Roman" w:eastAsia="Times New Roman" w:hAnsi="Times New Roman"/>
                <w:b w:val="false"/>
                <w:bCs w:val="false"/>
                <w:color w:val="000000"/>
                <w:sz w:val="17"/>
                <w:szCs w:val="17"/>
              </w:rPr>
              <w:t xml:space="preserve"> tras un evento.</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CUM y expediente</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7"/>
                <w:szCs w:val="17"/>
              </w:rPr>
              <w:t xml:space="preserve">20042480-41</w:t>
            </w:r>
            <w:r>
              <w:rPr>
                <w:rFonts w:ascii="Times New Roman" w:cs="Times New Roman" w:eastAsia="Times New Roman" w:hAnsi="Times New Roman"/>
                <w:b w:val="false"/>
                <w:bCs w:val="false"/>
                <w:color w:val="000000"/>
                <w:sz w:val="17"/>
                <w:szCs w:val="17"/>
              </w:rPr>
              <w:t xml:space="preserve">, </w:t>
            </w:r>
            <w:r>
              <w:rPr>
                <w:rFonts w:ascii="Times New Roman" w:cs="Times New Roman" w:eastAsia="Times New Roman" w:hAnsi="Times New Roman"/>
                <w:b w:val="false"/>
                <w:bCs w:val="false"/>
                <w:i/>
                <w:iCs/>
                <w:color w:val="000000"/>
                <w:sz w:val="17"/>
                <w:szCs w:val="17"/>
              </w:rPr>
              <w:t xml:space="preserve">20190868</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INVIMA</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El CUM identifica la presentación comercial.</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Placa</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7"/>
                <w:szCs w:val="17"/>
              </w:rPr>
              <w:t xml:space="preserve">ABC123</w:t>
            </w:r>
            <w:r>
              <w:rPr>
                <w:rFonts w:ascii="Times New Roman" w:cs="Times New Roman" w:eastAsia="Times New Roman" w:hAnsi="Times New Roman"/>
                <w:b w:val="false"/>
                <w:bCs w:val="false"/>
                <w:color w:val="000000"/>
                <w:sz w:val="17"/>
                <w:szCs w:val="17"/>
              </w:rPr>
              <w:t xml:space="preserve"> o </w:t>
            </w:r>
            <w:r>
              <w:rPr>
                <w:rFonts w:ascii="Times New Roman" w:cs="Times New Roman" w:eastAsia="Times New Roman" w:hAnsi="Times New Roman"/>
                <w:b w:val="false"/>
                <w:bCs w:val="false"/>
                <w:i/>
                <w:iCs/>
                <w:color w:val="000000"/>
                <w:sz w:val="17"/>
                <w:szCs w:val="17"/>
              </w:rPr>
              <w:t xml:space="preserve">ABC12D</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RUNT, SIMIT</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SIMIT acepta placa o documento en el mismo campo.</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DIVIPOLA</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2 dígitos (departamento) o 5 (municipio)</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DANE, TerriData, ICFES, MinEducación, IGAC, SUIT</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Llave común para cruzar estadísticas.</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Expediente de PI</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7"/>
                <w:szCs w:val="17"/>
              </w:rPr>
              <w:t xml:space="preserve">SD2026/0066943</w:t>
            </w:r>
            <w:r>
              <w:rPr>
                <w:rFonts w:ascii="Times New Roman" w:cs="Times New Roman" w:eastAsia="Times New Roman" w:hAnsi="Times New Roman"/>
                <w:b w:val="false"/>
                <w:bCs w:val="false"/>
                <w:color w:val="000000"/>
                <w:sz w:val="17"/>
                <w:szCs w:val="17"/>
              </w:rPr>
              <w:t xml:space="preserve">, </w:t>
            </w:r>
            <w:r>
              <w:rPr>
                <w:rFonts w:ascii="Times New Roman" w:cs="Times New Roman" w:eastAsia="Times New Roman" w:hAnsi="Times New Roman"/>
                <w:b w:val="false"/>
                <w:bCs w:val="false"/>
                <w:i/>
                <w:iCs/>
                <w:color w:val="000000"/>
                <w:sz w:val="17"/>
                <w:szCs w:val="17"/>
              </w:rPr>
              <w:t xml:space="preserve">NC2026/0006185</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SIC Propiedad Industrial y Gaceta</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El detalle trae el historial y los documentos.</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Providencias</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7"/>
                <w:szCs w:val="17"/>
              </w:rPr>
              <w:t xml:space="preserve">T-013/25</w:t>
            </w:r>
            <w:r>
              <w:rPr>
                <w:rFonts w:ascii="Times New Roman" w:cs="Times New Roman" w:eastAsia="Times New Roman" w:hAnsi="Times New Roman"/>
                <w:b w:val="false"/>
                <w:bCs w:val="false"/>
                <w:color w:val="000000"/>
                <w:sz w:val="17"/>
                <w:szCs w:val="17"/>
              </w:rPr>
              <w:t xml:space="preserve">, </w:t>
            </w:r>
            <w:r>
              <w:rPr>
                <w:rFonts w:ascii="Times New Roman" w:cs="Times New Roman" w:eastAsia="Times New Roman" w:hAnsi="Times New Roman"/>
                <w:b w:val="false"/>
                <w:bCs w:val="false"/>
                <w:i/>
                <w:iCs/>
                <w:color w:val="000000"/>
                <w:sz w:val="17"/>
                <w:szCs w:val="17"/>
              </w:rPr>
              <w:t xml:space="preserve">SU.502/25</w:t>
            </w:r>
            <w:r>
              <w:rPr>
                <w:rFonts w:ascii="Times New Roman" w:cs="Times New Roman" w:eastAsia="Times New Roman" w:hAnsi="Times New Roman"/>
                <w:b w:val="false"/>
                <w:bCs w:val="false"/>
                <w:color w:val="000000"/>
                <w:sz w:val="17"/>
                <w:szCs w:val="17"/>
              </w:rPr>
              <w:t xml:space="preserve">, </w:t>
            </w:r>
            <w:r>
              <w:rPr>
                <w:rFonts w:ascii="Times New Roman" w:cs="Times New Roman" w:eastAsia="Times New Roman" w:hAnsi="Times New Roman"/>
                <w:b w:val="false"/>
                <w:bCs w:val="false"/>
                <w:i/>
                <w:iCs/>
                <w:color w:val="000000"/>
                <w:sz w:val="17"/>
                <w:szCs w:val="17"/>
              </w:rPr>
              <w:t xml:space="preserve">AC6049-2026</w:t>
            </w:r>
            <w:r>
              <w:rPr>
                <w:rFonts w:ascii="Times New Roman" w:cs="Times New Roman" w:eastAsia="Times New Roman" w:hAnsi="Times New Roman"/>
                <w:b w:val="false"/>
                <w:bCs w:val="false"/>
                <w:color w:val="000000"/>
                <w:sz w:val="17"/>
                <w:szCs w:val="17"/>
              </w:rPr>
              <w:t xml:space="preserve">, hash SAMAI</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Cortes y SAMAI</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Leer el texto por rangos con </w:t>
            </w:r>
            <w:r>
              <w:rPr>
                <w:rFonts w:ascii="Times New Roman" w:cs="Times New Roman" w:eastAsia="Times New Roman" w:hAnsi="Times New Roman"/>
                <w:b w:val="false"/>
                <w:bCs w:val="false"/>
                <w:i/>
                <w:iCs/>
                <w:color w:val="000000"/>
                <w:sz w:val="17"/>
                <w:szCs w:val="17"/>
              </w:rPr>
              <w:t xml:space="preserve">offset</w:t>
            </w:r>
            <w:r>
              <w:rPr>
                <w:rFonts w:ascii="Times New Roman" w:cs="Times New Roman" w:eastAsia="Times New Roman" w:hAnsi="Times New Roman"/>
                <w:b w:val="false"/>
                <w:bCs w:val="false"/>
                <w:color w:val="000000"/>
                <w:sz w:val="17"/>
                <w:szCs w:val="17"/>
              </w:rPr>
              <w:t xml:space="preserve"> y </w:t>
            </w:r>
            <w:r>
              <w:rPr>
                <w:rFonts w:ascii="Times New Roman" w:cs="Times New Roman" w:eastAsia="Times New Roman" w:hAnsi="Times New Roman"/>
                <w:b w:val="false"/>
                <w:bCs w:val="false"/>
                <w:i/>
                <w:iCs/>
                <w:color w:val="000000"/>
                <w:sz w:val="17"/>
                <w:szCs w:val="17"/>
              </w:rPr>
              <w:t xml:space="preserve">limit</w:t>
            </w:r>
            <w:r>
              <w:rPr>
                <w:rFonts w:ascii="Times New Roman" w:cs="Times New Roman" w:eastAsia="Times New Roman" w:hAnsi="Times New Roman"/>
                <w:b w:val="false"/>
                <w:bCs w:val="false"/>
                <w:color w:val="000000"/>
                <w:sz w:val="17"/>
                <w:szCs w:val="17"/>
              </w:rPr>
              <w:t xml:space="preserve">.</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Códigos de serie</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BanRep </w:t>
            </w:r>
            <w:r>
              <w:rPr>
                <w:rFonts w:ascii="Times New Roman" w:cs="Times New Roman" w:eastAsia="Times New Roman" w:hAnsi="Times New Roman"/>
                <w:b w:val="false"/>
                <w:bCs w:val="false"/>
                <w:i/>
                <w:iCs/>
                <w:color w:val="000000"/>
                <w:sz w:val="17"/>
                <w:szCs w:val="17"/>
              </w:rPr>
              <w:t xml:space="preserve">1</w:t>
            </w:r>
            <w:r>
              <w:rPr>
                <w:rFonts w:ascii="Times New Roman" w:cs="Times New Roman" w:eastAsia="Times New Roman" w:hAnsi="Times New Roman"/>
                <w:b w:val="false"/>
                <w:bCs w:val="false"/>
                <w:color w:val="000000"/>
                <w:sz w:val="17"/>
                <w:szCs w:val="17"/>
              </w:rPr>
              <w:t xml:space="preserve"> (TRM), </w:t>
            </w:r>
            <w:r>
              <w:rPr>
                <w:rFonts w:ascii="Times New Roman" w:cs="Times New Roman" w:eastAsia="Times New Roman" w:hAnsi="Times New Roman"/>
                <w:b w:val="false"/>
                <w:bCs w:val="false"/>
                <w:i/>
                <w:iCs/>
                <w:color w:val="000000"/>
                <w:sz w:val="17"/>
                <w:szCs w:val="17"/>
              </w:rPr>
              <w:t xml:space="preserve">59</w:t>
            </w:r>
            <w:r>
              <w:rPr>
                <w:rFonts w:ascii="Times New Roman" w:cs="Times New Roman" w:eastAsia="Times New Roman" w:hAnsi="Times New Roman"/>
                <w:b w:val="false"/>
                <w:bCs w:val="false"/>
                <w:color w:val="000000"/>
                <w:sz w:val="17"/>
                <w:szCs w:val="17"/>
              </w:rPr>
              <w:t xml:space="preserve"> (tasa de política); TerriData 9 dígitos</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BanRep, TerriData</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Buscar el código una vez y reutilizarlo.</w:t>
            </w:r>
          </w:p>
        </w:tc>
      </w:tr>
      <w:tr>
        <w:trPr>
          <w:cantSplit/>
        </w:trPr>
        <w:tc>
          <w:tcPr>
            <w:tcW w:type="dxa" w:w="19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Ids normativos</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7"/>
                <w:szCs w:val="17"/>
              </w:rPr>
              <w:t xml:space="preserve">norm_id</w:t>
            </w:r>
            <w:r>
              <w:rPr>
                <w:rFonts w:ascii="Times New Roman" w:cs="Times New Roman" w:eastAsia="Times New Roman" w:hAnsi="Times New Roman"/>
                <w:b w:val="false"/>
                <w:bCs w:val="false"/>
                <w:color w:val="000000"/>
                <w:sz w:val="17"/>
                <w:szCs w:val="17"/>
              </w:rPr>
              <w:t xml:space="preserve"> (Función Pública), </w:t>
            </w:r>
            <w:r>
              <w:rPr>
                <w:rFonts w:ascii="Times New Roman" w:cs="Times New Roman" w:eastAsia="Times New Roman" w:hAnsi="Times New Roman"/>
                <w:b w:val="false"/>
                <w:bCs w:val="false"/>
                <w:i/>
                <w:iCs/>
                <w:color w:val="000000"/>
                <w:sz w:val="17"/>
                <w:szCs w:val="17"/>
              </w:rPr>
              <w:t xml:space="preserve">ce:2026:7</w:t>
            </w:r>
            <w:r>
              <w:rPr>
                <w:rFonts w:ascii="Times New Roman" w:cs="Times New Roman" w:eastAsia="Times New Roman" w:hAnsi="Times New Roman"/>
                <w:b w:val="false"/>
                <w:bCs w:val="false"/>
                <w:color w:val="000000"/>
                <w:sz w:val="17"/>
                <w:szCs w:val="17"/>
              </w:rPr>
              <w:t xml:space="preserve"> (SFC), </w:t>
            </w:r>
            <w:r>
              <w:rPr>
                <w:rFonts w:ascii="Times New Roman" w:cs="Times New Roman" w:eastAsia="Times New Roman" w:hAnsi="Times New Roman"/>
                <w:b w:val="false"/>
                <w:bCs w:val="false"/>
                <w:i/>
                <w:iCs/>
                <w:color w:val="000000"/>
                <w:sz w:val="17"/>
                <w:szCs w:val="17"/>
              </w:rPr>
              <w:t xml:space="preserve">resolucion_101-128_2026</w:t>
            </w:r>
            <w:r>
              <w:rPr>
                <w:rFonts w:ascii="Times New Roman" w:cs="Times New Roman" w:eastAsia="Times New Roman" w:hAnsi="Times New Roman"/>
                <w:b w:val="false"/>
                <w:bCs w:val="false"/>
                <w:color w:val="000000"/>
                <w:sz w:val="17"/>
                <w:szCs w:val="17"/>
              </w:rPr>
              <w:t xml:space="preserve"> (CREG)</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Normativa</w:t>
            </w:r>
          </w:p>
        </w:tc>
        <w:tc>
          <w:tcPr>
            <w:tcW w:type="dxa" w:w="24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Permiten reconstruir modificaciones.</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con base en los esquemas de entrada de las herramientas MCP y en las pruebas del Anexo C.</w:t>
      </w: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IV. FLUJOS DE TRABAJO POR FUENTE DEL ESTADO COLOMBIANO</w:t>
      </w:r>
    </w:p>
    <w:p>
      <w:pPr>
        <w:spacing w:after="120" w:before="0" w:line="276"/>
        <w:jc w:val="both"/>
      </w:pPr>
      <w:r>
        <w:rPr>
          <w:rFonts w:ascii="Times New Roman" w:cs="Times New Roman" w:eastAsia="Times New Roman" w:hAnsi="Times New Roman"/>
          <w:color w:val="000000"/>
          <w:sz w:val="23"/>
          <w:szCs w:val="23"/>
        </w:rPr>
        <w:t xml:space="preserve">Esta sección ejecuta el Creador de Flujos de Trabajo sobre cada familia de fuentes colombianas. Cada subsección abre en página nueva y conserva la misma composición: primero el diagrama vectorial con su leyenda de color, y luego el contexto de la fuente, el objetivo, la lectura del flujo paso a paso, las decisiones clave, las rutas de error, los riesgos y supuestos, y la tabla de recursos con sus remisiones. Todos los diagramas superaron la compuerta de completitud del §9 (Anexo B).</w:t>
      </w:r>
    </w:p>
    <w:p>
      <w:pPr>
        <w:spacing w:after="120" w:before="0" w:line="276"/>
        <w:jc w:val="both"/>
      </w:pPr>
      <w:r>
        <w:rPr>
          <w:rFonts w:ascii="Times New Roman" w:cs="Times New Roman" w:eastAsia="Times New Roman" w:hAnsi="Times New Roman"/>
          <w:b/>
          <w:bCs/>
          <w:color w:val="000000"/>
          <w:sz w:val="23"/>
          <w:szCs w:val="23"/>
        </w:rPr>
        <w:t xml:space="preserve">Cómo leer los diagramas.</w:t>
      </w:r>
      <w:r>
        <w:rPr>
          <w:rFonts w:ascii="Times New Roman" w:cs="Times New Roman" w:eastAsia="Times New Roman" w:hAnsi="Times New Roman"/>
          <w:color w:val="000000"/>
          <w:sz w:val="23"/>
          <w:szCs w:val="23"/>
        </w:rPr>
        <w:t xml:space="preserve"> La forma indica la función del nodo (óvalo: inicio o fin; rombo: decisión; rectángulo: herramienta o proceso; rectángulo doble: subproceso; paralelogramo: entrada o salida; cilindro: almacén de datos; caja tridimensional: fuente externa). El color indica la categoría semántica según la paleta del MD, apta para daltonismo: azul para entradas y salidas, verde para herramientas, ámbar para decisiones, celeste para datos, magenta para modelos de IA, café para fuentes oficiales externas, bermellón para errores, índigo para control y orquestación, y verde oscuro para recursos de infraestructura. Las flechas grises son flujo, las bermellón son rutas de error y las índigo gruesas son remisiones («remite a»). Los códigos «rec. Rxx» dentro de cada nodo remiten a la tabla de recursos del flujo.</w:t>
      </w:r>
    </w:p>
    <w:p>
      <w:pPr>
        <w:keepNext/>
        <w:spacing w:after="80" w:before="200" w:line="240"/>
        <w:jc w:val="left"/>
      </w:pPr>
      <w:r>
        <w:rPr>
          <w:rFonts w:ascii="Times New Roman" w:cs="Times New Roman" w:eastAsia="Times New Roman" w:hAnsi="Times New Roman"/>
          <w:b/>
          <w:bCs/>
          <w:color w:val="000000"/>
          <w:sz w:val="20"/>
          <w:szCs w:val="20"/>
        </w:rPr>
        <w:t xml:space="preserve">Tabla 14. </w:t>
      </w:r>
      <w:r>
        <w:rPr>
          <w:rFonts w:ascii="Times New Roman" w:cs="Times New Roman" w:eastAsia="Times New Roman" w:hAnsi="Times New Roman"/>
          <w:i/>
          <w:iCs/>
          <w:color w:val="000000"/>
          <w:sz w:val="20"/>
          <w:szCs w:val="20"/>
        </w:rPr>
        <w:t xml:space="preserve">Correspondencia entre flujos, diagramas y familias de fuente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965"/>
        <w:gridCol w:w="3075"/>
        <w:gridCol w:w="3678"/>
        <w:gridCol w:w="964"/>
      </w:tblGrid>
      <w:tr>
        <w:trPr>
          <w:cantSplit/>
          <w:tblHeader/>
        </w:trPr>
        <w:tc>
          <w:tcPr>
            <w:tcW w:type="dxa" w:w="724"/>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Flujo</w:t>
            </w:r>
          </w:p>
        </w:tc>
        <w:tc>
          <w:tcPr>
            <w:tcW w:type="dxa" w:w="96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Diagrama</w:t>
            </w:r>
          </w:p>
        </w:tc>
        <w:tc>
          <w:tcPr>
            <w:tcW w:type="dxa" w:w="307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Dominio</w:t>
            </w:r>
          </w:p>
        </w:tc>
        <w:tc>
          <w:tcPr>
            <w:tcW w:type="dxa" w:w="367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Familias de endpoint</w:t>
            </w:r>
          </w:p>
        </w:tc>
        <w:tc>
          <w:tcPr>
            <w:tcW w:type="dxa" w:w="964"/>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Endpoints</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4.1</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D02</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Procesos judiciales</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rama-judicial</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5</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4.2</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D03</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Jurisprudencia, disciplina judicial y procesos contencioso-administrativos</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corte-constitucional, corte-suprema, consejo-estado, samai-rulings, cndj; samai (procesos, en el texto)</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10 + 3</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4.3</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D04</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Empresas y mercado de valores</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rues, supersociedades, simev, dian-trade</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16</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4.4</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D05</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Insolvencia y litigio societario</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supersociedades-baranda, supersociedades-relatoria</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14</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4.5</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D06</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Contratación pública</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secop, ancp-cce</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18</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4.6</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D07</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Verificación de personas</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registraduria, registro-civil, policia, procuraduria, contraloria, contaduria, adres, ruaf, dnp, sicaac, fiscalia</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12</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4.7</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D08</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Vehículos y tránsito</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runt, simit</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5</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4.8</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D09</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Fuentes con sesión y factura electrónica</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dian (documento electrónico), dian-muisca, bancolombia</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5</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4.9</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D10</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Regulación y normativa</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funcion-publica, imprenta, superfinanciera, superfinanciera-doctrine, creg, dian (doctrina), sic-normativa</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19</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4.10</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D11</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Superintendencia de Industria y Comercio</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sic-ip, sic-gazette, sic-sanctions, sic-actos, sic-tramites</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15</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4.11</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D12</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Catastro</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igac</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15</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4.12</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D13</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Estadística y macroeconomía</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dane, banrep, banrep-research, terridata, icfes, mineducacion</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14</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4.13</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D14</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Salud, minería y ambiente</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invima, anm, siata, siata-geoportal</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17</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4.14</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D15</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Trámites y herramientas web</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suit, gov-pages + herramientas globales</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4 + 6</w:t>
            </w:r>
          </w:p>
        </w:tc>
      </w:tr>
      <w:tr>
        <w:trPr>
          <w:cantSplit/>
        </w:trPr>
        <w:tc>
          <w:tcPr>
            <w:tcW w:type="dxa" w:w="7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4.15</w:t>
            </w:r>
          </w:p>
        </w:tc>
        <w:tc>
          <w:tcPr>
            <w:tcW w:type="dxa" w:w="9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D16</w:t>
            </w:r>
          </w:p>
        </w:tc>
        <w:tc>
          <w:tcPr>
            <w:tcW w:type="dxa" w:w="3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Monitores (transversal)</w:t>
            </w:r>
          </w:p>
        </w:tc>
        <w:tc>
          <w:tcPr>
            <w:tcW w:type="dxa" w:w="36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7 herramientas de gestión de monitores</w:t>
            </w:r>
          </w:p>
        </w:tc>
        <w:tc>
          <w:tcPr>
            <w:tcW w:type="dxa" w:w="96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La suma de la columna de endpoints es 172. Los tres endpoints de procesos de SAMAI se describen en el texto del flujo 4.2 porque complementan la jurisprudencia, pero no se diagraman; el conteo por flujo puede diferir del conteo por dominio de la Tabla 11, que agrupa por institución.</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4.1 — Rama Judicial: procesos, lotes y correos de despachos</w:t>
      </w:r>
    </w:p>
    <w:p>
      <w:pPr>
        <w:keepNext/>
        <w:spacing w:after="80" w:before="60" w:line="240"/>
        <w:jc w:val="left"/>
      </w:pPr>
      <w:r>
        <w:rPr>
          <w:rFonts w:ascii="Times New Roman" w:cs="Times New Roman" w:eastAsia="Times New Roman" w:hAnsi="Times New Roman"/>
          <w:b/>
          <w:bCs/>
          <w:color w:val="000000"/>
          <w:sz w:val="20"/>
          <w:szCs w:val="20"/>
        </w:rPr>
        <w:t xml:space="preserve">Figura 3. </w:t>
      </w:r>
      <w:r>
        <w:rPr>
          <w:rFonts w:ascii="Times New Roman" w:cs="Times New Roman" w:eastAsia="Times New Roman" w:hAnsi="Times New Roman"/>
          <w:i/>
          <w:iCs/>
          <w:color w:val="000000"/>
          <w:sz w:val="20"/>
          <w:szCs w:val="20"/>
        </w:rPr>
        <w:t xml:space="preserve">Rama Judicial: procesos, lotes y correos (D02)</w:t>
      </w:r>
    </w:p>
    <w:p>
      <w:pPr>
        <w:keepNext/>
        <w:spacing w:after="60"/>
        <w:jc w:val="center"/>
      </w:pPr>
      <w:r>
        <w:drawing>
          <wp:inline distT="0" distB="0" distL="0" distR="0">
            <wp:extent cx="5495925" cy="6905625"/>
            <wp:effectExtent t="0" r="0" b="0" l="0"/>
            <wp:docPr id="1" name="D02" descr="Diagrama D02: Rama Judicial: procesos, lotes y correos (D02)" title="Rama Judicial: procesos, lotes y correos (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extLst>
                        <a:ext uri="{96DAC541-7B7A-43D3-8B79-37D633B846F1}">
                          <asvg:svgBlip xmlns:asvg="http://schemas.microsoft.com/office/drawing/2016/SVG/main" r:embed="rId13"/>
                        </a:ext>
                      </a:extLst>
                    </a:blip>
                    <a:srcRect/>
                    <a:stretch>
                      <a:fillRect/>
                    </a:stretch>
                  </pic:blipFill>
                  <pic:spPr bwMode="auto">
                    <a:xfrm>
                      <a:off x="0" y="0"/>
                      <a:ext cx="5495925" cy="690562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guía de Rama Judicial, Agent Skill y pruebas T01, T05, T08, T09, T10 y T55.</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La Rama Judicial ofrece cinco endpoints: búsqueda de procesos por nombre de la parte, consulta por radicado con las primeras 40 actuaciones, la misma consulta en lote, y dos endpoints del directorio oficial de correos de despachos.</w:t>
      </w:r>
      <w:r>
        <w:rPr>
          <w:rStyle w:val="FootnoteReference"/>
        </w:rPr>
        <w:footnoteReference w:id="34"/>
      </w:r>
      <w:r>
        <w:rPr>
          <w:rFonts w:ascii="Times New Roman" w:cs="Times New Roman" w:eastAsia="Times New Roman" w:hAnsi="Times New Roman"/>
          <w:color w:val="000000"/>
          <w:sz w:val="23"/>
          <w:szCs w:val="23"/>
        </w:rPr>
        <w:t xml:space="preserve"> Las consultas de procesos son en vivo (10 créditos); el directorio de correos es un dataset semanal (1 crédito). Es la fuente sobre la que corre Croma Legal, el monitoreo que revisa más de cien mil procesos al día para bancos y entidades de crédito.</w:t>
      </w:r>
      <w:r>
        <w:rPr>
          <w:rStyle w:val="FootnoteReference"/>
        </w:rPr>
        <w:footnoteReference w:id="35"/>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Resolver procesos judiciales por parte, por radicado o en lote, y ubicar el correo oficial del despacho. Es la base de productos de vigilancia judicial de cartera, cobranza y debida diligencia litigiosa.</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5"/>
        </w:numPr>
        <w:spacing w:after="60" w:line="276"/>
        <w:jc w:val="both"/>
      </w:pPr>
      <w:r>
        <w:rPr>
          <w:rFonts w:ascii="Times New Roman" w:cs="Times New Roman" w:eastAsia="Times New Roman" w:hAnsi="Times New Roman"/>
          <w:color w:val="000000"/>
          <w:sz w:val="23"/>
          <w:szCs w:val="23"/>
        </w:rPr>
        <w:t xml:space="preserve">Elegir la vía según el identificador disponible: nombre de la parte, un radicado, una lista de radicados o la necesidad de escribir al despacho.</w:t>
      </w:r>
    </w:p>
    <w:p>
      <w:pPr>
        <w:pStyle w:val="ListParagraph"/>
        <w:numPr>
          <w:ilvl w:val="0"/>
          <w:numId w:val="5"/>
        </w:numPr>
        <w:spacing w:after="60" w:line="276"/>
        <w:jc w:val="both"/>
      </w:pPr>
      <w:r>
        <w:rPr>
          <w:rFonts w:ascii="Times New Roman" w:cs="Times New Roman" w:eastAsia="Times New Roman" w:hAnsi="Times New Roman"/>
          <w:color w:val="000000"/>
          <w:sz w:val="23"/>
          <w:szCs w:val="23"/>
        </w:rPr>
        <w:t xml:space="preserve">Por nombre, indicar si la parte es persona natural o jurídica y, con </w:t>
      </w:r>
      <w:r>
        <w:rPr>
          <w:rFonts w:ascii="Times New Roman" w:cs="Times New Roman" w:eastAsia="Times New Roman" w:hAnsi="Times New Roman"/>
          <w:i/>
          <w:iCs/>
          <w:color w:val="000000"/>
          <w:sz w:val="23"/>
          <w:szCs w:val="23"/>
        </w:rPr>
        <w:t xml:space="preserve">active_only</w:t>
      </w:r>
      <w:r>
        <w:rPr>
          <w:rFonts w:ascii="Times New Roman" w:cs="Times New Roman" w:eastAsia="Times New Roman" w:hAnsi="Times New Roman"/>
          <w:color w:val="000000"/>
          <w:sz w:val="23"/>
          <w:szCs w:val="23"/>
        </w:rPr>
        <w:t xml:space="preserve">, limitar la búsqueda a procesos con actividad en los últimos 30 días. Un nombre genérico devuelve «Too many matches»; la razón social exacta con </w:t>
      </w:r>
      <w:r>
        <w:rPr>
          <w:rFonts w:ascii="Times New Roman" w:cs="Times New Roman" w:eastAsia="Times New Roman" w:hAnsi="Times New Roman"/>
          <w:i/>
          <w:iCs/>
          <w:color w:val="000000"/>
          <w:sz w:val="23"/>
          <w:szCs w:val="23"/>
        </w:rPr>
        <w:t xml:space="preserve">active_only</w:t>
      </w:r>
      <w:r>
        <w:rPr>
          <w:rFonts w:ascii="Times New Roman" w:cs="Times New Roman" w:eastAsia="Times New Roman" w:hAnsi="Times New Roman"/>
          <w:color w:val="000000"/>
          <w:sz w:val="23"/>
          <w:szCs w:val="23"/>
        </w:rPr>
        <w:t xml:space="preserve"> devuelve la lista.</w:t>
      </w:r>
      <w:r>
        <w:rPr>
          <w:rStyle w:val="FootnoteReference"/>
        </w:rPr>
        <w:footnoteReference w:id="36"/>
      </w:r>
    </w:p>
    <w:p>
      <w:pPr>
        <w:pStyle w:val="ListParagraph"/>
        <w:numPr>
          <w:ilvl w:val="0"/>
          <w:numId w:val="5"/>
        </w:numPr>
        <w:spacing w:after="60" w:line="276"/>
        <w:jc w:val="both"/>
      </w:pPr>
      <w:r>
        <w:rPr>
          <w:rFonts w:ascii="Times New Roman" w:cs="Times New Roman" w:eastAsia="Times New Roman" w:hAnsi="Times New Roman"/>
          <w:color w:val="000000"/>
          <w:sz w:val="23"/>
          <w:szCs w:val="23"/>
        </w:rPr>
        <w:t xml:space="preserve">Cada caso de la lista remite a la consulta por radicado, que devuelve los metadatos del proceso y las 40 actuaciones más recientes, de la más nueva a la más antigua.</w:t>
      </w:r>
    </w:p>
    <w:p>
      <w:pPr>
        <w:pStyle w:val="ListParagraph"/>
        <w:numPr>
          <w:ilvl w:val="0"/>
          <w:numId w:val="5"/>
        </w:numPr>
        <w:spacing w:after="60" w:line="276"/>
        <w:jc w:val="both"/>
      </w:pPr>
      <w:r>
        <w:rPr>
          <w:rFonts w:ascii="Times New Roman" w:cs="Times New Roman" w:eastAsia="Times New Roman" w:hAnsi="Times New Roman"/>
          <w:color w:val="000000"/>
          <w:sz w:val="23"/>
          <w:szCs w:val="23"/>
        </w:rPr>
        <w:t xml:space="preserve">Para carteras, el lote resuelve hasta 50 radicados en una sola llamada: valida todos los formatos antes de ejecutar y entrega un resultado por ítem con un resumen de completados, errores y aciertos de caché.</w:t>
      </w:r>
      <w:r>
        <w:rPr>
          <w:rStyle w:val="FootnoteReference"/>
        </w:rPr>
        <w:footnoteReference w:id="37"/>
      </w:r>
    </w:p>
    <w:p>
      <w:pPr>
        <w:pStyle w:val="ListParagraph"/>
        <w:numPr>
          <w:ilvl w:val="0"/>
          <w:numId w:val="5"/>
        </w:numPr>
        <w:spacing w:after="60" w:line="276"/>
        <w:jc w:val="both"/>
      </w:pPr>
      <w:r>
        <w:rPr>
          <w:rFonts w:ascii="Times New Roman" w:cs="Times New Roman" w:eastAsia="Times New Roman" w:hAnsi="Times New Roman"/>
          <w:color w:val="000000"/>
          <w:sz w:val="23"/>
          <w:szCs w:val="23"/>
        </w:rPr>
        <w:t xml:space="preserve">El correo oficial del despacho se obtiene desde el directorio con el código de 12 dígitos o con el radicado completo, porque sus primeros 12 dígitos identifican el despacho.</w:t>
      </w:r>
      <w:r>
        <w:rPr>
          <w:rStyle w:val="FootnoteReference"/>
        </w:rPr>
        <w:footnoteReference w:id="38"/>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La primera decisión selecciona la herramienta por el identificador; la segunda detecta el exceso de coincidencias en la búsqueda por nombre; la tercera valida el lote completo antes de ejecutarlo; la cuarta interpreta </w:t>
      </w:r>
      <w:r>
        <w:rPr>
          <w:rFonts w:ascii="Times New Roman" w:cs="Times New Roman" w:eastAsia="Times New Roman" w:hAnsi="Times New Roman"/>
          <w:i/>
          <w:iCs/>
          <w:color w:val="000000"/>
          <w:sz w:val="23"/>
          <w:szCs w:val="23"/>
        </w:rPr>
        <w:t xml:space="preserve">found</w:t>
      </w:r>
      <w:r>
        <w:rPr>
          <w:rFonts w:ascii="Times New Roman" w:cs="Times New Roman" w:eastAsia="Times New Roman" w:hAnsi="Times New Roman"/>
          <w:color w:val="000000"/>
          <w:sz w:val="23"/>
          <w:szCs w:val="23"/>
        </w:rPr>
        <w:t xml:space="preserve">, donde la marca </w:t>
      </w:r>
      <w:r>
        <w:rPr>
          <w:rFonts w:ascii="Times New Roman" w:cs="Times New Roman" w:eastAsia="Times New Roman" w:hAnsi="Times New Roman"/>
          <w:i/>
          <w:iCs/>
          <w:color w:val="000000"/>
          <w:sz w:val="23"/>
          <w:szCs w:val="23"/>
        </w:rPr>
        <w:t xml:space="preserve">private_only</w:t>
      </w:r>
      <w:r>
        <w:rPr>
          <w:rFonts w:ascii="Times New Roman" w:cs="Times New Roman" w:eastAsia="Times New Roman" w:hAnsi="Times New Roman"/>
          <w:color w:val="000000"/>
          <w:sz w:val="23"/>
          <w:szCs w:val="23"/>
        </w:rPr>
        <w:t xml:space="preserve"> advierte que el radicado existe pero solo como proceso reservado.</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«Too many matches» exige precisar la razón social o activar </w:t>
      </w:r>
      <w:r>
        <w:rPr>
          <w:rFonts w:ascii="Times New Roman" w:cs="Times New Roman" w:eastAsia="Times New Roman" w:hAnsi="Times New Roman"/>
          <w:i/>
          <w:iCs/>
          <w:color w:val="000000"/>
          <w:sz w:val="23"/>
          <w:szCs w:val="23"/>
        </w:rPr>
        <w:t xml:space="preserve">active_only</w:t>
      </w:r>
      <w:r>
        <w:rPr>
          <w:rFonts w:ascii="Times New Roman" w:cs="Times New Roman" w:eastAsia="Times New Roman" w:hAnsi="Times New Roman"/>
          <w:color w:val="000000"/>
          <w:sz w:val="23"/>
          <w:szCs w:val="23"/>
        </w:rPr>
        <w:t xml:space="preserve">. Un ítem mal formado invalida el lote con un 400 que señala </w:t>
      </w:r>
      <w:r>
        <w:rPr>
          <w:rFonts w:ascii="Times New Roman" w:cs="Times New Roman" w:eastAsia="Times New Roman" w:hAnsi="Times New Roman"/>
          <w:i/>
          <w:iCs/>
          <w:color w:val="000000"/>
          <w:sz w:val="23"/>
          <w:szCs w:val="23"/>
        </w:rPr>
        <w:t xml:space="preserve">items.N</w:t>
      </w:r>
      <w:r>
        <w:rPr>
          <w:rFonts w:ascii="Times New Roman" w:cs="Times New Roman" w:eastAsia="Times New Roman" w:hAnsi="Times New Roman"/>
          <w:color w:val="000000"/>
          <w:sz w:val="23"/>
          <w:szCs w:val="23"/>
        </w:rPr>
        <w:t xml:space="preserve">. Una falla del portal judicial produce un 5xx; como las consultas son idempotentes, el reintento es seguro. Un radicado con menos de 20 dígitos se rechaza antes de cobrar.</w:t>
      </w:r>
      <w:r>
        <w:rPr>
          <w:rStyle w:val="FootnoteReference"/>
        </w:rPr>
        <w:footnoteReference w:id="39"/>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Las entidades con muchos procesos (bancos, aseguradoras, cadenas comerciales) superan el umbral de la búsqueda por nombre si no se usa </w:t>
      </w:r>
      <w:r>
        <w:rPr>
          <w:rFonts w:ascii="Times New Roman" w:cs="Times New Roman" w:eastAsia="Times New Roman" w:hAnsi="Times New Roman"/>
          <w:i/>
          <w:iCs/>
          <w:color w:val="000000"/>
          <w:sz w:val="23"/>
          <w:szCs w:val="23"/>
        </w:rPr>
        <w:t xml:space="preserve">active_only</w:t>
      </w:r>
      <w:r>
        <w:rPr>
          <w:rFonts w:ascii="Times New Roman" w:cs="Times New Roman" w:eastAsia="Times New Roman" w:hAnsi="Times New Roman"/>
          <w:color w:val="000000"/>
          <w:sz w:val="23"/>
          <w:szCs w:val="23"/>
        </w:rPr>
        <w:t xml:space="preserve">; para su histórico completo conviene partir de los radicados propios. Los nombres de las partes son datos personales: el producto debe aplicar finalidad y minimización. Supuesto: la consulta por radicado devuelve la primera página de 40 actuaciones, suficiente para el estado actual pero no para el histórico íntegro de procesos muy largos.</w:t>
      </w:r>
    </w:p>
    <w:p>
      <w:pPr>
        <w:keepNext/>
        <w:spacing w:after="80" w:before="200" w:line="240"/>
        <w:jc w:val="left"/>
      </w:pPr>
      <w:r>
        <w:rPr>
          <w:rFonts w:ascii="Times New Roman" w:cs="Times New Roman" w:eastAsia="Times New Roman" w:hAnsi="Times New Roman"/>
          <w:b/>
          <w:bCs/>
          <w:color w:val="000000"/>
          <w:sz w:val="20"/>
          <w:szCs w:val="20"/>
        </w:rPr>
        <w:t xml:space="preserve">Tabla 15. </w:t>
      </w:r>
      <w:r>
        <w:rPr>
          <w:rFonts w:ascii="Times New Roman" w:cs="Times New Roman" w:eastAsia="Times New Roman" w:hAnsi="Times New Roman"/>
          <w:i/>
          <w:iCs/>
          <w:color w:val="000000"/>
          <w:sz w:val="20"/>
          <w:szCs w:val="20"/>
        </w:rPr>
        <w:t xml:space="preserve">Recursos y remisiones del diagrama D02</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R02</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Saldo de créditos del plan (10 vivo · 1 dataset)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SRC</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Plan y facturación; 402 al agotarse</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DIR</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SRC</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R06</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Caché de resultados recientes (X-Cache: HIT)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BAJA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BB</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Fuente oficial cuando la copia expira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R10</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Identificador del sujeto (NIT, radicado, placa, cédula, CUFE)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D1, BE, BR, BB, EM</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Validación de formato (400 / −32602)</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R11</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Base legal y finalidad (Ley 1581 de 2012)</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humano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Responsable del tratamiento (usuario)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R15</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Catálogo y OpenAPI (/catalog, /openapi)</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BAJA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VB</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OpenAPI y /catalog</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20 nodos, 25 aristas, 4 decisiones, 3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4.2 — Jurisprudencia de las altas cortes y disciplina judicial</w:t>
      </w:r>
    </w:p>
    <w:p>
      <w:pPr>
        <w:keepNext/>
        <w:spacing w:after="80" w:before="60" w:line="240"/>
        <w:jc w:val="left"/>
      </w:pPr>
      <w:r>
        <w:rPr>
          <w:rFonts w:ascii="Times New Roman" w:cs="Times New Roman" w:eastAsia="Times New Roman" w:hAnsi="Times New Roman"/>
          <w:b/>
          <w:bCs/>
          <w:color w:val="000000"/>
          <w:sz w:val="20"/>
          <w:szCs w:val="20"/>
        </w:rPr>
        <w:t xml:space="preserve">Figura 4. </w:t>
      </w:r>
      <w:r>
        <w:rPr>
          <w:rFonts w:ascii="Times New Roman" w:cs="Times New Roman" w:eastAsia="Times New Roman" w:hAnsi="Times New Roman"/>
          <w:i/>
          <w:iCs/>
          <w:color w:val="000000"/>
          <w:sz w:val="20"/>
          <w:szCs w:val="20"/>
        </w:rPr>
        <w:t xml:space="preserve">Jurisprudencia de altas cortes y disciplina judicial (D03)</w:t>
      </w:r>
    </w:p>
    <w:p>
      <w:pPr>
        <w:keepNext/>
        <w:spacing w:after="60"/>
        <w:jc w:val="center"/>
      </w:pPr>
      <w:r>
        <w:drawing>
          <wp:inline distT="0" distB="0" distL="0" distR="0">
            <wp:extent cx="5067300" cy="6905625"/>
            <wp:effectExtent t="0" r="0" b="0" l="0"/>
            <wp:docPr id="1" name="D03" descr="Diagrama D03: Jurisprudencia de altas cortes y disciplina judicial (D03)" title="Jurisprudencia de altas cortes y disciplina judicial (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extLst>
                        <a:ext uri="{96DAC541-7B7A-43D3-8B79-37D633B846F1}">
                          <asvg:svgBlip xmlns:asvg="http://schemas.microsoft.com/office/drawing/2016/SVG/main" r:embed="rId15"/>
                        </a:ext>
                      </a:extLst>
                    </a:blip>
                    <a:srcRect/>
                    <a:stretch>
                      <a:fillRect/>
                    </a:stretch>
                  </pic:blipFill>
                  <pic:spPr bwMode="auto">
                    <a:xfrm>
                      <a:off x="0" y="0"/>
                      <a:ext cx="5067300" cy="690562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Agent Skill (cortes, SAMAI, CNDJ) y pruebas T02, T03, T04, T06, T07, T57 y T61.</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Croma cubre cuatro corpus jurisprudenciales y uno disciplinario: la Corte Constitucional desde 1992 y la Corte Suprema de Justicia desde 1886 (ambas como dataset), el Consejo de Estado en dos corpus —la relatoría tradicional, en vivo y asíncrona, para providencias anteriores a diciembre de 2021, y SAMAI, con providencias tituladas desde esa fecha y sus fichas de relatoría— y la Comisión Nacional de Disciplina Judicial, en vivo. Como complemento, </w:t>
      </w:r>
      <w:r>
        <w:rPr>
          <w:rFonts w:ascii="Times New Roman" w:cs="Times New Roman" w:eastAsia="Times New Roman" w:hAnsi="Times New Roman"/>
          <w:i/>
          <w:iCs/>
          <w:color w:val="000000"/>
          <w:sz w:val="23"/>
          <w:szCs w:val="23"/>
        </w:rPr>
        <w:t xml:space="preserve">samai_processes</w:t>
      </w:r>
      <w:r>
        <w:rPr>
          <w:rFonts w:ascii="Times New Roman" w:cs="Times New Roman" w:eastAsia="Times New Roman" w:hAnsi="Times New Roman"/>
          <w:color w:val="000000"/>
          <w:sz w:val="23"/>
          <w:szCs w:val="23"/>
        </w:rPr>
        <w:t xml:space="preserve"> busca en vivo procesos de lo contencioso administrativo por parte, radicado o clase dentro de una corporación (1100103 es el Consejo de Estado), y </w:t>
      </w:r>
      <w:r>
        <w:rPr>
          <w:rFonts w:ascii="Times New Roman" w:cs="Times New Roman" w:eastAsia="Times New Roman" w:hAnsi="Times New Roman"/>
          <w:i/>
          <w:iCs/>
          <w:color w:val="000000"/>
          <w:sz w:val="23"/>
          <w:szCs w:val="23"/>
        </w:rPr>
        <w:t xml:space="preserve">samai_corporaciones</w:t>
      </w:r>
      <w:r>
        <w:rPr>
          <w:rFonts w:ascii="Times New Roman" w:cs="Times New Roman" w:eastAsia="Times New Roman" w:hAnsi="Times New Roman"/>
          <w:color w:val="000000"/>
          <w:sz w:val="23"/>
          <w:szCs w:val="23"/>
        </w:rPr>
        <w:t xml:space="preserve"> y </w:t>
      </w:r>
      <w:r>
        <w:rPr>
          <w:rFonts w:ascii="Times New Roman" w:cs="Times New Roman" w:eastAsia="Times New Roman" w:hAnsi="Times New Roman"/>
          <w:i/>
          <w:iCs/>
          <w:color w:val="000000"/>
          <w:sz w:val="23"/>
          <w:szCs w:val="23"/>
        </w:rPr>
        <w:t xml:space="preserve">samai_secciones</w:t>
      </w:r>
      <w:r>
        <w:rPr>
          <w:rFonts w:ascii="Times New Roman" w:cs="Times New Roman" w:eastAsia="Times New Roman" w:hAnsi="Times New Roman"/>
          <w:color w:val="000000"/>
          <w:sz w:val="23"/>
          <w:szCs w:val="23"/>
        </w:rPr>
        <w:t xml:space="preserve"> devuelven los códigos necesarios.</w:t>
      </w:r>
      <w:r>
        <w:rPr>
          <w:rStyle w:val="FootnoteReference"/>
        </w:rPr>
        <w:footnoteReference w:id="40"/>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Encontrar y leer completas las providencias de las cuatro corporaciones cubiertas, eligiendo el corpus correcto según la fecha. Habilita asistentes de investigación jurídica con citas verificables.</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6"/>
        </w:numPr>
        <w:spacing w:after="60" w:line="276"/>
        <w:jc w:val="both"/>
      </w:pPr>
      <w:r>
        <w:rPr>
          <w:rFonts w:ascii="Times New Roman" w:cs="Times New Roman" w:eastAsia="Times New Roman" w:hAnsi="Times New Roman"/>
          <w:color w:val="000000"/>
          <w:sz w:val="23"/>
          <w:szCs w:val="23"/>
        </w:rPr>
        <w:t xml:space="preserve">Elegir la corporación; si es el Consejo de Estado, elegir el corpus según la fecha de la providencia (antes o después de diciembre de 2021).</w:t>
      </w:r>
    </w:p>
    <w:p>
      <w:pPr>
        <w:pStyle w:val="ListParagraph"/>
        <w:numPr>
          <w:ilvl w:val="0"/>
          <w:numId w:val="6"/>
        </w:numPr>
        <w:spacing w:after="60" w:line="276"/>
        <w:jc w:val="both"/>
      </w:pPr>
      <w:r>
        <w:rPr>
          <w:rFonts w:ascii="Times New Roman" w:cs="Times New Roman" w:eastAsia="Times New Roman" w:hAnsi="Times New Roman"/>
          <w:color w:val="000000"/>
          <w:sz w:val="23"/>
          <w:szCs w:val="23"/>
        </w:rPr>
        <w:t xml:space="preserve">Buscar con filtros estructurados (tipo T, C, SU o A; año; fechas; magistrado ponente; radicado; sala; tutela). Los resultados se ordenan por fecha y no por relevancia, de modo que el filtro es lo que garantiza pertinencia.</w:t>
      </w:r>
      <w:r>
        <w:rPr>
          <w:rStyle w:val="FootnoteReference"/>
        </w:rPr>
        <w:footnoteReference w:id="41"/>
      </w:r>
    </w:p>
    <w:p>
      <w:pPr>
        <w:pStyle w:val="ListParagraph"/>
        <w:numPr>
          <w:ilvl w:val="0"/>
          <w:numId w:val="6"/>
        </w:numPr>
        <w:spacing w:after="60" w:line="276"/>
        <w:jc w:val="both"/>
      </w:pPr>
      <w:r>
        <w:rPr>
          <w:rFonts w:ascii="Times New Roman" w:cs="Times New Roman" w:eastAsia="Times New Roman" w:hAnsi="Times New Roman"/>
          <w:color w:val="000000"/>
          <w:sz w:val="23"/>
          <w:szCs w:val="23"/>
        </w:rPr>
        <w:t xml:space="preserve">Revisar el resumen de cada resultado: número, fecha, ponente, síntesis, decisión, derechos invocados y enlace oficial; en SAMAI, además, descriptores, problema jurídico, respuesta y tesis.</w:t>
      </w:r>
    </w:p>
    <w:p>
      <w:pPr>
        <w:pStyle w:val="ListParagraph"/>
        <w:numPr>
          <w:ilvl w:val="0"/>
          <w:numId w:val="6"/>
        </w:numPr>
        <w:spacing w:after="60" w:line="276"/>
        <w:jc w:val="both"/>
      </w:pPr>
      <w:r>
        <w:rPr>
          <w:rFonts w:ascii="Times New Roman" w:cs="Times New Roman" w:eastAsia="Times New Roman" w:hAnsi="Times New Roman"/>
          <w:color w:val="000000"/>
          <w:sz w:val="23"/>
          <w:szCs w:val="23"/>
        </w:rPr>
        <w:t xml:space="preserve">Si se necesita el texto íntegro, leer el detalle por rangos de caracteres con </w:t>
      </w:r>
      <w:r>
        <w:rPr>
          <w:rFonts w:ascii="Times New Roman" w:cs="Times New Roman" w:eastAsia="Times New Roman" w:hAnsi="Times New Roman"/>
          <w:i/>
          <w:iCs/>
          <w:color w:val="000000"/>
          <w:sz w:val="23"/>
          <w:szCs w:val="23"/>
        </w:rPr>
        <w:t xml:space="preserve">offset</w:t>
      </w:r>
      <w:r>
        <w:rPr>
          <w:rFonts w:ascii="Times New Roman" w:cs="Times New Roman" w:eastAsia="Times New Roman" w:hAnsi="Times New Roman"/>
          <w:color w:val="000000"/>
          <w:sz w:val="23"/>
          <w:szCs w:val="23"/>
        </w:rPr>
        <w:t xml:space="preserve"> y </w:t>
      </w:r>
      <w:r>
        <w:rPr>
          <w:rFonts w:ascii="Times New Roman" w:cs="Times New Roman" w:eastAsia="Times New Roman" w:hAnsi="Times New Roman"/>
          <w:i/>
          <w:iCs/>
          <w:color w:val="000000"/>
          <w:sz w:val="23"/>
          <w:szCs w:val="23"/>
        </w:rPr>
        <w:t xml:space="preserve">limit</w:t>
      </w:r>
      <w:r>
        <w:rPr>
          <w:rFonts w:ascii="Times New Roman" w:cs="Times New Roman" w:eastAsia="Times New Roman" w:hAnsi="Times New Roman"/>
          <w:color w:val="000000"/>
          <w:sz w:val="23"/>
          <w:szCs w:val="23"/>
        </w:rPr>
        <w:t xml:space="preserve"> hasta que </w:t>
      </w:r>
      <w:r>
        <w:rPr>
          <w:rFonts w:ascii="Times New Roman" w:cs="Times New Roman" w:eastAsia="Times New Roman" w:hAnsi="Times New Roman"/>
          <w:i/>
          <w:iCs/>
          <w:color w:val="000000"/>
          <w:sz w:val="23"/>
          <w:szCs w:val="23"/>
        </w:rPr>
        <w:t xml:space="preserve">has_more</w:t>
      </w:r>
      <w:r>
        <w:rPr>
          <w:rFonts w:ascii="Times New Roman" w:cs="Times New Roman" w:eastAsia="Times New Roman" w:hAnsi="Times New Roman"/>
          <w:color w:val="000000"/>
          <w:sz w:val="23"/>
          <w:szCs w:val="23"/>
        </w:rPr>
        <w:t xml:space="preserve"> sea falso.</w:t>
      </w:r>
      <w:r>
        <w:rPr>
          <w:rStyle w:val="FootnoteReference"/>
        </w:rPr>
        <w:footnoteReference w:id="42"/>
      </w:r>
    </w:p>
    <w:p>
      <w:pPr>
        <w:pStyle w:val="ListParagraph"/>
        <w:numPr>
          <w:ilvl w:val="0"/>
          <w:numId w:val="6"/>
        </w:numPr>
        <w:spacing w:after="60" w:line="276"/>
        <w:jc w:val="both"/>
      </w:pPr>
      <w:r>
        <w:rPr>
          <w:rFonts w:ascii="Times New Roman" w:cs="Times New Roman" w:eastAsia="Times New Roman" w:hAnsi="Times New Roman"/>
          <w:color w:val="000000"/>
          <w:sz w:val="23"/>
          <w:szCs w:val="23"/>
        </w:rPr>
        <w:t xml:space="preserve">Citar con número, fecha, ponente y enlace a la relatoría oficial que acompaña cada registro.</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La corte de cierre y la fecha determinan el corpus. La necesidad de texto íntegro determina si se paga la lectura del detalle (un crédito por rango en los datasets).</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La relatoría tradicional del Consejo de Estado es asíncrona y su detalle devuelve el texto completo en una sola respuesta, sin paginación y con los metadatos en blanco.</w:t>
      </w:r>
      <w:r>
        <w:rPr>
          <w:rStyle w:val="FootnoteReference"/>
        </w:rPr>
        <w:footnoteReference w:id="43"/>
      </w:r>
      <w:r>
        <w:rPr>
          <w:rFonts w:ascii="Times New Roman" w:cs="Times New Roman" w:eastAsia="Times New Roman" w:hAnsi="Times New Roman"/>
          <w:color w:val="000000"/>
          <w:sz w:val="23"/>
          <w:szCs w:val="23"/>
        </w:rPr>
        <w:t xml:space="preserve"> El filtro por norma demandada usado en solitario no recuperó resultados.</w:t>
      </w:r>
      <w:r>
        <w:rPr>
          <w:rStyle w:val="FootnoteReference"/>
        </w:rPr>
        <w:footnoteReference w:id="44"/>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Las búsquedas de la Corte Constitucional incluyen la parte resolutiva completa de cada fallo, lo que satura el contexto de un agente: conviene </w:t>
      </w:r>
      <w:r>
        <w:rPr>
          <w:rFonts w:ascii="Times New Roman" w:cs="Times New Roman" w:eastAsia="Times New Roman" w:hAnsi="Times New Roman"/>
          <w:i/>
          <w:iCs/>
          <w:color w:val="000000"/>
          <w:sz w:val="23"/>
          <w:szCs w:val="23"/>
        </w:rPr>
        <w:t xml:space="preserve">per_page</w:t>
      </w:r>
      <w:r>
        <w:rPr>
          <w:rFonts w:ascii="Times New Roman" w:cs="Times New Roman" w:eastAsia="Times New Roman" w:hAnsi="Times New Roman"/>
          <w:color w:val="000000"/>
          <w:sz w:val="23"/>
          <w:szCs w:val="23"/>
        </w:rPr>
        <w:t xml:space="preserve"> entre 3 y 5. La relatoría tradicional del Consejo de Estado responde con claves en español (</w:t>
      </w:r>
      <w:r>
        <w:rPr>
          <w:rFonts w:ascii="Times New Roman" w:cs="Times New Roman" w:eastAsia="Times New Roman" w:hAnsi="Times New Roman"/>
          <w:i/>
          <w:iCs/>
          <w:color w:val="000000"/>
          <w:sz w:val="23"/>
          <w:szCs w:val="23"/>
        </w:rPr>
        <w:t xml:space="preserve">radicado</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ponente</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demandado</w:t>
      </w:r>
      <w:r>
        <w:rPr>
          <w:rFonts w:ascii="Times New Roman" w:cs="Times New Roman" w:eastAsia="Times New Roman" w:hAnsi="Times New Roman"/>
          <w:color w:val="000000"/>
          <w:sz w:val="23"/>
          <w:szCs w:val="23"/>
        </w:rPr>
        <w:t xml:space="preserve">), una excepción a la convención </w:t>
      </w:r>
      <w:r>
        <w:rPr>
          <w:rFonts w:ascii="Times New Roman" w:cs="Times New Roman" w:eastAsia="Times New Roman" w:hAnsi="Times New Roman"/>
          <w:i/>
          <w:iCs/>
          <w:color w:val="000000"/>
          <w:sz w:val="23"/>
          <w:szCs w:val="23"/>
        </w:rPr>
        <w:t xml:space="preserve">snake_case</w:t>
      </w:r>
      <w:r>
        <w:rPr>
          <w:rFonts w:ascii="Times New Roman" w:cs="Times New Roman" w:eastAsia="Times New Roman" w:hAnsi="Times New Roman"/>
          <w:color w:val="000000"/>
          <w:sz w:val="23"/>
          <w:szCs w:val="23"/>
        </w:rPr>
        <w:t xml:space="preserve"> en inglés del resto del contrato.</w:t>
      </w:r>
    </w:p>
    <w:p>
      <w:pPr>
        <w:keepNext/>
        <w:spacing w:after="80" w:before="200" w:line="240"/>
        <w:jc w:val="left"/>
      </w:pPr>
      <w:r>
        <w:rPr>
          <w:rFonts w:ascii="Times New Roman" w:cs="Times New Roman" w:eastAsia="Times New Roman" w:hAnsi="Times New Roman"/>
          <w:b/>
          <w:bCs/>
          <w:color w:val="000000"/>
          <w:sz w:val="20"/>
          <w:szCs w:val="20"/>
        </w:rPr>
        <w:t xml:space="preserve">Tabla 16. </w:t>
      </w:r>
      <w:r>
        <w:rPr>
          <w:rFonts w:ascii="Times New Roman" w:cs="Times New Roman" w:eastAsia="Times New Roman" w:hAnsi="Times New Roman"/>
          <w:i/>
          <w:iCs/>
          <w:color w:val="000000"/>
          <w:sz w:val="20"/>
          <w:szCs w:val="20"/>
        </w:rPr>
        <w:t xml:space="preserve">Recursos y remisiones del diagrama D03</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CC, CS, SM</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CE, CN</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R05</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Cola de trabajos asíncronos (/jobs, espera ≤55 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compute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CE</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GET /jobs/:id o callback_url</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R08</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documental en blob de Croma (PDF, DOCX, XLSX)</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DET</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source_document_url de la entidad</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Agente o cliente MCP (Claude, ChatGPT, Cursor)</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modelo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 E</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Herramientas MCP del catálogo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Texto largo paginado (offset, limit, next_offset)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PAG</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Siguiente rango con next_offset</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16 nodos, 20 aristas, 3 decisiones, 1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4.3 — Empresas: RUES, Supersociedades, SIMEV y comercio exterior</w:t>
      </w:r>
    </w:p>
    <w:p>
      <w:pPr>
        <w:keepNext/>
        <w:spacing w:after="80" w:before="60" w:line="240"/>
        <w:jc w:val="left"/>
      </w:pPr>
      <w:r>
        <w:rPr>
          <w:rFonts w:ascii="Times New Roman" w:cs="Times New Roman" w:eastAsia="Times New Roman" w:hAnsi="Times New Roman"/>
          <w:b/>
          <w:bCs/>
          <w:color w:val="000000"/>
          <w:sz w:val="20"/>
          <w:szCs w:val="20"/>
        </w:rPr>
        <w:t xml:space="preserve">Figura 5. </w:t>
      </w:r>
      <w:r>
        <w:rPr>
          <w:rFonts w:ascii="Times New Roman" w:cs="Times New Roman" w:eastAsia="Times New Roman" w:hAnsi="Times New Roman"/>
          <w:i/>
          <w:iCs/>
          <w:color w:val="000000"/>
          <w:sz w:val="20"/>
          <w:szCs w:val="20"/>
        </w:rPr>
        <w:t xml:space="preserve">Empresas: RUES, Supersociedades, SIMEV y DIAN (D04)</w:t>
      </w:r>
    </w:p>
    <w:p>
      <w:pPr>
        <w:keepNext/>
        <w:spacing w:after="60"/>
        <w:jc w:val="center"/>
      </w:pPr>
      <w:r>
        <w:drawing>
          <wp:inline distT="0" distB="0" distL="0" distR="0">
            <wp:extent cx="5895975" cy="6010275"/>
            <wp:effectExtent t="0" r="0" b="0" l="0"/>
            <wp:docPr id="1" name="D04" descr="Diagrama D04: Empresas: RUES, Supersociedades, SIMEV y DIAN (D04)" title="Empresas: RUES, Supersociedades, SIMEV y DIAN (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extLst>
                        <a:ext uri="{96DAC541-7B7A-43D3-8B79-37D633B846F1}">
                          <asvg:svgBlip xmlns:asvg="http://schemas.microsoft.com/office/drawing/2016/SVG/main" r:embed="rId17"/>
                        </a:ext>
                      </a:extLst>
                    </a:blip>
                    <a:srcRect/>
                    <a:stretch>
                      <a:fillRect/>
                    </a:stretch>
                  </pic:blipFill>
                  <pic:spPr bwMode="auto">
                    <a:xfrm>
                      <a:off x="0" y="0"/>
                      <a:ext cx="5895975" cy="601027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Agent Skill (RUES, Supersociedades, SIMEV, DIAN Importadores y Exportadores) y pruebas T11 a T15, T21 y T51.</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El conocimiento de una empresa combina cuatro familias: el RUES (registro mercantil, en vivo), Supersociedades (estados financieros y vinculados de unas 30.000 sociedades al año, como dataset), el SIMEV (accionistas principales de unos 110 emisores de valores) y los directorios de importadores y exportadores de la DIAN desde 2017.</w:t>
      </w:r>
      <w:r>
        <w:rPr>
          <w:rStyle w:val="FootnoteReference"/>
        </w:rPr>
        <w:footnoteReference w:id="45"/>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Construir una ficha de conocimiento de la empresa (KYB) con registro mercantil, finanzas, socios y comercio exterior.</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7"/>
        </w:numPr>
        <w:spacing w:after="60" w:line="276"/>
        <w:jc w:val="both"/>
      </w:pPr>
      <w:r>
        <w:rPr>
          <w:rFonts w:ascii="Times New Roman" w:cs="Times New Roman" w:eastAsia="Times New Roman" w:hAnsi="Times New Roman"/>
          <w:color w:val="000000"/>
          <w:sz w:val="23"/>
          <w:szCs w:val="23"/>
        </w:rPr>
        <w:t xml:space="preserve">Resolver el NIT: si solo se tiene la razón social, buscarla en el RUES o entre los proveedores registrados en SECOP.</w:t>
      </w:r>
    </w:p>
    <w:p>
      <w:pPr>
        <w:pStyle w:val="ListParagraph"/>
        <w:numPr>
          <w:ilvl w:val="0"/>
          <w:numId w:val="7"/>
        </w:numPr>
        <w:spacing w:after="60" w:line="276"/>
        <w:jc w:val="both"/>
      </w:pPr>
      <w:r>
        <w:rPr>
          <w:rFonts w:ascii="Times New Roman" w:cs="Times New Roman" w:eastAsia="Times New Roman" w:hAnsi="Times New Roman"/>
          <w:color w:val="000000"/>
          <w:sz w:val="23"/>
          <w:szCs w:val="23"/>
        </w:rPr>
        <w:t xml:space="preserve">Consultar el RUES por NIT: estado de la matrícula, cámara de comercio, organización jurídica, actividad CIIU, fechas de matrícula y renovación, estados financieros reportados, representantes legales y avisos.</w:t>
      </w:r>
      <w:r>
        <w:rPr>
          <w:rStyle w:val="FootnoteReference"/>
        </w:rPr>
        <w:footnoteReference w:id="46"/>
      </w:r>
    </w:p>
    <w:p>
      <w:pPr>
        <w:pStyle w:val="ListParagraph"/>
        <w:numPr>
          <w:ilvl w:val="0"/>
          <w:numId w:val="7"/>
        </w:numPr>
        <w:spacing w:after="60" w:line="276"/>
        <w:jc w:val="both"/>
      </w:pPr>
      <w:r>
        <w:rPr>
          <w:rFonts w:ascii="Times New Roman" w:cs="Times New Roman" w:eastAsia="Times New Roman" w:hAnsi="Times New Roman"/>
          <w:color w:val="000000"/>
          <w:sz w:val="23"/>
          <w:szCs w:val="23"/>
        </w:rPr>
        <w:t xml:space="preserve">Si la sociedad reporta a Supersociedades, leer su historial de reportes, los estados financieros completos y los vinculados declarados: accionistas con documento y porcentaje, inversionistas extranjeros, subordinadas, representantes, contador y revisor fiscal.</w:t>
      </w:r>
      <w:r>
        <w:rPr>
          <w:rStyle w:val="FootnoteReference"/>
        </w:rPr>
        <w:footnoteReference w:id="47"/>
      </w:r>
    </w:p>
    <w:p>
      <w:pPr>
        <w:pStyle w:val="ListParagraph"/>
        <w:numPr>
          <w:ilvl w:val="0"/>
          <w:numId w:val="7"/>
        </w:numPr>
        <w:spacing w:after="60" w:line="276"/>
        <w:jc w:val="both"/>
      </w:pPr>
      <w:r>
        <w:rPr>
          <w:rFonts w:ascii="Times New Roman" w:cs="Times New Roman" w:eastAsia="Times New Roman" w:hAnsi="Times New Roman"/>
          <w:color w:val="000000"/>
          <w:sz w:val="23"/>
          <w:szCs w:val="23"/>
        </w:rPr>
        <w:t xml:space="preserve">Si es emisor de valores, consultar los accionistas reportados al SIMEV por corte semestral.</w:t>
      </w:r>
      <w:r>
        <w:rPr>
          <w:rStyle w:val="FootnoteReference"/>
        </w:rPr>
        <w:footnoteReference w:id="48"/>
      </w:r>
    </w:p>
    <w:p>
      <w:pPr>
        <w:pStyle w:val="ListParagraph"/>
        <w:numPr>
          <w:ilvl w:val="0"/>
          <w:numId w:val="7"/>
        </w:numPr>
        <w:spacing w:after="60" w:line="276"/>
        <w:jc w:val="both"/>
      </w:pPr>
      <w:r>
        <w:rPr>
          <w:rFonts w:ascii="Times New Roman" w:cs="Times New Roman" w:eastAsia="Times New Roman" w:hAnsi="Times New Roman"/>
          <w:color w:val="000000"/>
          <w:sz w:val="23"/>
          <w:szCs w:val="23"/>
        </w:rPr>
        <w:t xml:space="preserve">Completar con el perfil de comercio exterior: posición en los directorios, valores CIF y FOB y subpartidas arancelarias principales.</w:t>
      </w:r>
      <w:r>
        <w:rPr>
          <w:rStyle w:val="FootnoteReference"/>
        </w:rPr>
        <w:footnoteReference w:id="49"/>
      </w:r>
    </w:p>
    <w:p>
      <w:pPr>
        <w:pStyle w:val="ListParagraph"/>
        <w:numPr>
          <w:ilvl w:val="0"/>
          <w:numId w:val="7"/>
        </w:numPr>
        <w:spacing w:after="60" w:line="276"/>
        <w:jc w:val="both"/>
      </w:pPr>
      <w:r>
        <w:rPr>
          <w:rFonts w:ascii="Times New Roman" w:cs="Times New Roman" w:eastAsia="Times New Roman" w:hAnsi="Times New Roman"/>
          <w:color w:val="000000"/>
          <w:sz w:val="23"/>
          <w:szCs w:val="23"/>
        </w:rPr>
        <w:t xml:space="preserve">Aplicar control de calidad y consolidar la ficha con el grafo de vinculados que entregan los campos </w:t>
      </w:r>
      <w:r>
        <w:rPr>
          <w:rFonts w:ascii="Times New Roman" w:cs="Times New Roman" w:eastAsia="Times New Roman" w:hAnsi="Times New Roman"/>
          <w:i/>
          <w:iCs/>
          <w:color w:val="000000"/>
          <w:sz w:val="23"/>
          <w:szCs w:val="23"/>
        </w:rPr>
        <w:t xml:space="preserve">party_document_numbers</w:t>
      </w:r>
      <w:r>
        <w:rPr>
          <w:rFonts w:ascii="Times New Roman" w:cs="Times New Roman" w:eastAsia="Times New Roman" w:hAnsi="Times New Roman"/>
          <w:color w:val="000000"/>
          <w:sz w:val="23"/>
          <w:szCs w:val="23"/>
        </w:rPr>
        <w:t xml:space="preserve">.</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Las decisiones dependen de la naturaleza de la empresa: si existe en el RUES, si es vigilada o reporta a Supersociedades y si es emisora de valores. Cada respuesta afirmativa añade una capa de información.</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Un NIT sin registro devuelve </w:t>
      </w:r>
      <w:r>
        <w:rPr>
          <w:rFonts w:ascii="Times New Roman" w:cs="Times New Roman" w:eastAsia="Times New Roman" w:hAnsi="Times New Roman"/>
          <w:i/>
          <w:iCs/>
          <w:color w:val="000000"/>
          <w:sz w:val="23"/>
          <w:szCs w:val="23"/>
        </w:rPr>
        <w:t xml:space="preserve">found: false</w:t>
      </w:r>
      <w:r>
        <w:rPr>
          <w:rFonts w:ascii="Times New Roman" w:cs="Times New Roman" w:eastAsia="Times New Roman" w:hAnsi="Times New Roman"/>
          <w:color w:val="000000"/>
          <w:sz w:val="23"/>
          <w:szCs w:val="23"/>
        </w:rPr>
        <w:t xml:space="preserve">, que es definitivo.</w:t>
      </w:r>
      <w:r>
        <w:rPr>
          <w:rStyle w:val="FootnoteReference"/>
        </w:rPr>
        <w:footnoteReference w:id="50"/>
      </w:r>
      <w:r>
        <w:rPr>
          <w:rFonts w:ascii="Times New Roman" w:cs="Times New Roman" w:eastAsia="Times New Roman" w:hAnsi="Times New Roman"/>
          <w:color w:val="000000"/>
          <w:sz w:val="23"/>
          <w:szCs w:val="23"/>
        </w:rPr>
        <w:t xml:space="preserve"> El dataset de insolvencias de Supersociedades estuvo no disponible en dos intentos; la ficha debe tolerar la ausencia temporal de una capa.</w:t>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Los datos se entregan tal como se publican: en el RUES aparecieron direcciones vacías y cifras atípicas (gastos operacionales de 38,6 billones en 2018 para una entidad con activos de 1,9 billones), y en Supersociedades el número de empleados figuró en cero.</w:t>
      </w:r>
      <w:r>
        <w:rPr>
          <w:rStyle w:val="FootnoteReference"/>
        </w:rPr>
        <w:footnoteReference w:id="51"/>
      </w:r>
      <w:r>
        <w:rPr>
          <w:rFonts w:ascii="Times New Roman" w:cs="Times New Roman" w:eastAsia="Times New Roman" w:hAnsi="Times New Roman"/>
          <w:color w:val="000000"/>
          <w:sz w:val="23"/>
          <w:szCs w:val="23"/>
        </w:rPr>
        <w:t xml:space="preserve"> Los vinculados incluyen documentos de personas naturales, que deben tratarse con finalidad y minimización.</w:t>
      </w:r>
    </w:p>
    <w:p>
      <w:pPr>
        <w:keepNext/>
        <w:spacing w:after="80" w:before="200" w:line="240"/>
        <w:jc w:val="left"/>
      </w:pPr>
      <w:r>
        <w:rPr>
          <w:rFonts w:ascii="Times New Roman" w:cs="Times New Roman" w:eastAsia="Times New Roman" w:hAnsi="Times New Roman"/>
          <w:b/>
          <w:bCs/>
          <w:color w:val="000000"/>
          <w:sz w:val="20"/>
          <w:szCs w:val="20"/>
        </w:rPr>
        <w:t xml:space="preserve">Tabla 17. </w:t>
      </w:r>
      <w:r>
        <w:rPr>
          <w:rFonts w:ascii="Times New Roman" w:cs="Times New Roman" w:eastAsia="Times New Roman" w:hAnsi="Times New Roman"/>
          <w:i/>
          <w:iCs/>
          <w:color w:val="000000"/>
          <w:sz w:val="20"/>
          <w:szCs w:val="20"/>
        </w:rPr>
        <w:t xml:space="preserve">Recursos y remisiones del diagrama D04</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RN, SS, OW, SV, TR</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RN, RU</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Agente o cliente MCP (Claude, ChatGPT, Cursor)</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modelo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QC</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Herramientas MCP del catálogo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R10</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Identificador del sujeto (NIT, radicado, placa, cédula, CUFE)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D1, RU</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Validación de formato (400 / −32602)</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R11</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Base legal y finalidad (Ley 1581 de 2012)</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humano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Responsable del tratamiento (usuario)</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17 nodos, 20 aristas, 4 decisiones, 2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4.4 — Supersociedades: insolvencia, Baranda Virtual y Relatoría</w:t>
      </w:r>
    </w:p>
    <w:p>
      <w:pPr>
        <w:keepNext/>
        <w:spacing w:after="80" w:before="60" w:line="240"/>
        <w:jc w:val="left"/>
      </w:pPr>
      <w:r>
        <w:rPr>
          <w:rFonts w:ascii="Times New Roman" w:cs="Times New Roman" w:eastAsia="Times New Roman" w:hAnsi="Times New Roman"/>
          <w:b/>
          <w:bCs/>
          <w:color w:val="000000"/>
          <w:sz w:val="20"/>
          <w:szCs w:val="20"/>
        </w:rPr>
        <w:t xml:space="preserve">Figura 6. </w:t>
      </w:r>
      <w:r>
        <w:rPr>
          <w:rFonts w:ascii="Times New Roman" w:cs="Times New Roman" w:eastAsia="Times New Roman" w:hAnsi="Times New Roman"/>
          <w:i/>
          <w:iCs/>
          <w:color w:val="000000"/>
          <w:sz w:val="20"/>
          <w:szCs w:val="20"/>
        </w:rPr>
        <w:t xml:space="preserve">Supersociedades: insolvencia, Baranda y Relatoría (D05)</w:t>
      </w:r>
    </w:p>
    <w:p>
      <w:pPr>
        <w:keepNext/>
        <w:spacing w:after="60"/>
        <w:jc w:val="center"/>
      </w:pPr>
      <w:r>
        <w:drawing>
          <wp:inline distT="0" distB="0" distL="0" distR="0">
            <wp:extent cx="5895975" cy="5381625"/>
            <wp:effectExtent t="0" r="0" b="0" l="0"/>
            <wp:docPr id="1" name="D05" descr="Diagrama D05: Supersociedades: insolvencia, Baranda y Relatoría (D05)" title="Supersociedades: insolvencia, Baranda y Relatoría (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extLst>
                        <a:ext uri="{96DAC541-7B7A-43D3-8B79-37D633B846F1}">
                          <asvg:svgBlip xmlns:asvg="http://schemas.microsoft.com/office/drawing/2016/SVG/main" r:embed="rId19"/>
                        </a:ext>
                      </a:extLst>
                    </a:blip>
                    <a:srcRect/>
                    <a:stretch>
                      <a:fillRect/>
                    </a:stretch>
                  </pic:blipFill>
                  <pic:spPr bwMode="auto">
                    <a:xfrm>
                      <a:off x="0" y="0"/>
                      <a:ext cx="5895975" cy="538162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Agent Skill (Supersociedades, Baranda Virtual y Relatoría) y pruebas T16, T17, T22 y T58.</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La Superintendencia de Sociedades actúa también como juez en procedimientos mercantiles e insolvencia. Croma expone siete endpoints de la Baranda Virtual (estados, traslados, avisos y autos publicados desde 2024, con copia de los archivos, más tres consultas en vivo del expediente) y siete de la Relatoría (conceptos jurídicos desde 1993, sentencias de la Delegatura de Procedimientos Mercantiles, providencias históricas, boletines y avisos).</w:t>
      </w:r>
      <w:r>
        <w:rPr>
          <w:rStyle w:val="FootnoteReference"/>
        </w:rPr>
        <w:footnoteReference w:id="52"/>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Seguir procesos de insolvencia y litigios mercantiles combinando lo reportado anualmente con lo notificado a diario.</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8"/>
        </w:numPr>
        <w:spacing w:after="60" w:line="276"/>
        <w:jc w:val="both"/>
      </w:pPr>
      <w:r>
        <w:rPr>
          <w:rFonts w:ascii="Times New Roman" w:cs="Times New Roman" w:eastAsia="Times New Roman" w:hAnsi="Times New Roman"/>
          <w:color w:val="000000"/>
          <w:sz w:val="23"/>
          <w:szCs w:val="23"/>
        </w:rPr>
        <w:t xml:space="preserve">Distinguir la necesidad: proceso de insolvencia reportado, estados y autos recientes, expediente vivo de una empresa o doctrina.</w:t>
      </w:r>
    </w:p>
    <w:p>
      <w:pPr>
        <w:pStyle w:val="ListParagraph"/>
        <w:numPr>
          <w:ilvl w:val="0"/>
          <w:numId w:val="8"/>
        </w:numPr>
        <w:spacing w:after="60" w:line="276"/>
        <w:jc w:val="both"/>
      </w:pPr>
      <w:r>
        <w:rPr>
          <w:rFonts w:ascii="Times New Roman" w:cs="Times New Roman" w:eastAsia="Times New Roman" w:hAnsi="Times New Roman"/>
          <w:color w:val="000000"/>
          <w:sz w:val="23"/>
          <w:szCs w:val="23"/>
        </w:rPr>
        <w:t xml:space="preserve">Los procesos de insolvencia provienen de los estados financieros anuales; por eso su información es estructuralmente tardía y debe complementarse con la Baranda.</w:t>
      </w:r>
    </w:p>
    <w:p>
      <w:pPr>
        <w:pStyle w:val="ListParagraph"/>
        <w:numPr>
          <w:ilvl w:val="0"/>
          <w:numId w:val="8"/>
        </w:numPr>
        <w:spacing w:after="60" w:line="276"/>
        <w:jc w:val="both"/>
      </w:pPr>
      <w:r>
        <w:rPr>
          <w:rFonts w:ascii="Times New Roman" w:cs="Times New Roman" w:eastAsia="Times New Roman" w:hAnsi="Times New Roman"/>
          <w:color w:val="000000"/>
          <w:sz w:val="23"/>
          <w:szCs w:val="23"/>
        </w:rPr>
        <w:t xml:space="preserve">En la Baranda, buscar publicaciones por NIT o cédula y autos notificados por texto, expediente o dependencia; con </w:t>
      </w:r>
      <w:r>
        <w:rPr>
          <w:rFonts w:ascii="Times New Roman" w:cs="Times New Roman" w:eastAsia="Times New Roman" w:hAnsi="Times New Roman"/>
          <w:i/>
          <w:iCs/>
          <w:color w:val="000000"/>
          <w:sz w:val="23"/>
          <w:szCs w:val="23"/>
        </w:rPr>
        <w:t xml:space="preserve">from_date</w:t>
      </w:r>
      <w:r>
        <w:rPr>
          <w:rFonts w:ascii="Times New Roman" w:cs="Times New Roman" w:eastAsia="Times New Roman" w:hAnsi="Times New Roman"/>
          <w:color w:val="000000"/>
          <w:sz w:val="23"/>
          <w:szCs w:val="23"/>
        </w:rPr>
        <w:t xml:space="preserve"> igual a </w:t>
      </w:r>
      <w:r>
        <w:rPr>
          <w:rFonts w:ascii="Times New Roman" w:cs="Times New Roman" w:eastAsia="Times New Roman" w:hAnsi="Times New Roman"/>
          <w:i/>
          <w:iCs/>
          <w:color w:val="000000"/>
          <w:sz w:val="23"/>
          <w:szCs w:val="23"/>
        </w:rPr>
        <w:t xml:space="preserve">to_date</w:t>
      </w:r>
      <w:r>
        <w:rPr>
          <w:rFonts w:ascii="Times New Roman" w:cs="Times New Roman" w:eastAsia="Times New Roman" w:hAnsi="Times New Roman"/>
          <w:color w:val="000000"/>
          <w:sz w:val="23"/>
          <w:szCs w:val="23"/>
        </w:rPr>
        <w:t xml:space="preserve"> se leen los estados de un día sin abrir archivos PDF. El texto completo de un auto se obtiene con su </w:t>
      </w:r>
      <w:r>
        <w:rPr>
          <w:rFonts w:ascii="Times New Roman" w:cs="Times New Roman" w:eastAsia="Times New Roman" w:hAnsi="Times New Roman"/>
          <w:i/>
          <w:iCs/>
          <w:color w:val="000000"/>
          <w:sz w:val="23"/>
          <w:szCs w:val="23"/>
        </w:rPr>
        <w:t xml:space="preserve">filing_id</w:t>
      </w:r>
      <w:r>
        <w:rPr>
          <w:rFonts w:ascii="Times New Roman" w:cs="Times New Roman" w:eastAsia="Times New Roman" w:hAnsi="Times New Roman"/>
          <w:color w:val="000000"/>
          <w:sz w:val="23"/>
          <w:szCs w:val="23"/>
        </w:rPr>
        <w:t xml:space="preserve">.</w:t>
      </w:r>
      <w:r>
        <w:rPr>
          <w:rStyle w:val="FootnoteReference"/>
        </w:rPr>
        <w:footnoteReference w:id="53"/>
      </w:r>
    </w:p>
    <w:p>
      <w:pPr>
        <w:pStyle w:val="ListParagraph"/>
        <w:numPr>
          <w:ilvl w:val="0"/>
          <w:numId w:val="8"/>
        </w:numPr>
        <w:spacing w:after="60" w:line="276"/>
        <w:jc w:val="both"/>
      </w:pPr>
      <w:r>
        <w:rPr>
          <w:rFonts w:ascii="Times New Roman" w:cs="Times New Roman" w:eastAsia="Times New Roman" w:hAnsi="Times New Roman"/>
          <w:color w:val="000000"/>
          <w:sz w:val="23"/>
          <w:szCs w:val="23"/>
        </w:rPr>
        <w:t xml:space="preserve">El expediente vivo por NIT o cédula entrega la situación de la sociedad, sus representantes y las providencias y entradas, diez por página; es asíncrono porque la fuente exige una verificación por sesión.</w:t>
      </w:r>
    </w:p>
    <w:p>
      <w:pPr>
        <w:pStyle w:val="ListParagraph"/>
        <w:numPr>
          <w:ilvl w:val="0"/>
          <w:numId w:val="8"/>
        </w:numPr>
        <w:spacing w:after="60" w:line="276"/>
        <w:jc w:val="both"/>
      </w:pPr>
      <w:r>
        <w:rPr>
          <w:rFonts w:ascii="Times New Roman" w:cs="Times New Roman" w:eastAsia="Times New Roman" w:hAnsi="Times New Roman"/>
          <w:color w:val="000000"/>
          <w:sz w:val="23"/>
          <w:szCs w:val="23"/>
        </w:rPr>
        <w:t xml:space="preserve">La Relatoría entrega conceptos y sentencias con sus problemas jurídicos, fuentes y partes.</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La disponibilidad del dataset de insolvencias determina si se usa esa capa o se remite a la Baranda. La necesidad de inmediatez (lo notificado hoy) privilegia la Baranda sobre los reportes anuales.</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El dataset de insolvencias respondió «temporarily unavailable» en dos intentos separados por varios minutos (T17 y T58), lo que contradice la promesa general de disponibilidad de los datasets; la ruta de contingencia es la Baranda Virtual.</w:t>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La búsqueda de autos por texto es laxa: la consulta «desestimación de la personalidad jurídica» devolvió primero autos de inadmisión de demandas, ordenados por fecha de notificación.</w:t>
      </w:r>
      <w:r>
        <w:rPr>
          <w:rStyle w:val="FootnoteReference"/>
        </w:rPr>
        <w:footnoteReference w:id="54"/>
      </w:r>
      <w:r>
        <w:rPr>
          <w:rFonts w:ascii="Times New Roman" w:cs="Times New Roman" w:eastAsia="Times New Roman" w:hAnsi="Times New Roman"/>
          <w:color w:val="000000"/>
          <w:sz w:val="23"/>
          <w:szCs w:val="23"/>
        </w:rPr>
        <w:t xml:space="preserve"> Conviene acotar por NIT, expediente o dependencia. En la Relatoría, algunas partes aparecen con documento «0000».</w:t>
      </w:r>
      <w:r>
        <w:rPr>
          <w:rStyle w:val="FootnoteReference"/>
        </w:rPr>
        <w:footnoteReference w:id="55"/>
      </w:r>
    </w:p>
    <w:p>
      <w:pPr>
        <w:keepNext/>
        <w:spacing w:after="80" w:before="200" w:line="240"/>
        <w:jc w:val="left"/>
      </w:pPr>
      <w:r>
        <w:rPr>
          <w:rFonts w:ascii="Times New Roman" w:cs="Times New Roman" w:eastAsia="Times New Roman" w:hAnsi="Times New Roman"/>
          <w:b/>
          <w:bCs/>
          <w:color w:val="000000"/>
          <w:sz w:val="20"/>
          <w:szCs w:val="20"/>
        </w:rPr>
        <w:t xml:space="preserve">Tabla 18. </w:t>
      </w:r>
      <w:r>
        <w:rPr>
          <w:rFonts w:ascii="Times New Roman" w:cs="Times New Roman" w:eastAsia="Times New Roman" w:hAnsi="Times New Roman"/>
          <w:i/>
          <w:iCs/>
          <w:color w:val="000000"/>
          <w:sz w:val="20"/>
          <w:szCs w:val="20"/>
        </w:rPr>
        <w:t xml:space="preserve">Recursos y remisiones del diagrama D05</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INS, BAR, REL</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CF</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R05</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Cola de trabajos asíncronos (/jobs, espera ≤55 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compute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CF</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GET /jobs/:id o callback_url</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R08</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documental en blob de Croma (PDF, DOCX, XLSX)</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BAR, DD</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source_document_url de la entidad</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R10</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Identificador del sujeto (NIT, radicado, placa, cédula, CUFE)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D1</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Validación de formato (400 / −32602)</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Texto largo paginado (offset, limit, next_offset)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DOC</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Siguiente rango con next_offset</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14 nodos, 17 aristas, 2 decisiones, 1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4.5 — Contratación pública: SECOP I y II y conceptos de la ANCP-CCE</w:t>
      </w:r>
    </w:p>
    <w:p>
      <w:pPr>
        <w:keepNext/>
        <w:spacing w:after="80" w:before="60" w:line="240"/>
        <w:jc w:val="left"/>
      </w:pPr>
      <w:r>
        <w:rPr>
          <w:rFonts w:ascii="Times New Roman" w:cs="Times New Roman" w:eastAsia="Times New Roman" w:hAnsi="Times New Roman"/>
          <w:b/>
          <w:bCs/>
          <w:color w:val="000000"/>
          <w:sz w:val="20"/>
          <w:szCs w:val="20"/>
        </w:rPr>
        <w:t xml:space="preserve">Figura 7. </w:t>
      </w:r>
      <w:r>
        <w:rPr>
          <w:rFonts w:ascii="Times New Roman" w:cs="Times New Roman" w:eastAsia="Times New Roman" w:hAnsi="Times New Roman"/>
          <w:i/>
          <w:iCs/>
          <w:color w:val="000000"/>
          <w:sz w:val="20"/>
          <w:szCs w:val="20"/>
        </w:rPr>
        <w:t xml:space="preserve">Contratación pública: SECOP I y II y ANCP-CCE (D06)</w:t>
      </w:r>
    </w:p>
    <w:p>
      <w:pPr>
        <w:keepNext/>
        <w:spacing w:after="60"/>
        <w:jc w:val="center"/>
      </w:pPr>
      <w:r>
        <w:drawing>
          <wp:inline distT="0" distB="0" distL="0" distR="0">
            <wp:extent cx="5686425" cy="6905625"/>
            <wp:effectExtent t="0" r="0" b="0" l="0"/>
            <wp:docPr id="1" name="D06" descr="Diagrama D06: Contratación pública: SECOP I y II y ANCP-CCE (D06)" title="Contratación pública: SECOP I y II y ANCP-CCE (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1"/>
                        </a:ext>
                      </a:extLst>
                    </a:blip>
                    <a:srcRect/>
                    <a:stretch>
                      <a:fillRect/>
                    </a:stretch>
                  </pic:blipFill>
                  <pic:spPr bwMode="auto">
                    <a:xfrm>
                      <a:off x="0" y="0"/>
                      <a:ext cx="5686425" cy="690562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Agent Skill (SECOP y ANCP-CCE), página de versionado y pruebas T23 a T28 y T44.</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SECOP es la familia más extensa de Colombia: 16 endpoints que cubren SECOP II desde 2015 y SECOP I desde 2004 en una sola forma —procesos, contratos, adjudicaciones, oferentes, modificaciones, sanciones, planes anuales y proveedores—, once de ellos como dataset, dos en vivo sobre los datos abiertos de Colombia Compra Eficiente y tres deprecados que dejan de responder el 1 de diciembre de 2026. La Relatoría de la ANCP-CCE añade los conceptos jurídicos de contratación.</w:t>
      </w:r>
      <w:r>
        <w:rPr>
          <w:rStyle w:val="FootnoteReference"/>
        </w:rPr>
        <w:footnoteReference w:id="56"/>
      </w:r>
      <w:r>
        <w:rPr>
          <w:rStyle w:val="FootnoteReference"/>
        </w:rPr>
        <w:footnoteReference w:id="57"/>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Responder qué ha contratado una persona o entidad con el Estado y con qué riesgos, desde los 16 endpoints de SECOP.</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9"/>
        </w:numPr>
        <w:spacing w:after="60" w:line="276"/>
        <w:jc w:val="both"/>
      </w:pPr>
      <w:r>
        <w:rPr>
          <w:rFonts w:ascii="Times New Roman" w:cs="Times New Roman" w:eastAsia="Times New Roman" w:hAnsi="Times New Roman"/>
          <w:color w:val="000000"/>
          <w:sz w:val="23"/>
          <w:szCs w:val="23"/>
        </w:rPr>
        <w:t xml:space="preserve">Partir del documento del contratista o de la entidad con </w:t>
      </w:r>
      <w:r>
        <w:rPr>
          <w:rFonts w:ascii="Times New Roman" w:cs="Times New Roman" w:eastAsia="Times New Roman" w:hAnsi="Times New Roman"/>
          <w:i/>
          <w:iCs/>
          <w:color w:val="000000"/>
          <w:sz w:val="23"/>
          <w:szCs w:val="23"/>
        </w:rPr>
        <w:t xml:space="preserve">secop_profile</w:t>
      </w:r>
      <w:r>
        <w:rPr>
          <w:rFonts w:ascii="Times New Roman" w:cs="Times New Roman" w:eastAsia="Times New Roman" w:hAnsi="Times New Roman"/>
          <w:color w:val="000000"/>
          <w:sz w:val="23"/>
          <w:szCs w:val="23"/>
        </w:rPr>
        <w:t xml:space="preserve">: en una sola llamada de un crédito resume cuenta de proveedor, contratos, adjudicaciones, ofertas, sanciones y, si es entidad, lo que ha comprado.</w:t>
      </w:r>
      <w:r>
        <w:rPr>
          <w:rStyle w:val="FootnoteReference"/>
        </w:rPr>
        <w:footnoteReference w:id="58"/>
      </w:r>
    </w:p>
    <w:p>
      <w:pPr>
        <w:pStyle w:val="ListParagraph"/>
        <w:numPr>
          <w:ilvl w:val="0"/>
          <w:numId w:val="9"/>
        </w:numPr>
        <w:spacing w:after="60" w:line="276"/>
        <w:jc w:val="both"/>
      </w:pPr>
      <w:r>
        <w:rPr>
          <w:rFonts w:ascii="Times New Roman" w:cs="Times New Roman" w:eastAsia="Times New Roman" w:hAnsi="Times New Roman"/>
          <w:color w:val="000000"/>
          <w:sz w:val="23"/>
          <w:szCs w:val="23"/>
        </w:rPr>
        <w:t xml:space="preserve">Profundizar con las búsquedas paginadas de contratos, adjudicaciones, oferentes (incluidos los que perdieron), sanciones y modificaciones.</w:t>
      </w:r>
    </w:p>
    <w:p>
      <w:pPr>
        <w:pStyle w:val="ListParagraph"/>
        <w:numPr>
          <w:ilvl w:val="0"/>
          <w:numId w:val="9"/>
        </w:numPr>
        <w:spacing w:after="60" w:line="276"/>
        <w:jc w:val="both"/>
      </w:pPr>
      <w:r>
        <w:rPr>
          <w:rFonts w:ascii="Times New Roman" w:cs="Times New Roman" w:eastAsia="Times New Roman" w:hAnsi="Times New Roman"/>
          <w:color w:val="000000"/>
          <w:sz w:val="23"/>
          <w:szCs w:val="23"/>
        </w:rPr>
        <w:t xml:space="preserve">Partir de un objeto contractual con </w:t>
      </w:r>
      <w:r>
        <w:rPr>
          <w:rFonts w:ascii="Times New Roman" w:cs="Times New Roman" w:eastAsia="Times New Roman" w:hAnsi="Times New Roman"/>
          <w:i/>
          <w:iCs/>
          <w:color w:val="000000"/>
          <w:sz w:val="23"/>
          <w:szCs w:val="23"/>
        </w:rPr>
        <w:t xml:space="preserve">secop_processes_search</w:t>
      </w:r>
      <w:r>
        <w:rPr>
          <w:rFonts w:ascii="Times New Roman" w:cs="Times New Roman" w:eastAsia="Times New Roman" w:hAnsi="Times New Roman"/>
          <w:color w:val="000000"/>
          <w:sz w:val="23"/>
          <w:szCs w:val="23"/>
        </w:rPr>
        <w:t xml:space="preserve"> y sus filtros (adjudicado o no, fechas, UNSPSC, entidad, valor).</w:t>
      </w:r>
      <w:r>
        <w:rPr>
          <w:rStyle w:val="FootnoteReference"/>
        </w:rPr>
        <w:footnoteReference w:id="59"/>
      </w:r>
    </w:p>
    <w:p>
      <w:pPr>
        <w:pStyle w:val="ListParagraph"/>
        <w:numPr>
          <w:ilvl w:val="0"/>
          <w:numId w:val="9"/>
        </w:numPr>
        <w:spacing w:after="60" w:line="276"/>
        <w:jc w:val="both"/>
      </w:pPr>
      <w:r>
        <w:rPr>
          <w:rFonts w:ascii="Times New Roman" w:cs="Times New Roman" w:eastAsia="Times New Roman" w:hAnsi="Times New Roman"/>
          <w:color w:val="000000"/>
          <w:sz w:val="23"/>
          <w:szCs w:val="23"/>
        </w:rPr>
        <w:t xml:space="preserve">Leer cada resultado por su id prefijado (</w:t>
      </w:r>
      <w:r>
        <w:rPr>
          <w:rFonts w:ascii="Times New Roman" w:cs="Times New Roman" w:eastAsia="Times New Roman" w:hAnsi="Times New Roman"/>
          <w:i/>
          <w:iCs/>
          <w:color w:val="000000"/>
          <w:sz w:val="23"/>
          <w:szCs w:val="23"/>
        </w:rPr>
        <w:t xml:space="preserve">secop_ii:…</w:t>
      </w:r>
      <w:r>
        <w:rPr>
          <w:rFonts w:ascii="Times New Roman" w:cs="Times New Roman" w:eastAsia="Times New Roman" w:hAnsi="Times New Roman"/>
          <w:color w:val="000000"/>
          <w:sz w:val="23"/>
          <w:szCs w:val="23"/>
        </w:rPr>
        <w:t xml:space="preserve">) con los endpoints </w:t>
      </w:r>
      <w:r>
        <w:rPr>
          <w:rFonts w:ascii="Times New Roman" w:cs="Times New Roman" w:eastAsia="Times New Roman" w:hAnsi="Times New Roman"/>
          <w:i/>
          <w:iCs/>
          <w:color w:val="000000"/>
          <w:sz w:val="23"/>
          <w:szCs w:val="23"/>
        </w:rPr>
        <w:t xml:space="preserve">*_record</w:t>
      </w:r>
      <w:r>
        <w:rPr>
          <w:rFonts w:ascii="Times New Roman" w:cs="Times New Roman" w:eastAsia="Times New Roman" w:hAnsi="Times New Roman"/>
          <w:color w:val="000000"/>
          <w:sz w:val="23"/>
          <w:szCs w:val="23"/>
        </w:rPr>
        <w:t xml:space="preserve">, que responden en milisegundos.</w:t>
      </w:r>
    </w:p>
    <w:p>
      <w:pPr>
        <w:pStyle w:val="ListParagraph"/>
        <w:numPr>
          <w:ilvl w:val="0"/>
          <w:numId w:val="9"/>
        </w:numPr>
        <w:spacing w:after="60" w:line="276"/>
        <w:jc w:val="both"/>
      </w:pPr>
      <w:r>
        <w:rPr>
          <w:rFonts w:ascii="Times New Roman" w:cs="Times New Roman" w:eastAsia="Times New Roman" w:hAnsi="Times New Roman"/>
          <w:color w:val="000000"/>
          <w:sz w:val="23"/>
          <w:szCs w:val="23"/>
        </w:rPr>
        <w:t xml:space="preserve">Con un id de SECOP II (</w:t>
      </w:r>
      <w:r>
        <w:rPr>
          <w:rFonts w:ascii="Times New Roman" w:cs="Times New Roman" w:eastAsia="Times New Roman" w:hAnsi="Times New Roman"/>
          <w:i/>
          <w:iCs/>
          <w:color w:val="000000"/>
          <w:sz w:val="23"/>
          <w:szCs w:val="23"/>
        </w:rPr>
        <w:t xml:space="preserve">CO1.NTC.…</w:t>
      </w:r>
      <w:r>
        <w:rPr>
          <w:rFonts w:ascii="Times New Roman" w:cs="Times New Roman" w:eastAsia="Times New Roman" w:hAnsi="Times New Roman"/>
          <w:color w:val="000000"/>
          <w:sz w:val="23"/>
          <w:szCs w:val="23"/>
        </w:rPr>
        <w:t xml:space="preserve"> o </w:t>
      </w:r>
      <w:r>
        <w:rPr>
          <w:rFonts w:ascii="Times New Roman" w:cs="Times New Roman" w:eastAsia="Times New Roman" w:hAnsi="Times New Roman"/>
          <w:i/>
          <w:iCs/>
          <w:color w:val="000000"/>
          <w:sz w:val="23"/>
          <w:szCs w:val="23"/>
        </w:rPr>
        <w:t xml:space="preserve">CO1.PCCNTR.…</w:t>
      </w:r>
      <w:r>
        <w:rPr>
          <w:rFonts w:ascii="Times New Roman" w:cs="Times New Roman" w:eastAsia="Times New Roman" w:hAnsi="Times New Roman"/>
          <w:color w:val="000000"/>
          <w:sz w:val="23"/>
          <w:szCs w:val="23"/>
        </w:rPr>
        <w:t xml:space="preserve">), la vista viva añade adiciones, garantías y plan de entregas; si devuelve </w:t>
      </w:r>
      <w:r>
        <w:rPr>
          <w:rFonts w:ascii="Times New Roman" w:cs="Times New Roman" w:eastAsia="Times New Roman" w:hAnsi="Times New Roman"/>
          <w:i/>
          <w:iCs/>
          <w:color w:val="000000"/>
          <w:sz w:val="23"/>
          <w:szCs w:val="23"/>
        </w:rPr>
        <w:t xml:space="preserve">found: false</w:t>
      </w:r>
      <w:r>
        <w:rPr>
          <w:rFonts w:ascii="Times New Roman" w:cs="Times New Roman" w:eastAsia="Times New Roman" w:hAnsi="Times New Roman"/>
          <w:color w:val="000000"/>
          <w:sz w:val="23"/>
          <w:szCs w:val="23"/>
        </w:rPr>
        <w:t xml:space="preserve"> para un registro reciente, volver a </w:t>
      </w:r>
      <w:r>
        <w:rPr>
          <w:rFonts w:ascii="Times New Roman" w:cs="Times New Roman" w:eastAsia="Times New Roman" w:hAnsi="Times New Roman"/>
          <w:i/>
          <w:iCs/>
          <w:color w:val="000000"/>
          <w:sz w:val="23"/>
          <w:szCs w:val="23"/>
        </w:rPr>
        <w:t xml:space="preserve">*_record</w:t>
      </w:r>
      <w:r>
        <w:rPr>
          <w:rFonts w:ascii="Times New Roman" w:cs="Times New Roman" w:eastAsia="Times New Roman" w:hAnsi="Times New Roman"/>
          <w:color w:val="000000"/>
          <w:sz w:val="23"/>
          <w:szCs w:val="23"/>
        </w:rPr>
        <w:t xml:space="preserve">.</w:t>
      </w:r>
      <w:r>
        <w:rPr>
          <w:rStyle w:val="FootnoteReference"/>
        </w:rPr>
        <w:footnoteReference w:id="60"/>
      </w:r>
    </w:p>
    <w:p>
      <w:pPr>
        <w:pStyle w:val="ListParagraph"/>
        <w:numPr>
          <w:ilvl w:val="0"/>
          <w:numId w:val="9"/>
        </w:numPr>
        <w:spacing w:after="60" w:line="276"/>
        <w:jc w:val="both"/>
      </w:pPr>
      <w:r>
        <w:rPr>
          <w:rFonts w:ascii="Times New Roman" w:cs="Times New Roman" w:eastAsia="Times New Roman" w:hAnsi="Times New Roman"/>
          <w:color w:val="000000"/>
          <w:sz w:val="23"/>
          <w:szCs w:val="23"/>
        </w:rPr>
        <w:t xml:space="preserve">Consultar el Plan Anual de Adquisiciones para anticipar compras y los conceptos de la ANCP-CCE para el criterio jurídico.</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El punto de partida (documento, texto, identificador, plan o duda jurídica) determina la herramienta; el formato del identificador determina si se usa la copia o la vista viva.</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La vista viva puede ir detrás de la copia para registros recientes; la remisión a </w:t>
      </w:r>
      <w:r>
        <w:rPr>
          <w:rFonts w:ascii="Times New Roman" w:cs="Times New Roman" w:eastAsia="Times New Roman" w:hAnsi="Times New Roman"/>
          <w:i/>
          <w:iCs/>
          <w:color w:val="000000"/>
          <w:sz w:val="23"/>
          <w:szCs w:val="23"/>
        </w:rPr>
        <w:t xml:space="preserve">*_record</w:t>
      </w:r>
      <w:r>
        <w:rPr>
          <w:rFonts w:ascii="Times New Roman" w:cs="Times New Roman" w:eastAsia="Times New Roman" w:hAnsi="Times New Roman"/>
          <w:color w:val="000000"/>
          <w:sz w:val="23"/>
          <w:szCs w:val="23"/>
        </w:rPr>
        <w:t xml:space="preserve"> resuelve el caso. Los endpoints </w:t>
      </w:r>
      <w:r>
        <w:rPr>
          <w:rFonts w:ascii="Times New Roman" w:cs="Times New Roman" w:eastAsia="Times New Roman" w:hAnsi="Times New Roman"/>
          <w:i/>
          <w:iCs/>
          <w:color w:val="000000"/>
          <w:sz w:val="23"/>
          <w:szCs w:val="23"/>
        </w:rPr>
        <w:t xml:space="preserve">contracts-by-provider</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processes-by-entity</w:t>
      </w:r>
      <w:r>
        <w:rPr>
          <w:rFonts w:ascii="Times New Roman" w:cs="Times New Roman" w:eastAsia="Times New Roman" w:hAnsi="Times New Roman"/>
          <w:color w:val="000000"/>
          <w:sz w:val="23"/>
          <w:szCs w:val="23"/>
        </w:rPr>
        <w:t xml:space="preserve"> y </w:t>
      </w:r>
      <w:r>
        <w:rPr>
          <w:rFonts w:ascii="Times New Roman" w:cs="Times New Roman" w:eastAsia="Times New Roman" w:hAnsi="Times New Roman"/>
          <w:i/>
          <w:iCs/>
          <w:color w:val="000000"/>
          <w:sz w:val="23"/>
          <w:szCs w:val="23"/>
        </w:rPr>
        <w:t xml:space="preserve">sanctions-by-provider</w:t>
      </w:r>
      <w:r>
        <w:rPr>
          <w:rFonts w:ascii="Times New Roman" w:cs="Times New Roman" w:eastAsia="Times New Roman" w:hAnsi="Times New Roman"/>
          <w:color w:val="000000"/>
          <w:sz w:val="23"/>
          <w:szCs w:val="23"/>
        </w:rPr>
        <w:t xml:space="preserve"> responderán 410 desde el 1 de diciembre de 2026.</w:t>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Cuatro defectos de datos exigen control antes de cualquier conclusión: registros de prueba de la propia plataforma en el dataset de sanciones («Z ENTIDAD DE PRUEBA»), valores de adición imposibles que dominan el orden por valor (287.977.824.202.578.620 pesos), NIT de entidades con el dígito de verificación pegado y rezagos de 35 a 39 días en planes y modificaciones.</w:t>
      </w:r>
      <w:r>
        <w:rPr>
          <w:rStyle w:val="FootnoteReference"/>
        </w:rPr>
        <w:footnoteReference w:id="61"/>
      </w:r>
    </w:p>
    <w:p>
      <w:pPr>
        <w:keepNext/>
        <w:spacing w:after="80" w:before="200" w:line="240"/>
        <w:jc w:val="left"/>
      </w:pPr>
      <w:r>
        <w:rPr>
          <w:rFonts w:ascii="Times New Roman" w:cs="Times New Roman" w:eastAsia="Times New Roman" w:hAnsi="Times New Roman"/>
          <w:b/>
          <w:bCs/>
          <w:color w:val="000000"/>
          <w:sz w:val="20"/>
          <w:szCs w:val="20"/>
        </w:rPr>
        <w:t xml:space="preserve">Tabla 19. </w:t>
      </w:r>
      <w:r>
        <w:rPr>
          <w:rFonts w:ascii="Times New Roman" w:cs="Times New Roman" w:eastAsia="Times New Roman" w:hAnsi="Times New Roman"/>
          <w:i/>
          <w:iCs/>
          <w:color w:val="000000"/>
          <w:sz w:val="20"/>
          <w:szCs w:val="20"/>
        </w:rPr>
        <w:t xml:space="preserve">Recursos y remisiones del diagrama D06</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PF, PR, PA, RC, DP</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CC, LV</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Agente o cliente MCP (Claude, ChatGPT, Cursor)</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modelo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QC</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Herramientas MCP del catálogo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R10</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Identificador del sujeto (NIT, radicado, placa, cédula, CUFE)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D1, D2</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Validación de formato (400 / −32602)</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15 nodos, 20 aristas, 3 decisiones, 1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4.6 — Verificación de personas naturales</w:t>
      </w:r>
    </w:p>
    <w:p>
      <w:pPr>
        <w:keepNext/>
        <w:spacing w:after="80" w:before="60" w:line="240"/>
        <w:jc w:val="left"/>
      </w:pPr>
      <w:r>
        <w:rPr>
          <w:rFonts w:ascii="Times New Roman" w:cs="Times New Roman" w:eastAsia="Times New Roman" w:hAnsi="Times New Roman"/>
          <w:b/>
          <w:bCs/>
          <w:color w:val="000000"/>
          <w:sz w:val="20"/>
          <w:szCs w:val="20"/>
        </w:rPr>
        <w:t xml:space="preserve">Figura 8. </w:t>
      </w:r>
      <w:r>
        <w:rPr>
          <w:rFonts w:ascii="Times New Roman" w:cs="Times New Roman" w:eastAsia="Times New Roman" w:hAnsi="Times New Roman"/>
          <w:i/>
          <w:iCs/>
          <w:color w:val="000000"/>
          <w:sz w:val="20"/>
          <w:szCs w:val="20"/>
        </w:rPr>
        <w:t xml:space="preserve">Verificación de personas naturales (D07)</w:t>
      </w:r>
    </w:p>
    <w:p>
      <w:pPr>
        <w:keepNext/>
        <w:spacing w:after="60"/>
        <w:jc w:val="center"/>
      </w:pPr>
      <w:r>
        <w:drawing>
          <wp:inline distT="0" distB="0" distL="0" distR="0">
            <wp:extent cx="4972050" cy="6905625"/>
            <wp:effectExtent t="0" r="0" b="0" l="0"/>
            <wp:docPr id="1" name="D07" descr="Diagrama D07: Verificación de personas naturales (D07)" title="Verificación de personas naturales (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extLst>
                        <a:ext uri="{96DAC541-7B7A-43D3-8B79-37D633B846F1}">
                          <asvg:svgBlip xmlns:asvg="http://schemas.microsoft.com/office/drawing/2016/SVG/main" r:embed="rId23"/>
                        </a:ext>
                      </a:extLst>
                    </a:blip>
                    <a:srcRect/>
                    <a:stretch>
                      <a:fillRect/>
                    </a:stretch>
                  </pic:blipFill>
                  <pic:spPr bwMode="auto">
                    <a:xfrm>
                      <a:off x="0" y="0"/>
                      <a:ext cx="4972050" cy="690562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guías de Registraduría, Policía, Procuraduría, Contraloría, Contaduría, ADRES y RUAF, y Agent Skill. Por diseño, no se consultaron personas reales.</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Doce endpoints, todos en vivo, permiten verificar a una persona por su documento: estado vital de la cédula (Registraduría), registro civil de nacimiento, antecedentes ante la Policía, la Procuraduría (SIRI), la Contraloría (SIBOR) y la Contaduría (Boletín de Deudores Morosos del Estado), afiliación en salud (ADRES-BDUA), afiliaciones a seguridad social (RUAF), clasificación socioeconómica (DNP: Sisbén IV y RUI), insolvencia de persona natural (SICAAC) y casos penales por noticia criminal (Fiscalía).</w:t>
      </w:r>
      <w:r>
        <w:rPr>
          <w:rStyle w:val="FootnoteReference"/>
        </w:rPr>
        <w:footnoteReference w:id="62"/>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Verificar a una persona solo cuando existe finalidad y base legal, y dejar evidencia de cada veredicto.</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10"/>
        </w:numPr>
        <w:spacing w:after="60" w:line="276"/>
        <w:jc w:val="both"/>
      </w:pPr>
      <w:r>
        <w:rPr>
          <w:rFonts w:ascii="Times New Roman" w:cs="Times New Roman" w:eastAsia="Times New Roman" w:hAnsi="Times New Roman"/>
          <w:color w:val="000000"/>
          <w:sz w:val="23"/>
          <w:szCs w:val="23"/>
        </w:rPr>
        <w:t xml:space="preserve">Verificar primero que exista una finalidad legítima y una base legal para el tratamiento; sin ellas, el flujo termina sin consultar.</w:t>
      </w:r>
    </w:p>
    <w:p>
      <w:pPr>
        <w:pStyle w:val="ListParagraph"/>
        <w:numPr>
          <w:ilvl w:val="0"/>
          <w:numId w:val="10"/>
        </w:numPr>
        <w:spacing w:after="60" w:line="276"/>
        <w:jc w:val="both"/>
      </w:pPr>
      <w:r>
        <w:rPr>
          <w:rFonts w:ascii="Times New Roman" w:cs="Times New Roman" w:eastAsia="Times New Roman" w:hAnsi="Times New Roman"/>
          <w:color w:val="000000"/>
          <w:sz w:val="23"/>
          <w:szCs w:val="23"/>
        </w:rPr>
        <w:t xml:space="preserve">Seleccionar solo las verificaciones que exige esa finalidad: identidad, antecedentes, seguridad social, clasificación socioeconómica, insolvencia o proceso penal, o registro civil.</w:t>
      </w:r>
    </w:p>
    <w:p>
      <w:pPr>
        <w:pStyle w:val="ListParagraph"/>
        <w:numPr>
          <w:ilvl w:val="0"/>
          <w:numId w:val="10"/>
        </w:numPr>
        <w:spacing w:after="60" w:line="276"/>
        <w:jc w:val="both"/>
      </w:pPr>
      <w:r>
        <w:rPr>
          <w:rFonts w:ascii="Times New Roman" w:cs="Times New Roman" w:eastAsia="Times New Roman" w:hAnsi="Times New Roman"/>
          <w:color w:val="000000"/>
          <w:sz w:val="23"/>
          <w:szCs w:val="23"/>
        </w:rPr>
        <w:t xml:space="preserve">Ejecutar las consultas; las de Policía, ADRES, RUAF, SICAAC y Contaduría son asíncronas, y por MCP esperan en línea.</w:t>
      </w:r>
      <w:r>
        <w:rPr>
          <w:rStyle w:val="FootnoteReference"/>
        </w:rPr>
        <w:footnoteReference w:id="63"/>
      </w:r>
    </w:p>
    <w:p>
      <w:pPr>
        <w:pStyle w:val="ListParagraph"/>
        <w:numPr>
          <w:ilvl w:val="0"/>
          <w:numId w:val="10"/>
        </w:numPr>
        <w:spacing w:after="60" w:line="276"/>
        <w:jc w:val="both"/>
      </w:pPr>
      <w:r>
        <w:rPr>
          <w:rFonts w:ascii="Times New Roman" w:cs="Times New Roman" w:eastAsia="Times New Roman" w:hAnsi="Times New Roman"/>
          <w:color w:val="000000"/>
          <w:sz w:val="23"/>
          <w:szCs w:val="23"/>
        </w:rPr>
        <w:t xml:space="preserve">Interpretar la respuesta: </w:t>
      </w:r>
      <w:r>
        <w:rPr>
          <w:rFonts w:ascii="Times New Roman" w:cs="Times New Roman" w:eastAsia="Times New Roman" w:hAnsi="Times New Roman"/>
          <w:i/>
          <w:iCs/>
          <w:color w:val="000000"/>
          <w:sz w:val="23"/>
          <w:szCs w:val="23"/>
        </w:rPr>
        <w:t xml:space="preserve">found: false</w:t>
      </w:r>
      <w:r>
        <w:rPr>
          <w:rFonts w:ascii="Times New Roman" w:cs="Times New Roman" w:eastAsia="Times New Roman" w:hAnsi="Times New Roman"/>
          <w:color w:val="000000"/>
          <w:sz w:val="23"/>
          <w:szCs w:val="23"/>
        </w:rPr>
        <w:t xml:space="preserve"> es definitivo; los veredictos se expresan como booleanos (</w:t>
      </w:r>
      <w:r>
        <w:rPr>
          <w:rFonts w:ascii="Times New Roman" w:cs="Times New Roman" w:eastAsia="Times New Roman" w:hAnsi="Times New Roman"/>
          <w:i/>
          <w:iCs/>
          <w:color w:val="000000"/>
          <w:sz w:val="23"/>
          <w:szCs w:val="23"/>
        </w:rPr>
        <w:t xml:space="preserve">has_records</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is_fiscal_responsible</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reported</w:t>
      </w:r>
      <w:r>
        <w:rPr>
          <w:rFonts w:ascii="Times New Roman" w:cs="Times New Roman" w:eastAsia="Times New Roman" w:hAnsi="Times New Roman"/>
          <w:color w:val="000000"/>
          <w:sz w:val="23"/>
          <w:szCs w:val="23"/>
        </w:rPr>
        <w:t xml:space="preserve">) acompañados de la frase textual de la fuente y de la fecha de consulta o un código de verificación.</w:t>
      </w:r>
      <w:r>
        <w:rPr>
          <w:rStyle w:val="FootnoteReference"/>
        </w:rPr>
        <w:footnoteReference w:id="64"/>
      </w:r>
      <w:r>
        <w:rPr>
          <w:rStyle w:val="FootnoteReference"/>
        </w:rPr>
        <w:footnoteReference w:id="65"/>
      </w:r>
    </w:p>
    <w:p>
      <w:pPr>
        <w:pStyle w:val="ListParagraph"/>
        <w:numPr>
          <w:ilvl w:val="0"/>
          <w:numId w:val="10"/>
        </w:numPr>
        <w:spacing w:after="60" w:line="276"/>
        <w:jc w:val="both"/>
      </w:pPr>
      <w:r>
        <w:rPr>
          <w:rFonts w:ascii="Times New Roman" w:cs="Times New Roman" w:eastAsia="Times New Roman" w:hAnsi="Times New Roman"/>
          <w:color w:val="000000"/>
          <w:sz w:val="23"/>
          <w:szCs w:val="23"/>
        </w:rPr>
        <w:t xml:space="preserve">Archivar la evidencia mínima necesaria para la decisión, no el registro completo.</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La compuerta legal es la decisión principal. Después, la finalidad define el subconjunto de fuentes; por ejemplo, el RUAF exige la fecha de expedición del documento y no distingue una fecha errónea de un documento no registrado.</w:t>
      </w:r>
      <w:r>
        <w:rPr>
          <w:rStyle w:val="FootnoteReference"/>
        </w:rPr>
        <w:footnoteReference w:id="66"/>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Fallas de la fuente (5xx) y, en el RUAF, el rechazo por fecha de expedición. La Contraloría tarda normalmente decenas de segundos porque genera el certificado bajo demanda.</w:t>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La Procuraduría solo devuelve el veredicto: el detalle de las sanciones está en el certificado oficial, no en la respuesta.</w:t>
      </w:r>
      <w:r>
        <w:rPr>
          <w:rStyle w:val="FootnoteReference"/>
        </w:rPr>
        <w:footnoteReference w:id="67"/>
      </w:r>
      <w:r>
        <w:rPr>
          <w:rFonts w:ascii="Times New Roman" w:cs="Times New Roman" w:eastAsia="Times New Roman" w:hAnsi="Times New Roman"/>
          <w:color w:val="000000"/>
          <w:sz w:val="23"/>
          <w:szCs w:val="23"/>
        </w:rPr>
        <w:t xml:space="preserve"> La afiliación en salud es información sensible; su uso para decisiones automatizadas exige un análisis jurídico específico. La Registraduría devuelve </w:t>
      </w:r>
      <w:r>
        <w:rPr>
          <w:rFonts w:ascii="Times New Roman" w:cs="Times New Roman" w:eastAsia="Times New Roman" w:hAnsi="Times New Roman"/>
          <w:i/>
          <w:iCs/>
          <w:color w:val="000000"/>
          <w:sz w:val="23"/>
          <w:szCs w:val="23"/>
        </w:rPr>
        <w:t xml:space="preserve">UNKNOWN</w:t>
      </w:r>
      <w:r>
        <w:rPr>
          <w:rFonts w:ascii="Times New Roman" w:cs="Times New Roman" w:eastAsia="Times New Roman" w:hAnsi="Times New Roman"/>
          <w:color w:val="000000"/>
          <w:sz w:val="23"/>
          <w:szCs w:val="23"/>
        </w:rPr>
        <w:t xml:space="preserve"> cuando la fuente entrega un valor no reconocido.</w:t>
      </w:r>
      <w:r>
        <w:rPr>
          <w:rStyle w:val="FootnoteReference"/>
        </w:rPr>
        <w:footnoteReference w:id="68"/>
      </w:r>
    </w:p>
    <w:p>
      <w:pPr>
        <w:keepNext/>
        <w:spacing w:after="80" w:before="200" w:line="240"/>
        <w:jc w:val="left"/>
      </w:pPr>
      <w:r>
        <w:rPr>
          <w:rFonts w:ascii="Times New Roman" w:cs="Times New Roman" w:eastAsia="Times New Roman" w:hAnsi="Times New Roman"/>
          <w:b/>
          <w:bCs/>
          <w:color w:val="000000"/>
          <w:sz w:val="20"/>
          <w:szCs w:val="20"/>
        </w:rPr>
        <w:t xml:space="preserve">Tabla 20. </w:t>
      </w:r>
      <w:r>
        <w:rPr>
          <w:rFonts w:ascii="Times New Roman" w:cs="Times New Roman" w:eastAsia="Times New Roman" w:hAnsi="Times New Roman"/>
          <w:i/>
          <w:iCs/>
          <w:color w:val="000000"/>
          <w:sz w:val="20"/>
          <w:szCs w:val="20"/>
        </w:rPr>
        <w:t xml:space="preserve">Recursos y remisiones del diagrama D07</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R02</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Saldo de créditos del plan (10 vivo · 1 dataset)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J</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Plan y facturación; 402 al agotarse</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RG, AN, SG, SO, IP, RC</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R05</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Cola de trabajos asíncronos (/jobs, espera ≤55 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compute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AN, SG, IP, J</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GET /jobs/:id o callback_url</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R10</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Identificador del sujeto (NIT, radicado, placa, cédula, CUFE)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Validación de formato (400 / −32602)</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R11</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Base legal y finalidad (Ley 1581 de 2012)</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humano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 EX</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Responsable del tratamiento (usuario)</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18 nodos, 24 aristas, 3 decisiones, 2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4.7 — Vehículos y tránsito: RUNT y SIMIT</w:t>
      </w:r>
    </w:p>
    <w:p>
      <w:pPr>
        <w:keepNext/>
        <w:spacing w:after="80" w:before="60" w:line="240"/>
        <w:jc w:val="left"/>
      </w:pPr>
      <w:r>
        <w:rPr>
          <w:rFonts w:ascii="Times New Roman" w:cs="Times New Roman" w:eastAsia="Times New Roman" w:hAnsi="Times New Roman"/>
          <w:b/>
          <w:bCs/>
          <w:color w:val="000000"/>
          <w:sz w:val="20"/>
          <w:szCs w:val="20"/>
        </w:rPr>
        <w:t xml:space="preserve">Figura 9. </w:t>
      </w:r>
      <w:r>
        <w:rPr>
          <w:rFonts w:ascii="Times New Roman" w:cs="Times New Roman" w:eastAsia="Times New Roman" w:hAnsi="Times New Roman"/>
          <w:i/>
          <w:iCs/>
          <w:color w:val="000000"/>
          <w:sz w:val="20"/>
          <w:szCs w:val="20"/>
        </w:rPr>
        <w:t xml:space="preserve">Vehículos y tránsito: RUNT y SIMIT (D08)</w:t>
      </w:r>
    </w:p>
    <w:p>
      <w:pPr>
        <w:keepNext/>
        <w:spacing w:after="60"/>
        <w:jc w:val="center"/>
      </w:pPr>
      <w:r>
        <w:drawing>
          <wp:inline distT="0" distB="0" distL="0" distR="0">
            <wp:extent cx="5048250" cy="6905625"/>
            <wp:effectExtent t="0" r="0" b="0" l="0"/>
            <wp:docPr id="1" name="D08" descr="Diagrama D08: Vehículos y tránsito: RUNT y SIMIT (D08)" title="Vehículos y tránsito: RUNT y SIMIT (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extLst>
                        <a:ext uri="{96DAC541-7B7A-43D3-8B79-37D633B846F1}">
                          <asvg:svgBlip xmlns:asvg="http://schemas.microsoft.com/office/drawing/2016/SVG/main" r:embed="rId25"/>
                        </a:ext>
                      </a:extLst>
                    </a:blip>
                    <a:srcRect/>
                    <a:stretch>
                      <a:fillRect/>
                    </a:stretch>
                  </pic:blipFill>
                  <pic:spPr bwMode="auto">
                    <a:xfrm>
                      <a:off x="0" y="0"/>
                      <a:ext cx="5048250" cy="690562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guías de RUNT y SIMIT y Agent Skill. Por diseño, no se consultaron placas ni personas reales.</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El RUNT expone cuatro consultas asíncronas —vehículo por placa con documento del propietario, historial del vehículo solo con la placa, ciudadano por documento y ciudadano por placa— y el SIMIT una, el estado de cuenta de multas por placa o documento.</w:t>
      </w:r>
      <w:r>
        <w:rPr>
          <w:rStyle w:val="FootnoteReference"/>
        </w:rPr>
        <w:footnoteReference w:id="69"/>
      </w:r>
      <w:r>
        <w:rPr>
          <w:rStyle w:val="FootnoteReference"/>
        </w:rPr>
        <w:footnoteReference w:id="70"/>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Resolver la situación jurídica, técnica y de multas de un vehículo o de un conductor. Sirve a aseguradoras, financieras de vehículos, cobranza y compraventa.</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11"/>
        </w:numPr>
        <w:spacing w:after="60" w:line="276"/>
        <w:jc w:val="both"/>
      </w:pPr>
      <w:r>
        <w:rPr>
          <w:rFonts w:ascii="Times New Roman" w:cs="Times New Roman" w:eastAsia="Times New Roman" w:hAnsi="Times New Roman"/>
          <w:color w:val="000000"/>
          <w:sz w:val="23"/>
          <w:szCs w:val="23"/>
        </w:rPr>
        <w:t xml:space="preserve">Verificar la base legal: varias respuestas identifican al propietario o al conductor.</w:t>
      </w:r>
    </w:p>
    <w:p>
      <w:pPr>
        <w:pStyle w:val="ListParagraph"/>
        <w:numPr>
          <w:ilvl w:val="0"/>
          <w:numId w:val="11"/>
        </w:numPr>
        <w:spacing w:after="60" w:line="276"/>
        <w:jc w:val="both"/>
      </w:pPr>
      <w:r>
        <w:rPr>
          <w:rFonts w:ascii="Times New Roman" w:cs="Times New Roman" w:eastAsia="Times New Roman" w:hAnsi="Times New Roman"/>
          <w:color w:val="000000"/>
          <w:sz w:val="23"/>
          <w:szCs w:val="23"/>
        </w:rPr>
        <w:t xml:space="preserve">Para la ficha técnica completa con SOAT, revisión técnico-mecánica, prendas con su acreedor, limitaciones, blindaje y certificados, usar </w:t>
      </w:r>
      <w:r>
        <w:rPr>
          <w:rFonts w:ascii="Times New Roman" w:cs="Times New Roman" w:eastAsia="Times New Roman" w:hAnsi="Times New Roman"/>
          <w:i/>
          <w:iCs/>
          <w:color w:val="000000"/>
          <w:sz w:val="23"/>
          <w:szCs w:val="23"/>
        </w:rPr>
        <w:t xml:space="preserve">runt_vehicle_by_plate</w:t>
      </w:r>
      <w:r>
        <w:rPr>
          <w:rFonts w:ascii="Times New Roman" w:cs="Times New Roman" w:eastAsia="Times New Roman" w:hAnsi="Times New Roman"/>
          <w:color w:val="000000"/>
          <w:sz w:val="23"/>
          <w:szCs w:val="23"/>
        </w:rPr>
        <w:t xml:space="preserve"> con la placa y el documento del propietario activo.</w:t>
      </w:r>
    </w:p>
    <w:p>
      <w:pPr>
        <w:pStyle w:val="ListParagraph"/>
        <w:numPr>
          <w:ilvl w:val="0"/>
          <w:numId w:val="11"/>
        </w:numPr>
        <w:spacing w:after="60" w:line="276"/>
        <w:jc w:val="both"/>
      </w:pPr>
      <w:r>
        <w:rPr>
          <w:rFonts w:ascii="Times New Roman" w:cs="Times New Roman" w:eastAsia="Times New Roman" w:hAnsi="Times New Roman"/>
          <w:color w:val="000000"/>
          <w:sz w:val="23"/>
          <w:szCs w:val="23"/>
        </w:rPr>
        <w:t xml:space="preserve">Si solo se tiene la placa, </w:t>
      </w:r>
      <w:r>
        <w:rPr>
          <w:rFonts w:ascii="Times New Roman" w:cs="Times New Roman" w:eastAsia="Times New Roman" w:hAnsi="Times New Roman"/>
          <w:i/>
          <w:iCs/>
          <w:color w:val="000000"/>
          <w:sz w:val="23"/>
          <w:szCs w:val="23"/>
        </w:rPr>
        <w:t xml:space="preserve">runt_vehicle_history_by_plate</w:t>
      </w:r>
      <w:r>
        <w:rPr>
          <w:rFonts w:ascii="Times New Roman" w:cs="Times New Roman" w:eastAsia="Times New Roman" w:hAnsi="Times New Roman"/>
          <w:color w:val="000000"/>
          <w:sz w:val="23"/>
          <w:szCs w:val="23"/>
        </w:rPr>
        <w:t xml:space="preserve"> entrega propietarios con documento, características, licencia de tránsito, importación, SOAT, revisiones, accidente registrado y trámites.</w:t>
      </w:r>
    </w:p>
    <w:p>
      <w:pPr>
        <w:pStyle w:val="ListParagraph"/>
        <w:numPr>
          <w:ilvl w:val="0"/>
          <w:numId w:val="11"/>
        </w:numPr>
        <w:spacing w:after="60" w:line="276"/>
        <w:jc w:val="both"/>
      </w:pPr>
      <w:r>
        <w:rPr>
          <w:rFonts w:ascii="Times New Roman" w:cs="Times New Roman" w:eastAsia="Times New Roman" w:hAnsi="Times New Roman"/>
          <w:color w:val="000000"/>
          <w:sz w:val="23"/>
          <w:szCs w:val="23"/>
        </w:rPr>
        <w:t xml:space="preserve">Para el conductor, </w:t>
      </w:r>
      <w:r>
        <w:rPr>
          <w:rFonts w:ascii="Times New Roman" w:cs="Times New Roman" w:eastAsia="Times New Roman" w:hAnsi="Times New Roman"/>
          <w:i/>
          <w:iCs/>
          <w:color w:val="000000"/>
          <w:sz w:val="23"/>
          <w:szCs w:val="23"/>
        </w:rPr>
        <w:t xml:space="preserve">runt_citizen_by_document</w:t>
      </w:r>
      <w:r>
        <w:rPr>
          <w:rFonts w:ascii="Times New Roman" w:cs="Times New Roman" w:eastAsia="Times New Roman" w:hAnsi="Times New Roman"/>
          <w:color w:val="000000"/>
          <w:sz w:val="23"/>
          <w:szCs w:val="23"/>
        </w:rPr>
        <w:t xml:space="preserve"> entrega licencias y categorías, paz y salvo, certificados de aptitud y médicos; </w:t>
      </w:r>
      <w:r>
        <w:rPr>
          <w:rFonts w:ascii="Times New Roman" w:cs="Times New Roman" w:eastAsia="Times New Roman" w:hAnsi="Times New Roman"/>
          <w:i/>
          <w:iCs/>
          <w:color w:val="000000"/>
          <w:sz w:val="23"/>
          <w:szCs w:val="23"/>
        </w:rPr>
        <w:t xml:space="preserve">runt_citizen_by_plate</w:t>
      </w:r>
      <w:r>
        <w:rPr>
          <w:rFonts w:ascii="Times New Roman" w:cs="Times New Roman" w:eastAsia="Times New Roman" w:hAnsi="Times New Roman"/>
          <w:color w:val="000000"/>
          <w:sz w:val="23"/>
          <w:szCs w:val="23"/>
        </w:rPr>
        <w:t xml:space="preserve"> hace lo mismo con el propietario actual cuando es persona natural.</w:t>
      </w:r>
    </w:p>
    <w:p>
      <w:pPr>
        <w:pStyle w:val="ListParagraph"/>
        <w:numPr>
          <w:ilvl w:val="0"/>
          <w:numId w:val="11"/>
        </w:numPr>
        <w:spacing w:after="60" w:line="276"/>
        <w:jc w:val="both"/>
      </w:pPr>
      <w:r>
        <w:rPr>
          <w:rFonts w:ascii="Times New Roman" w:cs="Times New Roman" w:eastAsia="Times New Roman" w:hAnsi="Times New Roman"/>
          <w:color w:val="000000"/>
          <w:sz w:val="23"/>
          <w:szCs w:val="23"/>
        </w:rPr>
        <w:t xml:space="preserve">Para multas, </w:t>
      </w:r>
      <w:r>
        <w:rPr>
          <w:rFonts w:ascii="Times New Roman" w:cs="Times New Roman" w:eastAsia="Times New Roman" w:hAnsi="Times New Roman"/>
          <w:i/>
          <w:iCs/>
          <w:color w:val="000000"/>
          <w:sz w:val="23"/>
          <w:szCs w:val="23"/>
        </w:rPr>
        <w:t xml:space="preserve">simit_account_status</w:t>
      </w:r>
      <w:r>
        <w:rPr>
          <w:rFonts w:ascii="Times New Roman" w:cs="Times New Roman" w:eastAsia="Times New Roman" w:hAnsi="Times New Roman"/>
          <w:color w:val="000000"/>
          <w:sz w:val="23"/>
          <w:szCs w:val="23"/>
        </w:rPr>
        <w:t xml:space="preserve"> recibe placa o documento en el mismo campo, informa cuál coincidió y entrega comparendos, totales, acuerdos de pago, cursos y proyecciones de descuento; </w:t>
      </w:r>
      <w:r>
        <w:rPr>
          <w:rFonts w:ascii="Times New Roman" w:cs="Times New Roman" w:eastAsia="Times New Roman" w:hAnsi="Times New Roman"/>
          <w:i/>
          <w:iCs/>
          <w:color w:val="000000"/>
          <w:sz w:val="23"/>
          <w:szCs w:val="23"/>
        </w:rPr>
        <w:t xml:space="preserve">clear: true</w:t>
      </w:r>
      <w:r>
        <w:rPr>
          <w:rFonts w:ascii="Times New Roman" w:cs="Times New Roman" w:eastAsia="Times New Roman" w:hAnsi="Times New Roman"/>
          <w:color w:val="000000"/>
          <w:sz w:val="23"/>
          <w:szCs w:val="23"/>
        </w:rPr>
        <w:t xml:space="preserve"> significa paz y salvo.</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La finalidad decide la consulta; el dato disponible (placa con o sin documento) también. Ante </w:t>
      </w:r>
      <w:r>
        <w:rPr>
          <w:rFonts w:ascii="Times New Roman" w:cs="Times New Roman" w:eastAsia="Times New Roman" w:hAnsi="Times New Roman"/>
          <w:i/>
          <w:iCs/>
          <w:color w:val="000000"/>
          <w:sz w:val="23"/>
          <w:szCs w:val="23"/>
        </w:rPr>
        <w:t xml:space="preserve">found: true</w:t>
      </w:r>
      <w:r>
        <w:rPr>
          <w:rFonts w:ascii="Times New Roman" w:cs="Times New Roman" w:eastAsia="Times New Roman" w:hAnsi="Times New Roman"/>
          <w:color w:val="000000"/>
          <w:sz w:val="23"/>
          <w:szCs w:val="23"/>
        </w:rPr>
        <w:t xml:space="preserve">, todas las secciones se entregan «en la medida de lo posible»: si una no existe para el vehículo, llega vacía en lugar de fallar.</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found: false</w:t>
      </w:r>
      <w:r>
        <w:rPr>
          <w:rFonts w:ascii="Times New Roman" w:cs="Times New Roman" w:eastAsia="Times New Roman" w:hAnsi="Times New Roman"/>
          <w:color w:val="000000"/>
          <w:sz w:val="23"/>
          <w:szCs w:val="23"/>
        </w:rPr>
        <w:t xml:space="preserve"> cuando la placa y el documento no tienen coincidencia activa o, en la consulta por placa del ciudadano, cuando el propietario es una empresa. Fallas del RUNT o del SIMIT producen 5xx.</w:t>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El historial por placa revela la identidad de propietarios sin necesidad del documento, lo que eleva el riesgo de uso indebido; debe restringirse a finalidades legítimas y auditarse. Las secciones vacías no prueban ausencia de gravámenes: pueden reflejar indisponibilidad parcial.</w:t>
      </w:r>
    </w:p>
    <w:p>
      <w:pPr>
        <w:keepNext/>
        <w:spacing w:after="80" w:before="200" w:line="240"/>
        <w:jc w:val="left"/>
      </w:pPr>
      <w:r>
        <w:rPr>
          <w:rFonts w:ascii="Times New Roman" w:cs="Times New Roman" w:eastAsia="Times New Roman" w:hAnsi="Times New Roman"/>
          <w:b/>
          <w:bCs/>
          <w:color w:val="000000"/>
          <w:sz w:val="20"/>
          <w:szCs w:val="20"/>
        </w:rPr>
        <w:t xml:space="preserve">Tabla 21. </w:t>
      </w:r>
      <w:r>
        <w:rPr>
          <w:rFonts w:ascii="Times New Roman" w:cs="Times New Roman" w:eastAsia="Times New Roman" w:hAnsi="Times New Roman"/>
          <w:i/>
          <w:iCs/>
          <w:color w:val="000000"/>
          <w:sz w:val="20"/>
          <w:szCs w:val="20"/>
        </w:rPr>
        <w:t xml:space="preserve">Recursos y remisiones del diagrama D08</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R02</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Saldo de créditos del plan (10 vivo · 1 dataset)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J</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Plan y facturación; 402 al agotarse</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VP, VH, CD, CP, SI</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R05</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Cola de trabajos asíncronos (/jobs, espera ≤55 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compute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J</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GET /jobs/:id o callback_url</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R10</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Identificador del sujeto (NIT, radicado, placa, cédula, CUFE)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Validación de formato (400 / −32602)</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R11</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Base legal y finalidad (Ley 1581 de 2012)</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humano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Responsable del tratamiento (usuario)</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17 nodos, 22 aristas, 3 decisiones, 2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4.8 — Fuentes con sesión del titular y factura electrónica</w:t>
      </w:r>
    </w:p>
    <w:p>
      <w:pPr>
        <w:keepNext/>
        <w:spacing w:after="80" w:before="60" w:line="240"/>
        <w:jc w:val="left"/>
      </w:pPr>
      <w:r>
        <w:rPr>
          <w:rFonts w:ascii="Times New Roman" w:cs="Times New Roman" w:eastAsia="Times New Roman" w:hAnsi="Times New Roman"/>
          <w:b/>
          <w:bCs/>
          <w:color w:val="000000"/>
          <w:sz w:val="20"/>
          <w:szCs w:val="20"/>
        </w:rPr>
        <w:t xml:space="preserve">Figura 10. </w:t>
      </w:r>
      <w:r>
        <w:rPr>
          <w:rFonts w:ascii="Times New Roman" w:cs="Times New Roman" w:eastAsia="Times New Roman" w:hAnsi="Times New Roman"/>
          <w:i/>
          <w:iCs/>
          <w:color w:val="000000"/>
          <w:sz w:val="20"/>
          <w:szCs w:val="20"/>
        </w:rPr>
        <w:t xml:space="preserve">Fuentes con sesión del titular y factura electrónica (D09)</w:t>
      </w:r>
    </w:p>
    <w:p>
      <w:pPr>
        <w:keepNext/>
        <w:spacing w:after="60"/>
        <w:jc w:val="center"/>
      </w:pPr>
      <w:r>
        <w:drawing>
          <wp:inline distT="0" distB="0" distL="0" distR="0">
            <wp:extent cx="5562600" cy="6905625"/>
            <wp:effectExtent t="0" r="0" b="0" l="0"/>
            <wp:docPr id="1" name="D09" descr="Diagrama D09: Fuentes con sesión del titular y factura electrónica (D09)" title="Fuentes con sesión del titular y factura electrónica (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extLst>
                        <a:ext uri="{96DAC541-7B7A-43D3-8B79-37D633B846F1}">
                          <asvg:svgBlip xmlns:asvg="http://schemas.microsoft.com/office/drawing/2016/SVG/main" r:embed="rId27"/>
                        </a:ext>
                      </a:extLst>
                    </a:blip>
                    <a:srcRect/>
                    <a:stretch>
                      <a:fillRect/>
                    </a:stretch>
                  </pic:blipFill>
                  <pic:spPr bwMode="auto">
                    <a:xfrm>
                      <a:off x="0" y="0"/>
                      <a:ext cx="5562600" cy="690562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guías de DIAN MUISCA y Bancolombia, Agent Skill (documento electrónico DIAN) y prueba T45.</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Tres familias exigen tratamiento especial: el documento electrónico de la DIAN (validación de facturas por CUFE, en vivo y asíncrona), la cuenta MUISCA de la DIAN (facturas recibidas e información exógena del titular) y la banca virtual de Bancolombia (cuentas y movimientos). Las dos últimas solo responden con la sesión del titular y operan mediante conexiones.</w:t>
      </w:r>
      <w:r>
        <w:rPr>
          <w:rStyle w:val="FootnoteReference"/>
        </w:rPr>
        <w:footnoteReference w:id="71"/>
      </w:r>
      <w:r>
        <w:rPr>
          <w:rStyle w:val="FootnoteReference"/>
        </w:rPr>
        <w:footnoteReference w:id="72"/>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Acceder a información que solo existe tras iniciar sesión, sin que las credenciales pasen por la conversación.</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12"/>
        </w:numPr>
        <w:spacing w:after="60" w:line="276"/>
        <w:jc w:val="both"/>
      </w:pPr>
      <w:r>
        <w:rPr>
          <w:rFonts w:ascii="Times New Roman" w:cs="Times New Roman" w:eastAsia="Times New Roman" w:hAnsi="Times New Roman"/>
          <w:color w:val="000000"/>
          <w:sz w:val="23"/>
          <w:szCs w:val="23"/>
        </w:rPr>
        <w:t xml:space="preserve">Para validar una factura, enviar el CUFE y el NIT del emisor o del receptor: la respuesta trae partes, totales e impuestos, tenedor legítimo, validaciones y eventos. Con </w:t>
      </w:r>
      <w:r>
        <w:rPr>
          <w:rFonts w:ascii="Times New Roman" w:cs="Times New Roman" w:eastAsia="Times New Roman" w:hAnsi="Times New Roman"/>
          <w:i/>
          <w:iCs/>
          <w:color w:val="000000"/>
          <w:sz w:val="23"/>
          <w:szCs w:val="23"/>
        </w:rPr>
        <w:t xml:space="preserve">include_pdf</w:t>
      </w:r>
      <w:r>
        <w:rPr>
          <w:rFonts w:ascii="Times New Roman" w:cs="Times New Roman" w:eastAsia="Times New Roman" w:hAnsi="Times New Roman"/>
          <w:color w:val="000000"/>
          <w:sz w:val="23"/>
          <w:szCs w:val="23"/>
        </w:rPr>
        <w:t xml:space="preserve"> se obtiene el PDF oficial; si está protegido, se sugieren en orden el NIT del emisor sin DV, el documento del receptor sin DV y el NIT del receptor con DV. El resultado se reutiliza 24 horas salvo </w:t>
      </w:r>
      <w:r>
        <w:rPr>
          <w:rFonts w:ascii="Times New Roman" w:cs="Times New Roman" w:eastAsia="Times New Roman" w:hAnsi="Times New Roman"/>
          <w:i/>
          <w:iCs/>
          <w:color w:val="000000"/>
          <w:sz w:val="23"/>
          <w:szCs w:val="23"/>
        </w:rPr>
        <w:t xml:space="preserve">cache: false</w:t>
      </w:r>
      <w:r>
        <w:rPr>
          <w:rFonts w:ascii="Times New Roman" w:cs="Times New Roman" w:eastAsia="Times New Roman" w:hAnsi="Times New Roman"/>
          <w:color w:val="000000"/>
          <w:sz w:val="23"/>
          <w:szCs w:val="23"/>
        </w:rPr>
        <w:t xml:space="preserve">.</w:t>
      </w:r>
      <w:r>
        <w:rPr>
          <w:rStyle w:val="FootnoteReference"/>
        </w:rPr>
        <w:footnoteReference w:id="73"/>
      </w:r>
    </w:p>
    <w:p>
      <w:pPr>
        <w:pStyle w:val="ListParagraph"/>
        <w:numPr>
          <w:ilvl w:val="0"/>
          <w:numId w:val="12"/>
        </w:numPr>
        <w:spacing w:after="60" w:line="276"/>
        <w:jc w:val="both"/>
      </w:pPr>
      <w:r>
        <w:rPr>
          <w:rFonts w:ascii="Times New Roman" w:cs="Times New Roman" w:eastAsia="Times New Roman" w:hAnsi="Times New Roman"/>
          <w:color w:val="000000"/>
          <w:sz w:val="23"/>
          <w:szCs w:val="23"/>
        </w:rPr>
        <w:t xml:space="preserve">Para información del titular, verificar si la organización tiene una conexión activa; en la organización de prueba no había ninguna.</w:t>
      </w:r>
      <w:r>
        <w:rPr>
          <w:rStyle w:val="FootnoteReference"/>
        </w:rPr>
        <w:footnoteReference w:id="74"/>
      </w:r>
    </w:p>
    <w:p>
      <w:pPr>
        <w:pStyle w:val="ListParagraph"/>
        <w:numPr>
          <w:ilvl w:val="0"/>
          <w:numId w:val="12"/>
        </w:numPr>
        <w:spacing w:after="60" w:line="276"/>
        <w:jc w:val="both"/>
      </w:pPr>
      <w:r>
        <w:rPr>
          <w:rFonts w:ascii="Times New Roman" w:cs="Times New Roman" w:eastAsia="Times New Roman" w:hAnsi="Times New Roman"/>
          <w:color w:val="000000"/>
          <w:sz w:val="23"/>
          <w:szCs w:val="23"/>
        </w:rPr>
        <w:t xml:space="preserve">Crear la conexión con </w:t>
      </w:r>
      <w:r>
        <w:rPr>
          <w:rFonts w:ascii="Times New Roman" w:cs="Times New Roman" w:eastAsia="Times New Roman" w:hAnsi="Times New Roman"/>
          <w:i/>
          <w:iCs/>
          <w:color w:val="000000"/>
          <w:sz w:val="23"/>
          <w:szCs w:val="23"/>
        </w:rPr>
        <w:t xml:space="preserve">*_connect</w:t>
      </w:r>
      <w:r>
        <w:rPr>
          <w:rFonts w:ascii="Times New Roman" w:cs="Times New Roman" w:eastAsia="Times New Roman" w:hAnsi="Times New Roman"/>
          <w:color w:val="000000"/>
          <w:sz w:val="23"/>
          <w:szCs w:val="23"/>
        </w:rPr>
        <w:t xml:space="preserve">: el titular recibe un enlace seguro y escribe sus credenciales en la consola; Croma las verifica, las cifra y no las devuelve.</w:t>
      </w:r>
    </w:p>
    <w:p>
      <w:pPr>
        <w:pStyle w:val="ListParagraph"/>
        <w:numPr>
          <w:ilvl w:val="0"/>
          <w:numId w:val="12"/>
        </w:numPr>
        <w:spacing w:after="60" w:line="276"/>
        <w:jc w:val="both"/>
      </w:pPr>
      <w:r>
        <w:rPr>
          <w:rFonts w:ascii="Times New Roman" w:cs="Times New Roman" w:eastAsia="Times New Roman" w:hAnsi="Times New Roman"/>
          <w:color w:val="000000"/>
          <w:sz w:val="23"/>
          <w:szCs w:val="23"/>
        </w:rPr>
        <w:t xml:space="preserve">Consultar facturas recibidas (solo persona a nombre propio, desde 2023 hasta el último año cerrado), información exógena (desde 2018), cuentas o movimientos en una ventana de fechas.</w:t>
      </w:r>
    </w:p>
    <w:p>
      <w:pPr>
        <w:pStyle w:val="ListParagraph"/>
        <w:numPr>
          <w:ilvl w:val="0"/>
          <w:numId w:val="12"/>
        </w:numPr>
        <w:spacing w:after="60" w:line="276"/>
        <w:jc w:val="both"/>
      </w:pPr>
      <w:r>
        <w:rPr>
          <w:rFonts w:ascii="Times New Roman" w:cs="Times New Roman" w:eastAsia="Times New Roman" w:hAnsi="Times New Roman"/>
          <w:color w:val="000000"/>
          <w:sz w:val="23"/>
          <w:szCs w:val="23"/>
        </w:rPr>
        <w:t xml:space="preserve">En Bancolombia, usar </w:t>
      </w:r>
      <w:r>
        <w:rPr>
          <w:rFonts w:ascii="Times New Roman" w:cs="Times New Roman" w:eastAsia="Times New Roman" w:hAnsi="Times New Roman"/>
          <w:i/>
          <w:iCs/>
          <w:color w:val="000000"/>
          <w:sz w:val="23"/>
          <w:szCs w:val="23"/>
        </w:rPr>
        <w:t xml:space="preserve">direction</w:t>
      </w:r>
      <w:r>
        <w:rPr>
          <w:rFonts w:ascii="Times New Roman" w:cs="Times New Roman" w:eastAsia="Times New Roman" w:hAnsi="Times New Roman"/>
          <w:color w:val="000000"/>
          <w:sz w:val="23"/>
          <w:szCs w:val="23"/>
        </w:rPr>
        <w:t xml:space="preserve"> para saber si un movimiento entra o sale, porque </w:t>
      </w:r>
      <w:r>
        <w:rPr>
          <w:rFonts w:ascii="Times New Roman" w:cs="Times New Roman" w:eastAsia="Times New Roman" w:hAnsi="Times New Roman"/>
          <w:i/>
          <w:iCs/>
          <w:color w:val="000000"/>
          <w:sz w:val="23"/>
          <w:szCs w:val="23"/>
        </w:rPr>
        <w:t xml:space="preserve">movement_type</w:t>
      </w:r>
      <w:r>
        <w:rPr>
          <w:rFonts w:ascii="Times New Roman" w:cs="Times New Roman" w:eastAsia="Times New Roman" w:hAnsi="Times New Roman"/>
          <w:color w:val="000000"/>
          <w:sz w:val="23"/>
          <w:szCs w:val="23"/>
        </w:rPr>
        <w:t xml:space="preserve"> refleja la vista contable del banco, invertida.</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Si la fuente exige sesión; si existe una conexión activa; si la conexión es utilizable (credenciales vigentes y cupo diario disponible).</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409 connection_required</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422 connection_rejected</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429 connections_exhausted</w:t>
      </w:r>
      <w:r>
        <w:rPr>
          <w:rFonts w:ascii="Times New Roman" w:cs="Times New Roman" w:eastAsia="Times New Roman" w:hAnsi="Times New Roman"/>
          <w:color w:val="000000"/>
          <w:sz w:val="23"/>
          <w:szCs w:val="23"/>
        </w:rPr>
        <w:t xml:space="preserve"> con </w:t>
      </w:r>
      <w:r>
        <w:rPr>
          <w:rFonts w:ascii="Times New Roman" w:cs="Times New Roman" w:eastAsia="Times New Roman" w:hAnsi="Times New Roman"/>
          <w:i/>
          <w:iCs/>
          <w:color w:val="000000"/>
          <w:sz w:val="23"/>
          <w:szCs w:val="23"/>
        </w:rPr>
        <w:t xml:space="preserve">Retry-After</w:t>
      </w:r>
      <w:r>
        <w:rPr>
          <w:rFonts w:ascii="Times New Roman" w:cs="Times New Roman" w:eastAsia="Times New Roman" w:hAnsi="Times New Roman"/>
          <w:color w:val="000000"/>
          <w:sz w:val="23"/>
          <w:szCs w:val="23"/>
        </w:rPr>
        <w:t xml:space="preserve">, y </w:t>
      </w:r>
      <w:r>
        <w:rPr>
          <w:rFonts w:ascii="Times New Roman" w:cs="Times New Roman" w:eastAsia="Times New Roman" w:hAnsi="Times New Roman"/>
          <w:i/>
          <w:iCs/>
          <w:color w:val="000000"/>
          <w:sz w:val="23"/>
          <w:szCs w:val="23"/>
        </w:rPr>
        <w:t xml:space="preserve">409 connection_id_required</w:t>
      </w:r>
      <w:r>
        <w:rPr>
          <w:rFonts w:ascii="Times New Roman" w:cs="Times New Roman" w:eastAsia="Times New Roman" w:hAnsi="Times New Roman"/>
          <w:color w:val="000000"/>
          <w:sz w:val="23"/>
          <w:szCs w:val="23"/>
        </w:rPr>
        <w:t xml:space="preserve"> cuando hay más de una conexión y no se indica cuál.</w:t>
      </w:r>
      <w:r>
        <w:rPr>
          <w:rStyle w:val="FootnoteReference"/>
        </w:rPr>
        <w:footnoteReference w:id="75"/>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La conexión supone que quien registra es el titular o tiene su autorización (</w:t>
      </w:r>
      <w:r>
        <w:rPr>
          <w:rFonts w:ascii="Times New Roman" w:cs="Times New Roman" w:eastAsia="Times New Roman" w:hAnsi="Times New Roman"/>
          <w:i/>
          <w:iCs/>
          <w:color w:val="000000"/>
          <w:sz w:val="23"/>
          <w:szCs w:val="23"/>
        </w:rPr>
        <w:t xml:space="preserve">authorized: true</w:t>
      </w:r>
      <w:r>
        <w:rPr>
          <w:rFonts w:ascii="Times New Roman" w:cs="Times New Roman" w:eastAsia="Times New Roman" w:hAnsi="Times New Roman"/>
          <w:color w:val="000000"/>
          <w:sz w:val="23"/>
          <w:szCs w:val="23"/>
        </w:rPr>
        <w:t xml:space="preserve">); un producto debe acreditarlo. Las consultas son en vivo y nunca se comparten entre organizaciones. El año gravable en curso se rechaza porque la DIAN solo publica años cerrados.</w:t>
      </w:r>
    </w:p>
    <w:p>
      <w:pPr>
        <w:keepNext/>
        <w:spacing w:after="80" w:before="200" w:line="240"/>
        <w:jc w:val="left"/>
      </w:pPr>
      <w:r>
        <w:rPr>
          <w:rFonts w:ascii="Times New Roman" w:cs="Times New Roman" w:eastAsia="Times New Roman" w:hAnsi="Times New Roman"/>
          <w:b/>
          <w:bCs/>
          <w:color w:val="000000"/>
          <w:sz w:val="20"/>
          <w:szCs w:val="20"/>
        </w:rPr>
        <w:t xml:space="preserve">Tabla 22. </w:t>
      </w:r>
      <w:r>
        <w:rPr>
          <w:rFonts w:ascii="Times New Roman" w:cs="Times New Roman" w:eastAsia="Times New Roman" w:hAnsi="Times New Roman"/>
          <w:i/>
          <w:iCs/>
          <w:color w:val="000000"/>
          <w:sz w:val="20"/>
          <w:szCs w:val="20"/>
        </w:rPr>
        <w:t xml:space="preserve">Recursos y remisiones del diagrama D09</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R01</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Llave de organización (Bearer croma_live_… u OAuth MCP)</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api</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Consola de Croma (emitir o rotar llaves)</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R02</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Saldo de créditos del plan (10 vivo · 1 dataset)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Q</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Plan y facturación; 402 al agotarse</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FE, Q</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R05</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Cola de trabajos asíncronos (/jobs, espera ≤55 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compute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J</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GET /jobs/:id o callback_url</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R06</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Caché de resultados recientes (X-Cache: HIT)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BAJA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FE</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Fuente oficial cuando la copia expira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R10</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Identificador del sujeto (NIT, radicado, placa, cédula, CUFE)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FE</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Validación de formato (400 / −32602)</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R11</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Base legal y finalidad (Ley 1581 de 2012)</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humano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Responsable del tratamiento (usuario)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R12</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Conexión cifrada del titular (DIAN, Bancolombia)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 CON, QC</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Consola: </w:t>
            </w:r>
            <w:r>
              <w:rPr>
                <w:rFonts w:ascii="Times New Roman" w:cs="Times New Roman" w:eastAsia="Times New Roman" w:hAnsi="Times New Roman"/>
                <w:b w:val="false"/>
                <w:bCs w:val="false"/>
                <w:i/>
                <w:iCs/>
                <w:color w:val="000000"/>
                <w:sz w:val="17"/>
                <w:szCs w:val="17"/>
              </w:rPr>
              <w:t xml:space="preserve">_connect / </w:t>
            </w:r>
            <w:r>
              <w:rPr>
                <w:rFonts w:ascii="Times New Roman" w:cs="Times New Roman" w:eastAsia="Times New Roman" w:hAnsi="Times New Roman"/>
                <w:b w:val="false"/>
                <w:bCs w:val="false"/>
                <w:color w:val="000000"/>
                <w:sz w:val="17"/>
                <w:szCs w:val="17"/>
              </w:rPr>
              <w:t xml:space="preserve">_delete_connection</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14 nodos, 16 aristas, 4 decisiones, 1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4.9 — Normativa y regulación</w:t>
      </w:r>
    </w:p>
    <w:p>
      <w:pPr>
        <w:keepNext/>
        <w:spacing w:after="80" w:before="60" w:line="240"/>
        <w:jc w:val="left"/>
      </w:pPr>
      <w:r>
        <w:rPr>
          <w:rFonts w:ascii="Times New Roman" w:cs="Times New Roman" w:eastAsia="Times New Roman" w:hAnsi="Times New Roman"/>
          <w:b/>
          <w:bCs/>
          <w:color w:val="000000"/>
          <w:sz w:val="20"/>
          <w:szCs w:val="20"/>
        </w:rPr>
        <w:t xml:space="preserve">Figura 11. </w:t>
      </w:r>
      <w:r>
        <w:rPr>
          <w:rFonts w:ascii="Times New Roman" w:cs="Times New Roman" w:eastAsia="Times New Roman" w:hAnsi="Times New Roman"/>
          <w:i/>
          <w:iCs/>
          <w:color w:val="000000"/>
          <w:sz w:val="20"/>
          <w:szCs w:val="20"/>
        </w:rPr>
        <w:t xml:space="preserve">Normativa y regulación (D10)</w:t>
      </w:r>
    </w:p>
    <w:p>
      <w:pPr>
        <w:keepNext/>
        <w:spacing w:after="60"/>
        <w:jc w:val="center"/>
      </w:pPr>
      <w:r>
        <w:drawing>
          <wp:inline distT="0" distB="0" distL="0" distR="0">
            <wp:extent cx="4572000" cy="6905625"/>
            <wp:effectExtent t="0" r="0" b="0" l="0"/>
            <wp:docPr id="1" name="D10" descr="Diagrama D10: Normativa y regulación (D10)" title="Normativa y regulación (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extLst>
                        <a:ext uri="{96DAC541-7B7A-43D3-8B79-37D633B846F1}">
                          <asvg:svgBlip xmlns:asvg="http://schemas.microsoft.com/office/drawing/2016/SVG/main" r:embed="rId29"/>
                        </a:ext>
                      </a:extLst>
                    </a:blip>
                    <a:srcRect/>
                    <a:stretch>
                      <a:fillRect/>
                    </a:stretch>
                  </pic:blipFill>
                  <pic:spPr bwMode="auto">
                    <a:xfrm>
                      <a:off x="0" y="0"/>
                      <a:ext cx="4572000" cy="690562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Agent Skill (Función Pública, Imprenta Nacional, Superfinanciera, CREG, DIAN doctrina, SIC normativa) y pruebas T18 a T20, T35, T38 y T40.</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La normativa colombiana se reparte en siete corpus: el Gestor Normativo de Función Pública (normas desde 1620), la Gaceta del Congreso desde 2000 y el Diario Oficial desde 1939 (Imprenta Nacional), la normativa de la Superfinanciera desde 2005 y su doctrina desde 1994, los actos de la CREG desde 1994, la doctrina de la DIAN (en vivo) y el registro normativo y el Boletín Jurídico de la SIC.</w:t>
      </w:r>
      <w:r>
        <w:rPr>
          <w:rStyle w:val="FootnoteReference"/>
        </w:rPr>
        <w:footnoteReference w:id="76"/>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Localizar la norma correcta, leerla completa y reconstruir sus modificaciones. Es la base de la vigilancia regulatoria por sector.</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13"/>
        </w:numPr>
        <w:spacing w:after="60" w:line="276"/>
        <w:jc w:val="both"/>
      </w:pPr>
      <w:r>
        <w:rPr>
          <w:rFonts w:ascii="Times New Roman" w:cs="Times New Roman" w:eastAsia="Times New Roman" w:hAnsi="Times New Roman"/>
          <w:color w:val="000000"/>
          <w:sz w:val="23"/>
          <w:szCs w:val="23"/>
        </w:rPr>
        <w:t xml:space="preserve">Elegir el corpus por la naturaleza de la norma: administrativa, legislativa, Diario Oficial, financiera, energética, tributaria o de industria y comercio.</w:t>
      </w:r>
    </w:p>
    <w:p>
      <w:pPr>
        <w:pStyle w:val="ListParagraph"/>
        <w:numPr>
          <w:ilvl w:val="0"/>
          <w:numId w:val="13"/>
        </w:numPr>
        <w:spacing w:after="60" w:line="276"/>
        <w:jc w:val="both"/>
      </w:pPr>
      <w:r>
        <w:rPr>
          <w:rFonts w:ascii="Times New Roman" w:cs="Times New Roman" w:eastAsia="Times New Roman" w:hAnsi="Times New Roman"/>
          <w:color w:val="000000"/>
          <w:sz w:val="23"/>
          <w:szCs w:val="23"/>
        </w:rPr>
        <w:t xml:space="preserve">Acotar con número exacto (con o sin ceros a la izquierda), tipo, año, entidad, boletín o fechas de expedición.</w:t>
      </w:r>
      <w:r>
        <w:rPr>
          <w:rStyle w:val="FootnoteReference"/>
        </w:rPr>
        <w:footnoteReference w:id="77"/>
      </w:r>
    </w:p>
    <w:p>
      <w:pPr>
        <w:pStyle w:val="ListParagraph"/>
        <w:numPr>
          <w:ilvl w:val="0"/>
          <w:numId w:val="13"/>
        </w:numPr>
        <w:spacing w:after="60" w:line="276"/>
        <w:jc w:val="both"/>
      </w:pPr>
      <w:r>
        <w:rPr>
          <w:rFonts w:ascii="Times New Roman" w:cs="Times New Roman" w:eastAsia="Times New Roman" w:hAnsi="Times New Roman"/>
          <w:color w:val="000000"/>
          <w:sz w:val="23"/>
          <w:szCs w:val="23"/>
        </w:rPr>
        <w:t xml:space="preserve">Si la respuesta está topada (</w:t>
      </w:r>
      <w:r>
        <w:rPr>
          <w:rFonts w:ascii="Times New Roman" w:cs="Times New Roman" w:eastAsia="Times New Roman" w:hAnsi="Times New Roman"/>
          <w:i/>
          <w:iCs/>
          <w:color w:val="000000"/>
          <w:sz w:val="23"/>
          <w:szCs w:val="23"/>
        </w:rPr>
        <w:t xml:space="preserve">capped</w:t>
      </w:r>
      <w:r>
        <w:rPr>
          <w:rFonts w:ascii="Times New Roman" w:cs="Times New Roman" w:eastAsia="Times New Roman" w:hAnsi="Times New Roman"/>
          <w:color w:val="000000"/>
          <w:sz w:val="23"/>
          <w:szCs w:val="23"/>
        </w:rPr>
        <w:t xml:space="preserve">) o el total es excesivo, afinar la consulta antes de leer.</w:t>
      </w:r>
    </w:p>
    <w:p>
      <w:pPr>
        <w:pStyle w:val="ListParagraph"/>
        <w:numPr>
          <w:ilvl w:val="0"/>
          <w:numId w:val="13"/>
        </w:numPr>
        <w:spacing w:after="60" w:line="276"/>
        <w:jc w:val="both"/>
      </w:pPr>
      <w:r>
        <w:rPr>
          <w:rFonts w:ascii="Times New Roman" w:cs="Times New Roman" w:eastAsia="Times New Roman" w:hAnsi="Times New Roman"/>
          <w:color w:val="000000"/>
          <w:sz w:val="23"/>
          <w:szCs w:val="23"/>
        </w:rPr>
        <w:t xml:space="preserve">Leer el texto por rangos; algunas normas compiladas superan el millón de caracteres.</w:t>
      </w:r>
    </w:p>
    <w:p>
      <w:pPr>
        <w:pStyle w:val="ListParagraph"/>
        <w:numPr>
          <w:ilvl w:val="0"/>
          <w:numId w:val="13"/>
        </w:numPr>
        <w:spacing w:after="60" w:line="276"/>
        <w:jc w:val="both"/>
      </w:pPr>
      <w:r>
        <w:rPr>
          <w:rFonts w:ascii="Times New Roman" w:cs="Times New Roman" w:eastAsia="Times New Roman" w:hAnsi="Times New Roman"/>
          <w:color w:val="000000"/>
          <w:sz w:val="23"/>
          <w:szCs w:val="23"/>
        </w:rPr>
        <w:t xml:space="preserve">Reconstruir el grafo normativo con las modificaciones que el registro enlaza por identificador.</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El tipo de norma determina el corpus; el tamaño del resultado determina si hay que afinar; la necesidad de texto íntegro determina la lectura por rangos.</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Coincidencias excesivas o topadas exigen afinar la consulta. La doctrina de la DIAN es en vivo y señala con </w:t>
      </w:r>
      <w:r>
        <w:rPr>
          <w:rFonts w:ascii="Times New Roman" w:cs="Times New Roman" w:eastAsia="Times New Roman" w:hAnsi="Times New Roman"/>
          <w:i/>
          <w:iCs/>
          <w:color w:val="000000"/>
          <w:sz w:val="23"/>
          <w:szCs w:val="23"/>
        </w:rPr>
        <w:t xml:space="preserve">capped: true</w:t>
      </w:r>
      <w:r>
        <w:rPr>
          <w:rFonts w:ascii="Times New Roman" w:cs="Times New Roman" w:eastAsia="Times New Roman" w:hAnsi="Times New Roman"/>
          <w:color w:val="000000"/>
          <w:sz w:val="23"/>
          <w:szCs w:val="23"/>
        </w:rPr>
        <w:t xml:space="preserve"> cuando la fuente devuelve más coincidencias de las recuperables.</w:t>
      </w:r>
      <w:r>
        <w:rPr>
          <w:rStyle w:val="FootnoteReference"/>
        </w:rPr>
        <w:footnoteReference w:id="78"/>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El texto libre coincide de forma amplia y ordena por fecha: «comunidades energéticas» devolvió 574 resoluciones de la CREG y una búsqueda sobre inteligencia artificial en la Gaceta del Congreso empezó por el presupuesto de regalías.</w:t>
      </w:r>
      <w:r>
        <w:rPr>
          <w:rStyle w:val="FootnoteReference"/>
        </w:rPr>
        <w:footnoteReference w:id="79"/>
      </w:r>
      <w:r>
        <w:rPr>
          <w:rFonts w:ascii="Times New Roman" w:cs="Times New Roman" w:eastAsia="Times New Roman" w:hAnsi="Times New Roman"/>
          <w:color w:val="000000"/>
          <w:sz w:val="23"/>
          <w:szCs w:val="23"/>
        </w:rPr>
        <w:t xml:space="preserve"> En la Superfinanciera algunas descripciones conservan entidades HTML sin decodificar.</w:t>
      </w:r>
      <w:r>
        <w:rPr>
          <w:rStyle w:val="FootnoteReference"/>
        </w:rPr>
        <w:footnoteReference w:id="80"/>
      </w:r>
    </w:p>
    <w:p>
      <w:pPr>
        <w:keepNext/>
        <w:spacing w:after="80" w:before="200" w:line="240"/>
        <w:jc w:val="left"/>
      </w:pPr>
      <w:r>
        <w:rPr>
          <w:rFonts w:ascii="Times New Roman" w:cs="Times New Roman" w:eastAsia="Times New Roman" w:hAnsi="Times New Roman"/>
          <w:b/>
          <w:bCs/>
          <w:color w:val="000000"/>
          <w:sz w:val="20"/>
          <w:szCs w:val="20"/>
        </w:rPr>
        <w:t xml:space="preserve">Tabla 23. </w:t>
      </w:r>
      <w:r>
        <w:rPr>
          <w:rFonts w:ascii="Times New Roman" w:cs="Times New Roman" w:eastAsia="Times New Roman" w:hAnsi="Times New Roman"/>
          <w:i/>
          <w:iCs/>
          <w:color w:val="000000"/>
          <w:sz w:val="20"/>
          <w:szCs w:val="20"/>
        </w:rPr>
        <w:t xml:space="preserve">Recursos y remisiones del diagrama D10</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FP, IM, DO, SF, CR, SC</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DI</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R08</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documental en blob de Croma (PDF, DOCX, XLSX)</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CR, SC</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source_document_url de la entidad</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Agente o cliente MCP (Claude, ChatGPT, Cursor)</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modelo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Herramientas MCP del catálogo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Texto largo paginado (offset, limit, next_offset)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PG</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Siguiente rango con next_offset</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16 nodos, 23 aristas, 3 decisiones, 1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4.10 — Superintendencia de Industria y Comercio</w:t>
      </w:r>
    </w:p>
    <w:p>
      <w:pPr>
        <w:keepNext/>
        <w:spacing w:after="80" w:before="60" w:line="240"/>
        <w:jc w:val="left"/>
      </w:pPr>
      <w:r>
        <w:rPr>
          <w:rFonts w:ascii="Times New Roman" w:cs="Times New Roman" w:eastAsia="Times New Roman" w:hAnsi="Times New Roman"/>
          <w:b/>
          <w:bCs/>
          <w:color w:val="000000"/>
          <w:sz w:val="20"/>
          <w:szCs w:val="20"/>
        </w:rPr>
        <w:t xml:space="preserve">Figura 12. </w:t>
      </w:r>
      <w:r>
        <w:rPr>
          <w:rFonts w:ascii="Times New Roman" w:cs="Times New Roman" w:eastAsia="Times New Roman" w:hAnsi="Times New Roman"/>
          <w:i/>
          <w:iCs/>
          <w:color w:val="000000"/>
          <w:sz w:val="20"/>
          <w:szCs w:val="20"/>
        </w:rPr>
        <w:t xml:space="preserve">Superintendencia de Industria y Comercio (D11)</w:t>
      </w:r>
    </w:p>
    <w:p>
      <w:pPr>
        <w:keepNext/>
        <w:spacing w:after="60"/>
        <w:jc w:val="center"/>
      </w:pPr>
      <w:r>
        <w:drawing>
          <wp:inline distT="0" distB="0" distL="0" distR="0">
            <wp:extent cx="5895975" cy="5943600"/>
            <wp:effectExtent t="0" r="0" b="0" l="0"/>
            <wp:docPr id="1" name="D11" descr="Diagrama D11: Superintendencia de Industria y Comercio (D11)" title="Superintendencia de Industria y Comercio (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extLst>
                        <a:ext uri="{96DAC541-7B7A-43D3-8B79-37D633B846F1}">
                          <asvg:svgBlip xmlns:asvg="http://schemas.microsoft.com/office/drawing/2016/SVG/main" r:embed="rId31"/>
                        </a:ext>
                      </a:extLst>
                    </a:blip>
                    <a:srcRect/>
                    <a:stretch>
                      <a:fillRect/>
                    </a:stretch>
                  </pic:blipFill>
                  <pic:spPr bwMode="auto">
                    <a:xfrm>
                      <a:off x="0" y="0"/>
                      <a:ext cx="5895975" cy="5943600"/>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Agent Skill (SIC) y pruebas T41 a T43 y T56.</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La SIC suma quince endpoints: el registro de propiedad industrial (unos 900.000 casos de marcas desde 1930, patentes y diseños), la Gaceta de Propiedad Industrial desde 2016, las multas en firme de protección al consumidor desde 2013 (unas 4.000), los actos administrativos y sentencias desde 2014 (unas 144.000 resoluciones y 136.000 sentencias) y el seguimiento de un radicado como parte.</w:t>
      </w:r>
      <w:r>
        <w:rPr>
          <w:rStyle w:val="FootnoteReference"/>
        </w:rPr>
        <w:footnoteReference w:id="81"/>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Cubrir propiedad industrial, protección al consumidor y seguimiento de radicados ante la SIC.</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14"/>
        </w:numPr>
        <w:spacing w:after="60" w:line="276"/>
        <w:jc w:val="both"/>
      </w:pPr>
      <w:r>
        <w:rPr>
          <w:rFonts w:ascii="Times New Roman" w:cs="Times New Roman" w:eastAsia="Times New Roman" w:hAnsi="Times New Roman"/>
          <w:color w:val="000000"/>
          <w:sz w:val="23"/>
          <w:szCs w:val="23"/>
        </w:rPr>
        <w:t xml:space="preserve">Para marcas, patentes o diseños, buscar en el dataset por signo, titular, clase de Niza, estado o fechas y leer el caso completo con su historial procesal y documentos.</w:t>
      </w:r>
      <w:r>
        <w:rPr>
          <w:rStyle w:val="FootnoteReference"/>
        </w:rPr>
        <w:footnoteReference w:id="82"/>
      </w:r>
    </w:p>
    <w:p>
      <w:pPr>
        <w:pStyle w:val="ListParagraph"/>
        <w:numPr>
          <w:ilvl w:val="0"/>
          <w:numId w:val="14"/>
        </w:numPr>
        <w:spacing w:after="60" w:line="276"/>
        <w:jc w:val="both"/>
      </w:pPr>
      <w:r>
        <w:rPr>
          <w:rFonts w:ascii="Times New Roman" w:cs="Times New Roman" w:eastAsia="Times New Roman" w:hAnsi="Times New Roman"/>
          <w:color w:val="000000"/>
          <w:sz w:val="23"/>
          <w:szCs w:val="23"/>
        </w:rPr>
        <w:t xml:space="preserve">Para el portafolio de un titular, consultar por NIT o cédula (con o sin DV); es una consulta en vivo que puede tardar hasta un minuto.</w:t>
      </w:r>
      <w:r>
        <w:rPr>
          <w:rStyle w:val="FootnoteReference"/>
        </w:rPr>
        <w:footnoteReference w:id="83"/>
      </w:r>
    </w:p>
    <w:p>
      <w:pPr>
        <w:pStyle w:val="ListParagraph"/>
        <w:numPr>
          <w:ilvl w:val="0"/>
          <w:numId w:val="14"/>
        </w:numPr>
        <w:spacing w:after="60" w:line="276"/>
        <w:jc w:val="both"/>
      </w:pPr>
      <w:r>
        <w:rPr>
          <w:rFonts w:ascii="Times New Roman" w:cs="Times New Roman" w:eastAsia="Times New Roman" w:hAnsi="Times New Roman"/>
          <w:color w:val="000000"/>
          <w:sz w:val="23"/>
          <w:szCs w:val="23"/>
        </w:rPr>
        <w:t xml:space="preserve">Para vigilancia de oposiciones, consultar la Gaceta por clase, sección, estado y fechas de publicación.</w:t>
      </w:r>
    </w:p>
    <w:p>
      <w:pPr>
        <w:pStyle w:val="ListParagraph"/>
        <w:numPr>
          <w:ilvl w:val="0"/>
          <w:numId w:val="14"/>
        </w:numPr>
        <w:spacing w:after="60" w:line="276"/>
        <w:jc w:val="both"/>
      </w:pPr>
      <w:r>
        <w:rPr>
          <w:rFonts w:ascii="Times New Roman" w:cs="Times New Roman" w:eastAsia="Times New Roman" w:hAnsi="Times New Roman"/>
          <w:color w:val="000000"/>
          <w:sz w:val="23"/>
          <w:szCs w:val="23"/>
        </w:rPr>
        <w:t xml:space="preserve">Para cumplimiento, consultar las multas de protección al consumidor por parte, sector o resolución, y los actos y sentencias por documento de cualquier parte.</w:t>
      </w:r>
      <w:r>
        <w:rPr>
          <w:rStyle w:val="FootnoteReference"/>
        </w:rPr>
        <w:footnoteReference w:id="84"/>
      </w:r>
    </w:p>
    <w:p>
      <w:pPr>
        <w:pStyle w:val="ListParagraph"/>
        <w:numPr>
          <w:ilvl w:val="0"/>
          <w:numId w:val="14"/>
        </w:numPr>
        <w:spacing w:after="60" w:line="276"/>
        <w:jc w:val="both"/>
      </w:pPr>
      <w:r>
        <w:rPr>
          <w:rFonts w:ascii="Times New Roman" w:cs="Times New Roman" w:eastAsia="Times New Roman" w:hAnsi="Times New Roman"/>
          <w:color w:val="000000"/>
          <w:sz w:val="23"/>
          <w:szCs w:val="23"/>
        </w:rPr>
        <w:t xml:space="preserve">Para un trámite propio, consultar el radicado con el documento de una de sus partes; con </w:t>
      </w:r>
      <w:r>
        <w:rPr>
          <w:rFonts w:ascii="Times New Roman" w:cs="Times New Roman" w:eastAsia="Times New Roman" w:hAnsi="Times New Roman"/>
          <w:i/>
          <w:iCs/>
          <w:color w:val="000000"/>
          <w:sz w:val="23"/>
          <w:szCs w:val="23"/>
        </w:rPr>
        <w:t xml:space="preserve">include_documents</w:t>
      </w:r>
      <w:r>
        <w:rPr>
          <w:rFonts w:ascii="Times New Roman" w:cs="Times New Roman" w:eastAsia="Times New Roman" w:hAnsi="Times New Roman"/>
          <w:color w:val="000000"/>
          <w:sz w:val="23"/>
          <w:szCs w:val="23"/>
        </w:rPr>
        <w:t xml:space="preserve"> se obtienen copias idénticas de cada documento, lo que puede tardar minutos.</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La necesidad determina la herramienta; en los actos, la cantidad de resultados determina si hay que simplificar la consulta; en el trámite, la calidad de parte determina el acceso.</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Una consulta de varias palabras puede exigir todas y devolver cero: «habeas data datos personales multa» no devolvió nada, mientras «datos personales» devolvió 306 actos.</w:t>
      </w:r>
      <w:r>
        <w:rPr>
          <w:rStyle w:val="FootnoteReference"/>
        </w:rPr>
        <w:footnoteReference w:id="85"/>
      </w:r>
      <w:r>
        <w:rPr>
          <w:rFonts w:ascii="Times New Roman" w:cs="Times New Roman" w:eastAsia="Times New Roman" w:hAnsi="Times New Roman"/>
          <w:color w:val="000000"/>
          <w:sz w:val="23"/>
          <w:szCs w:val="23"/>
        </w:rPr>
        <w:t xml:space="preserve"> En SIC Trámites, </w:t>
      </w:r>
      <w:r>
        <w:rPr>
          <w:rFonts w:ascii="Times New Roman" w:cs="Times New Roman" w:eastAsia="Times New Roman" w:hAnsi="Times New Roman"/>
          <w:i/>
          <w:iCs/>
          <w:color w:val="000000"/>
          <w:sz w:val="23"/>
          <w:szCs w:val="23"/>
        </w:rPr>
        <w:t xml:space="preserve">found: false</w:t>
      </w:r>
      <w:r>
        <w:rPr>
          <w:rFonts w:ascii="Times New Roman" w:cs="Times New Roman" w:eastAsia="Times New Roman" w:hAnsi="Times New Roman"/>
          <w:color w:val="000000"/>
          <w:sz w:val="23"/>
          <w:szCs w:val="23"/>
        </w:rPr>
        <w:t xml:space="preserve"> no distingue un radicado inexistente de un documento que no es parte.</w:t>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La coincidencia en texto completo arrastra resultados laterales (sentencias de consumo que mencionan «datos personales»). Las multas publicadas son las que quedaron en firme, por lo que hay un rezago natural frente a la decisión.</w:t>
      </w:r>
    </w:p>
    <w:p>
      <w:pPr>
        <w:keepNext/>
        <w:spacing w:after="80" w:before="200" w:line="240"/>
        <w:jc w:val="left"/>
      </w:pPr>
      <w:r>
        <w:rPr>
          <w:rFonts w:ascii="Times New Roman" w:cs="Times New Roman" w:eastAsia="Times New Roman" w:hAnsi="Times New Roman"/>
          <w:b/>
          <w:bCs/>
          <w:color w:val="000000"/>
          <w:sz w:val="20"/>
          <w:szCs w:val="20"/>
        </w:rPr>
        <w:t xml:space="preserve">Tabla 24. </w:t>
      </w:r>
      <w:r>
        <w:rPr>
          <w:rFonts w:ascii="Times New Roman" w:cs="Times New Roman" w:eastAsia="Times New Roman" w:hAnsi="Times New Roman"/>
          <w:i/>
          <w:iCs/>
          <w:color w:val="000000"/>
          <w:sz w:val="20"/>
          <w:szCs w:val="20"/>
        </w:rPr>
        <w:t xml:space="preserve">Recursos y remisiones del diagrama D11</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PI, GZ, SA, AC</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 TR</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R05</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Cola de trabajos asíncronos (/jobs, espera ≤55 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compute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TR</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GET /jobs/:id o callback_url</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R07</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Almacén de lookups (served_from copy/upstream/stale)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PI</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Fuente oficial al vencer la ventana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R08</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documental en blob de Croma (PDF, DOCX, XLSX)</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GZ, AC, DOCS</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source_document_url de la entidad</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R10</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Identificador del sujeto (NIT, radicado, placa, cédula, CUFE)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 TR</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Validación de formato (400 / −32602)</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16 nodos, 21 aristas, 3 decisiones, 2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4.11 — Catastro nacional del IGAC</w:t>
      </w:r>
    </w:p>
    <w:p>
      <w:pPr>
        <w:keepNext/>
        <w:spacing w:after="80" w:before="60" w:line="240"/>
        <w:jc w:val="left"/>
      </w:pPr>
      <w:r>
        <w:rPr>
          <w:rFonts w:ascii="Times New Roman" w:cs="Times New Roman" w:eastAsia="Times New Roman" w:hAnsi="Times New Roman"/>
          <w:b/>
          <w:bCs/>
          <w:color w:val="000000"/>
          <w:sz w:val="20"/>
          <w:szCs w:val="20"/>
        </w:rPr>
        <w:t xml:space="preserve">Figura 13. </w:t>
      </w:r>
      <w:r>
        <w:rPr>
          <w:rFonts w:ascii="Times New Roman" w:cs="Times New Roman" w:eastAsia="Times New Roman" w:hAnsi="Times New Roman"/>
          <w:i/>
          <w:iCs/>
          <w:color w:val="000000"/>
          <w:sz w:val="20"/>
          <w:szCs w:val="20"/>
        </w:rPr>
        <w:t xml:space="preserve">Catastro nacional del IGAC (D12)</w:t>
      </w:r>
    </w:p>
    <w:p>
      <w:pPr>
        <w:keepNext/>
        <w:spacing w:after="60"/>
        <w:jc w:val="center"/>
      </w:pPr>
      <w:r>
        <w:drawing>
          <wp:inline distT="0" distB="0" distL="0" distR="0">
            <wp:extent cx="5334000" cy="6905625"/>
            <wp:effectExtent t="0" r="0" b="0" l="0"/>
            <wp:docPr id="1" name="D12" descr="Diagrama D12: Catastro nacional del IGAC (D12)" title="Catastro nacional del IGAC (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extLst>
                        <a:ext uri="{96DAC541-7B7A-43D3-8B79-37D633B846F1}">
                          <asvg:svgBlip xmlns:asvg="http://schemas.microsoft.com/office/drawing/2016/SVG/main" r:embed="rId33"/>
                        </a:ext>
                      </a:extLst>
                    </a:blip>
                    <a:srcRect/>
                    <a:stretch>
                      <a:fillRect/>
                    </a:stretch>
                  </pic:blipFill>
                  <pic:spPr bwMode="auto">
                    <a:xfrm>
                      <a:off x="0" y="0"/>
                      <a:ext cx="5334000" cy="690562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Agent Skill (IGAC) y pruebas T29 a T31, T33 y T34.</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El IGAC aporta quince endpoints sobre el catastro de los 842 municipios que administra (unos 6,8 millones de predios): predios, terrenos, construcciones, manzanas, veredas, sectores, zonas homogéneas físicas y geoeconómicas, nomenclatura y estadísticas municipales. Bogotá, Medellín, Cali, Barranquilla y Antioquia tienen gestor catastral propio y no están en esta fuente.</w:t>
      </w:r>
      <w:r>
        <w:rPr>
          <w:rStyle w:val="FootnoteReference"/>
        </w:rPr>
        <w:footnoteReference w:id="86"/>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Obtener el avalúo y la geometría de un predio y entender el valor del suelo que lo rodea.</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15"/>
        </w:numPr>
        <w:spacing w:after="60" w:line="276"/>
        <w:jc w:val="both"/>
      </w:pPr>
      <w:r>
        <w:rPr>
          <w:rFonts w:ascii="Times New Roman" w:cs="Times New Roman" w:eastAsia="Times New Roman" w:hAnsi="Times New Roman"/>
          <w:color w:val="000000"/>
          <w:sz w:val="23"/>
          <w:szCs w:val="23"/>
        </w:rPr>
        <w:t xml:space="preserve">Confirmar quién administra el catastro del municipio.</w:t>
      </w:r>
      <w:r>
        <w:rPr>
          <w:rStyle w:val="FootnoteReference"/>
        </w:rPr>
        <w:footnoteReference w:id="87"/>
      </w:r>
    </w:p>
    <w:p>
      <w:pPr>
        <w:pStyle w:val="ListParagraph"/>
        <w:numPr>
          <w:ilvl w:val="0"/>
          <w:numId w:val="15"/>
        </w:numPr>
        <w:spacing w:after="60" w:line="276"/>
        <w:jc w:val="both"/>
      </w:pPr>
      <w:r>
        <w:rPr>
          <w:rFonts w:ascii="Times New Roman" w:cs="Times New Roman" w:eastAsia="Times New Roman" w:hAnsi="Times New Roman"/>
          <w:color w:val="000000"/>
          <w:sz w:val="23"/>
          <w:szCs w:val="23"/>
        </w:rPr>
        <w:t xml:space="preserve">Elegir la entrada: coordenadas, municipio, manzana o dirección, o número predial de 30 dígitos.</w:t>
      </w:r>
    </w:p>
    <w:p>
      <w:pPr>
        <w:pStyle w:val="ListParagraph"/>
        <w:numPr>
          <w:ilvl w:val="0"/>
          <w:numId w:val="15"/>
        </w:numPr>
        <w:spacing w:after="60" w:line="276"/>
        <w:jc w:val="both"/>
      </w:pPr>
      <w:r>
        <w:rPr>
          <w:rFonts w:ascii="Times New Roman" w:cs="Times New Roman" w:eastAsia="Times New Roman" w:hAnsi="Times New Roman"/>
          <w:color w:val="000000"/>
          <w:sz w:val="23"/>
          <w:szCs w:val="23"/>
        </w:rPr>
        <w:t xml:space="preserve">Leer el predio: avalúo catastral vigente, áreas, destino económico, construcciones y polígono. Es un lookup: la primera consulta lee el IGAC y las siguientes, durante 30 días, responden desde la copia.</w:t>
      </w:r>
      <w:r>
        <w:rPr>
          <w:rStyle w:val="FootnoteReference"/>
        </w:rPr>
        <w:footnoteReference w:id="88"/>
      </w:r>
    </w:p>
    <w:p>
      <w:pPr>
        <w:pStyle w:val="ListParagraph"/>
        <w:numPr>
          <w:ilvl w:val="0"/>
          <w:numId w:val="15"/>
        </w:numPr>
        <w:spacing w:after="60" w:line="276"/>
        <w:jc w:val="both"/>
      </w:pPr>
      <w:r>
        <w:rPr>
          <w:rFonts w:ascii="Times New Roman" w:cs="Times New Roman" w:eastAsia="Times New Roman" w:hAnsi="Times New Roman"/>
          <w:color w:val="000000"/>
          <w:sz w:val="23"/>
          <w:szCs w:val="23"/>
        </w:rPr>
        <w:t xml:space="preserve">Agregar contexto: valor del suelo por zona geoeconómica, características de la zona física, construcciones, placas y terreno.</w:t>
      </w:r>
    </w:p>
    <w:p>
      <w:pPr>
        <w:pStyle w:val="ListParagraph"/>
        <w:numPr>
          <w:ilvl w:val="0"/>
          <w:numId w:val="15"/>
        </w:numPr>
        <w:spacing w:after="60" w:line="276"/>
        <w:jc w:val="both"/>
      </w:pPr>
      <w:r>
        <w:rPr>
          <w:rFonts w:ascii="Times New Roman" w:cs="Times New Roman" w:eastAsia="Times New Roman" w:hAnsi="Times New Roman"/>
          <w:color w:val="000000"/>
          <w:sz w:val="23"/>
          <w:szCs w:val="23"/>
        </w:rPr>
        <w:t xml:space="preserve">Cerrar con las estadísticas municipales: avalúo total, número de predios y estado de actualización catastral.</w:t>
      </w:r>
      <w:r>
        <w:rPr>
          <w:rStyle w:val="FootnoteReference"/>
        </w:rPr>
        <w:footnoteReference w:id="89"/>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Si el municipio está en el catastro del IGAC; qué dato de entrada se tiene; si bajo el punto existe un predio.</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Un punto en espacio público devuelve </w:t>
      </w:r>
      <w:r>
        <w:rPr>
          <w:rFonts w:ascii="Times New Roman" w:cs="Times New Roman" w:eastAsia="Times New Roman" w:hAnsi="Times New Roman"/>
          <w:i/>
          <w:iCs/>
          <w:color w:val="000000"/>
          <w:sz w:val="23"/>
          <w:szCs w:val="23"/>
        </w:rPr>
        <w:t xml:space="preserve">found: false</w:t>
      </w:r>
      <w:r>
        <w:rPr>
          <w:rFonts w:ascii="Times New Roman" w:cs="Times New Roman" w:eastAsia="Times New Roman" w:hAnsi="Times New Roman"/>
          <w:color w:val="000000"/>
          <w:sz w:val="23"/>
          <w:szCs w:val="23"/>
        </w:rPr>
        <w:t xml:space="preserve">.</w:t>
      </w:r>
      <w:r>
        <w:rPr>
          <w:rStyle w:val="FootnoteReference"/>
        </w:rPr>
        <w:footnoteReference w:id="90"/>
      </w:r>
      <w:r>
        <w:rPr>
          <w:rFonts w:ascii="Times New Roman" w:cs="Times New Roman" w:eastAsia="Times New Roman" w:hAnsi="Times New Roman"/>
          <w:color w:val="000000"/>
          <w:sz w:val="23"/>
          <w:szCs w:val="23"/>
        </w:rPr>
        <w:t xml:space="preserve"> Un número predial de un territorio con gestor propio también devuelve </w:t>
      </w:r>
      <w:r>
        <w:rPr>
          <w:rFonts w:ascii="Times New Roman" w:cs="Times New Roman" w:eastAsia="Times New Roman" w:hAnsi="Times New Roman"/>
          <w:i/>
          <w:iCs/>
          <w:color w:val="000000"/>
          <w:sz w:val="23"/>
          <w:szCs w:val="23"/>
        </w:rPr>
        <w:t xml:space="preserve">found: false</w:t>
      </w:r>
      <w:r>
        <w:rPr>
          <w:rFonts w:ascii="Times New Roman" w:cs="Times New Roman" w:eastAsia="Times New Roman" w:hAnsi="Times New Roman"/>
          <w:color w:val="000000"/>
          <w:sz w:val="23"/>
          <w:szCs w:val="23"/>
        </w:rPr>
        <w:t xml:space="preserve">.</w:t>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El avalúo catastral no equivale al valor comercial y, en municipios con catastro desactualizado, puede alejarse mucho de él. La fuente no informa propietarios, lo que reduce el riesgo de datos personales.</w:t>
      </w:r>
    </w:p>
    <w:p>
      <w:pPr>
        <w:keepNext/>
        <w:spacing w:after="80" w:before="200" w:line="240"/>
        <w:jc w:val="left"/>
      </w:pPr>
      <w:r>
        <w:rPr>
          <w:rFonts w:ascii="Times New Roman" w:cs="Times New Roman" w:eastAsia="Times New Roman" w:hAnsi="Times New Roman"/>
          <w:b/>
          <w:bCs/>
          <w:color w:val="000000"/>
          <w:sz w:val="20"/>
          <w:szCs w:val="20"/>
        </w:rPr>
        <w:t xml:space="preserve">Tabla 25. </w:t>
      </w:r>
      <w:r>
        <w:rPr>
          <w:rFonts w:ascii="Times New Roman" w:cs="Times New Roman" w:eastAsia="Times New Roman" w:hAnsi="Times New Roman"/>
          <w:i/>
          <w:iCs/>
          <w:color w:val="000000"/>
          <w:sz w:val="20"/>
          <w:szCs w:val="20"/>
        </w:rPr>
        <w:t xml:space="preserve">Recursos y remisiones del diagrama D12</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PS, ZN, ST</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PR</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R07</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Almacén de lookups (served_from copy/upstream/stale)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PT, PR</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Fuente oficial al vencer la ventana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R10</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Identificador del sujeto (NIT, radicado, placa, cédula, CUFE)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Validación de formato (400 / −32602)</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R18</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Códigos DIVIPOLA / DANE (2 o 5 dígitos)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BAJA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D1, PS</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Codificación DIVIPOLA del DANE</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14 nodos, 16 aristas, 3 decisiones, 1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4.12 — Estadística oficial: DANE, Banco de la República, DNP, ICFES y MinEducación</w:t>
      </w:r>
    </w:p>
    <w:p>
      <w:pPr>
        <w:keepNext/>
        <w:spacing w:after="80" w:before="60" w:line="240"/>
        <w:jc w:val="left"/>
      </w:pPr>
      <w:r>
        <w:rPr>
          <w:rFonts w:ascii="Times New Roman" w:cs="Times New Roman" w:eastAsia="Times New Roman" w:hAnsi="Times New Roman"/>
          <w:b/>
          <w:bCs/>
          <w:color w:val="000000"/>
          <w:sz w:val="20"/>
          <w:szCs w:val="20"/>
        </w:rPr>
        <w:t xml:space="preserve">Figura 14. </w:t>
      </w:r>
      <w:r>
        <w:rPr>
          <w:rFonts w:ascii="Times New Roman" w:cs="Times New Roman" w:eastAsia="Times New Roman" w:hAnsi="Times New Roman"/>
          <w:i/>
          <w:iCs/>
          <w:color w:val="000000"/>
          <w:sz w:val="20"/>
          <w:szCs w:val="20"/>
        </w:rPr>
        <w:t xml:space="preserve">Estadística oficial: DANE, BanRep, DNP, ICFES, MinEducación (D13)</w:t>
      </w:r>
    </w:p>
    <w:p>
      <w:pPr>
        <w:keepNext/>
        <w:spacing w:after="60"/>
        <w:jc w:val="center"/>
      </w:pPr>
      <w:r>
        <w:drawing>
          <wp:inline distT="0" distB="0" distL="0" distR="0">
            <wp:extent cx="4867275" cy="6905625"/>
            <wp:effectExtent t="0" r="0" b="0" l="0"/>
            <wp:docPr id="1" name="D13" descr="Diagrama D13: Estadística oficial: DANE, BanRep, DNP, ICFES, MinEducación (D13)" title="Estadística oficial: DANE, BanRep, DNP, ICFES, MinEducación (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extLst>
                        <a:ext uri="{96DAC541-7B7A-43D3-8B79-37D633B846F1}">
                          <asvg:svgBlip xmlns:asvg="http://schemas.microsoft.com/office/drawing/2016/SVG/main" r:embed="rId35"/>
                        </a:ext>
                      </a:extLst>
                    </a:blip>
                    <a:srcRect/>
                    <a:stretch>
                      <a:fillRect/>
                    </a:stretch>
                  </pic:blipFill>
                  <pic:spPr bwMode="auto">
                    <a:xfrm>
                      <a:off x="0" y="0"/>
                      <a:ext cx="4867275" cy="690562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Agent Skill (DANE, BanRep, TerriData, ICFES, MinEducación) y pruebas T36, T47, T48 y T59.</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Catorce endpoints, todos como dataset, ofrecen la estadística oficial: pobreza, mercado laboral, IPM municipal y censo 2018 (DANE); unas 850 series macroeconómicas y unas 5.700 publicaciones (Banco de la República); estadísticas territoriales (TerriData del DNP); resultados Saber 11 de 2010 a 2022 (ICFES) e indicadores educativos desde 2011 (MinEducación).</w:t>
      </w:r>
      <w:r>
        <w:rPr>
          <w:rStyle w:val="FootnoteReference"/>
        </w:rPr>
        <w:footnoteReference w:id="91"/>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Combinar series oficiales en un mismo eje territorial y temporal sin perder la fecha de corte.</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16"/>
        </w:numPr>
        <w:spacing w:after="60" w:line="276"/>
        <w:jc w:val="both"/>
      </w:pPr>
      <w:r>
        <w:rPr>
          <w:rFonts w:ascii="Times New Roman" w:cs="Times New Roman" w:eastAsia="Times New Roman" w:hAnsi="Times New Roman"/>
          <w:color w:val="000000"/>
          <w:sz w:val="23"/>
          <w:szCs w:val="23"/>
        </w:rPr>
        <w:t xml:space="preserve">Elegir el ámbito: macroeconomía, investigación, pobreza y empleo, estadística territorial o educación.</w:t>
      </w:r>
    </w:p>
    <w:p>
      <w:pPr>
        <w:pStyle w:val="ListParagraph"/>
        <w:numPr>
          <w:ilvl w:val="0"/>
          <w:numId w:val="16"/>
        </w:numPr>
        <w:spacing w:after="60" w:line="276"/>
        <w:jc w:val="both"/>
      </w:pPr>
      <w:r>
        <w:rPr>
          <w:rFonts w:ascii="Times New Roman" w:cs="Times New Roman" w:eastAsia="Times New Roman" w:hAnsi="Times New Roman"/>
          <w:color w:val="000000"/>
          <w:sz w:val="23"/>
          <w:szCs w:val="23"/>
        </w:rPr>
        <w:t xml:space="preserve">Identificar la serie o el indicador una vez (por ejemplo, la TRM es la serie 1 del Banco de la República) y reutilizar el código.</w:t>
      </w:r>
      <w:r>
        <w:rPr>
          <w:rStyle w:val="FootnoteReference"/>
        </w:rPr>
        <w:footnoteReference w:id="92"/>
      </w:r>
    </w:p>
    <w:p>
      <w:pPr>
        <w:pStyle w:val="ListParagraph"/>
        <w:numPr>
          <w:ilvl w:val="0"/>
          <w:numId w:val="16"/>
        </w:numPr>
        <w:spacing w:after="60" w:line="276"/>
        <w:jc w:val="both"/>
      </w:pPr>
      <w:r>
        <w:rPr>
          <w:rFonts w:ascii="Times New Roman" w:cs="Times New Roman" w:eastAsia="Times New Roman" w:hAnsi="Times New Roman"/>
          <w:color w:val="000000"/>
          <w:sz w:val="23"/>
          <w:szCs w:val="23"/>
        </w:rPr>
        <w:t xml:space="preserve">Normalizar el territorio con DIVIPOLA (dos dígitos para departamento, cinco para municipio) para cruzar fuentes.</w:t>
      </w:r>
    </w:p>
    <w:p>
      <w:pPr>
        <w:pStyle w:val="ListParagraph"/>
        <w:numPr>
          <w:ilvl w:val="0"/>
          <w:numId w:val="16"/>
        </w:numPr>
        <w:spacing w:after="60" w:line="276"/>
        <w:jc w:val="both"/>
      </w:pPr>
      <w:r>
        <w:rPr>
          <w:rFonts w:ascii="Times New Roman" w:cs="Times New Roman" w:eastAsia="Times New Roman" w:hAnsi="Times New Roman"/>
          <w:color w:val="000000"/>
          <w:sz w:val="23"/>
          <w:szCs w:val="23"/>
        </w:rPr>
        <w:t xml:space="preserve">Verificar </w:t>
      </w:r>
      <w:r>
        <w:rPr>
          <w:rFonts w:ascii="Times New Roman" w:cs="Times New Roman" w:eastAsia="Times New Roman" w:hAnsi="Times New Roman"/>
          <w:i/>
          <w:iCs/>
          <w:color w:val="000000"/>
          <w:sz w:val="23"/>
          <w:szCs w:val="23"/>
        </w:rPr>
        <w:t xml:space="preserve">as_of</w:t>
      </w:r>
      <w:r>
        <w:rPr>
          <w:rFonts w:ascii="Times New Roman" w:cs="Times New Roman" w:eastAsia="Times New Roman" w:hAnsi="Times New Roman"/>
          <w:color w:val="000000"/>
          <w:sz w:val="23"/>
          <w:szCs w:val="23"/>
        </w:rPr>
        <w:t xml:space="preserve"> y la periodicidad de cada serie antes de combinarlas.</w:t>
      </w:r>
    </w:p>
    <w:p>
      <w:pPr>
        <w:pStyle w:val="ListParagraph"/>
        <w:numPr>
          <w:ilvl w:val="0"/>
          <w:numId w:val="16"/>
        </w:numPr>
        <w:spacing w:after="60" w:line="276"/>
        <w:jc w:val="both"/>
      </w:pPr>
      <w:r>
        <w:rPr>
          <w:rFonts w:ascii="Times New Roman" w:cs="Times New Roman" w:eastAsia="Times New Roman" w:hAnsi="Times New Roman"/>
          <w:color w:val="000000"/>
          <w:sz w:val="23"/>
          <w:szCs w:val="23"/>
        </w:rPr>
        <w:t xml:space="preserve">Producir el tablero o modelo citando fuente y fecha de corte.</w:t>
      </w:r>
      <w:r>
        <w:rPr>
          <w:rStyle w:val="FootnoteReference"/>
        </w:rPr>
        <w:footnoteReference w:id="93"/>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El ámbito determina la fuente; la vigencia de </w:t>
      </w:r>
      <w:r>
        <w:rPr>
          <w:rFonts w:ascii="Times New Roman" w:cs="Times New Roman" w:eastAsia="Times New Roman" w:hAnsi="Times New Roman"/>
          <w:i/>
          <w:iCs/>
          <w:color w:val="000000"/>
          <w:sz w:val="23"/>
          <w:szCs w:val="23"/>
        </w:rPr>
        <w:t xml:space="preserve">as_of</w:t>
      </w:r>
      <w:r>
        <w:rPr>
          <w:rFonts w:ascii="Times New Roman" w:cs="Times New Roman" w:eastAsia="Times New Roman" w:hAnsi="Times New Roman"/>
          <w:color w:val="000000"/>
          <w:sz w:val="23"/>
          <w:szCs w:val="23"/>
        </w:rPr>
        <w:t xml:space="preserve"> y la continuidad de la serie determinan si el dato puede usarse sin advertencias.</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Una serie descontinuada o rezagada se reporta con advertencia: el Índice de Desempeño Fiscal original llega a 2020 y el nuevo índice empieza en ese año.</w:t>
      </w:r>
      <w:r>
        <w:rPr>
          <w:rStyle w:val="FootnoteReference"/>
        </w:rPr>
        <w:footnoteReference w:id="94"/>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La TRM repite el último valor en fines de semana y festivos; promediar sin depurar sesga los cálculos. En ICFES no se publicaron los periodos 2018-2 y 2021-2.</w:t>
      </w:r>
    </w:p>
    <w:p>
      <w:pPr>
        <w:keepNext/>
        <w:spacing w:after="80" w:before="200" w:line="240"/>
        <w:jc w:val="left"/>
      </w:pPr>
      <w:r>
        <w:rPr>
          <w:rFonts w:ascii="Times New Roman" w:cs="Times New Roman" w:eastAsia="Times New Roman" w:hAnsi="Times New Roman"/>
          <w:b/>
          <w:bCs/>
          <w:color w:val="000000"/>
          <w:sz w:val="20"/>
          <w:szCs w:val="20"/>
        </w:rPr>
        <w:t xml:space="preserve">Tabla 26. </w:t>
      </w:r>
      <w:r>
        <w:rPr>
          <w:rFonts w:ascii="Times New Roman" w:cs="Times New Roman" w:eastAsia="Times New Roman" w:hAnsi="Times New Roman"/>
          <w:i/>
          <w:iCs/>
          <w:color w:val="000000"/>
          <w:sz w:val="20"/>
          <w:szCs w:val="20"/>
        </w:rPr>
        <w:t xml:space="preserve">Recursos y remisiones del diagrama D13</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BR, BI, DN, TD, ED, AS</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R18</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Códigos DIVIPOLA / DANE (2 o 5 dígitos)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BAJA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DV</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Codificación DIVIPOLA del DANE</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Texto largo paginado (offset, limit, next_offset)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BI</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Siguiente rango con next_offset</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12 nodos, 16 aristas, 2 decisiones, 1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4.13 — Fuentes sectoriales: INVIMA, ANM y SIATA</w:t>
      </w:r>
    </w:p>
    <w:p>
      <w:pPr>
        <w:keepNext/>
        <w:spacing w:after="80" w:before="60" w:line="240"/>
        <w:jc w:val="left"/>
      </w:pPr>
      <w:r>
        <w:rPr>
          <w:rFonts w:ascii="Times New Roman" w:cs="Times New Roman" w:eastAsia="Times New Roman" w:hAnsi="Times New Roman"/>
          <w:b/>
          <w:bCs/>
          <w:color w:val="000000"/>
          <w:sz w:val="20"/>
          <w:szCs w:val="20"/>
        </w:rPr>
        <w:t xml:space="preserve">Figura 15. </w:t>
      </w:r>
      <w:r>
        <w:rPr>
          <w:rFonts w:ascii="Times New Roman" w:cs="Times New Roman" w:eastAsia="Times New Roman" w:hAnsi="Times New Roman"/>
          <w:i/>
          <w:iCs/>
          <w:color w:val="000000"/>
          <w:sz w:val="20"/>
          <w:szCs w:val="20"/>
        </w:rPr>
        <w:t xml:space="preserve">Fuentes sectoriales: INVIMA, ANM y SIATA (D14)</w:t>
      </w:r>
    </w:p>
    <w:p>
      <w:pPr>
        <w:keepNext/>
        <w:spacing w:after="60"/>
        <w:jc w:val="center"/>
      </w:pPr>
      <w:r>
        <w:drawing>
          <wp:inline distT="0" distB="0" distL="0" distR="0">
            <wp:extent cx="5895975" cy="4714875"/>
            <wp:effectExtent t="0" r="0" b="0" l="0"/>
            <wp:docPr id="1" name="D14" descr="Diagrama D14: Fuentes sectoriales: INVIMA, ANM y SIATA (D14)" title="Fuentes sectoriales: INVIMA, ANM y SIATA (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extLst>
                        <a:ext uri="{96DAC541-7B7A-43D3-8B79-37D633B846F1}">
                          <asvg:svgBlip xmlns:asvg="http://schemas.microsoft.com/office/drawing/2016/SVG/main" r:embed="rId37"/>
                        </a:ext>
                      </a:extLst>
                    </a:blip>
                    <a:srcRect/>
                    <a:stretch>
                      <a:fillRect/>
                    </a:stretch>
                  </pic:blipFill>
                  <pic:spPr bwMode="auto">
                    <a:xfrm>
                      <a:off x="0" y="0"/>
                      <a:ext cx="5895975" cy="471487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Agent Skill (INVIMA, ANM, SIATA) y pruebas T32, T37, T49 y T60.</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INVIMA aporta unos 385.000 registros sanitarios y notificaciones, y unas 163.000 presentaciones de medicamentos con su CUM; la ANM, las notificaciones sobre títulos y solicitudes mineras desde mayo de 2020; y el SIATA, once endpoints en vivo sobre clima, lluvia, ríos, calidad del aire, sensores ciudadanos, pronóstico, alertas, sismos y cámaras del Valle de Aburrá.</w:t>
      </w:r>
      <w:r>
        <w:rPr>
          <w:rStyle w:val="FootnoteReference"/>
        </w:rPr>
        <w:footnoteReference w:id="95"/>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Verificar habilitaciones sanitarias, notificaciones mineras y condiciones ambientales en tiempo real.</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17"/>
        </w:numPr>
        <w:spacing w:after="60" w:line="276"/>
        <w:jc w:val="both"/>
      </w:pPr>
      <w:r>
        <w:rPr>
          <w:rFonts w:ascii="Times New Roman" w:cs="Times New Roman" w:eastAsia="Times New Roman" w:hAnsi="Times New Roman"/>
          <w:color w:val="000000"/>
          <w:sz w:val="23"/>
          <w:szCs w:val="23"/>
        </w:rPr>
        <w:t xml:space="preserve">Para un producto, buscar el registro o la presentación por nombre, titular, principio activo exacto o código ATC, y verificar vigencia del registro y estado del CUM.</w:t>
      </w:r>
      <w:r>
        <w:rPr>
          <w:rStyle w:val="FootnoteReference"/>
        </w:rPr>
        <w:footnoteReference w:id="96"/>
      </w:r>
    </w:p>
    <w:p>
      <w:pPr>
        <w:pStyle w:val="ListParagraph"/>
        <w:numPr>
          <w:ilvl w:val="0"/>
          <w:numId w:val="17"/>
        </w:numPr>
        <w:spacing w:after="60" w:line="276"/>
        <w:jc w:val="both"/>
      </w:pPr>
      <w:r>
        <w:rPr>
          <w:rFonts w:ascii="Times New Roman" w:cs="Times New Roman" w:eastAsia="Times New Roman" w:hAnsi="Times New Roman"/>
          <w:color w:val="000000"/>
          <w:sz w:val="23"/>
          <w:szCs w:val="23"/>
        </w:rPr>
        <w:t xml:space="preserve">Para un título minero, buscar por placa exacta, oficina, tipo y fechas, y leer el texto completo de cada notificación por rangos.</w:t>
      </w:r>
      <w:r>
        <w:rPr>
          <w:rStyle w:val="FootnoteReference"/>
        </w:rPr>
        <w:footnoteReference w:id="97"/>
      </w:r>
    </w:p>
    <w:p>
      <w:pPr>
        <w:pStyle w:val="ListParagraph"/>
        <w:numPr>
          <w:ilvl w:val="0"/>
          <w:numId w:val="17"/>
        </w:numPr>
        <w:spacing w:after="60" w:line="276"/>
        <w:jc w:val="both"/>
      </w:pPr>
      <w:r>
        <w:rPr>
          <w:rFonts w:ascii="Times New Roman" w:cs="Times New Roman" w:eastAsia="Times New Roman" w:hAnsi="Times New Roman"/>
          <w:color w:val="000000"/>
          <w:sz w:val="23"/>
          <w:szCs w:val="23"/>
        </w:rPr>
        <w:t xml:space="preserve">Para ambiente, consultar por municipio, estación o cercanía a unas coordenadas.</w:t>
      </w:r>
    </w:p>
    <w:p>
      <w:pPr>
        <w:pStyle w:val="ListParagraph"/>
        <w:numPr>
          <w:ilvl w:val="0"/>
          <w:numId w:val="17"/>
        </w:numPr>
        <w:spacing w:after="60" w:line="276"/>
        <w:jc w:val="both"/>
      </w:pPr>
      <w:r>
        <w:rPr>
          <w:rFonts w:ascii="Times New Roman" w:cs="Times New Roman" w:eastAsia="Times New Roman" w:hAnsi="Times New Roman"/>
          <w:color w:val="000000"/>
          <w:sz w:val="23"/>
          <w:szCs w:val="23"/>
        </w:rPr>
        <w:t xml:space="preserve">Depurar lecturas inválidas antes de mostrarlas o usarlas en alertas.</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El sector determina la fuente; en INVIMA, la vigencia y el estado del CUM; en SIATA, la validez de cada lectura.</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El SIATA entrega valores centinela que la fuente clasifica como calidad «Buena».</w:t>
      </w:r>
      <w:r>
        <w:rPr>
          <w:rStyle w:val="FootnoteReference"/>
        </w:rPr>
        <w:footnoteReference w:id="98"/>
      </w:r>
      <w:r>
        <w:rPr>
          <w:rFonts w:ascii="Times New Roman" w:cs="Times New Roman" w:eastAsia="Times New Roman" w:hAnsi="Times New Roman"/>
          <w:color w:val="000000"/>
          <w:sz w:val="23"/>
          <w:szCs w:val="23"/>
        </w:rPr>
        <w:t xml:space="preserve"> Un registro vencido o un CUM inactivo deben tratarse como alerta.</w:t>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El SIATA solo cubre el Valle de Aburrá y no tenía alertas activas al momento de la prueba.</w:t>
      </w:r>
      <w:r>
        <w:rPr>
          <w:rStyle w:val="FootnoteReference"/>
        </w:rPr>
        <w:footnoteReference w:id="99"/>
      </w:r>
      <w:r>
        <w:rPr>
          <w:rFonts w:ascii="Times New Roman" w:cs="Times New Roman" w:eastAsia="Times New Roman" w:hAnsi="Times New Roman"/>
          <w:color w:val="000000"/>
          <w:sz w:val="23"/>
          <w:szCs w:val="23"/>
        </w:rPr>
        <w:t xml:space="preserve"> En la ANM la placa se compara de forma exacta, por lo que errores de digitación producen resultados vacíos.</w:t>
      </w:r>
    </w:p>
    <w:p>
      <w:pPr>
        <w:keepNext/>
        <w:spacing w:after="80" w:before="200" w:line="240"/>
        <w:jc w:val="left"/>
      </w:pPr>
      <w:r>
        <w:rPr>
          <w:rFonts w:ascii="Times New Roman" w:cs="Times New Roman" w:eastAsia="Times New Roman" w:hAnsi="Times New Roman"/>
          <w:b/>
          <w:bCs/>
          <w:color w:val="000000"/>
          <w:sz w:val="20"/>
          <w:szCs w:val="20"/>
        </w:rPr>
        <w:t xml:space="preserve">Tabla 27. </w:t>
      </w:r>
      <w:r>
        <w:rPr>
          <w:rFonts w:ascii="Times New Roman" w:cs="Times New Roman" w:eastAsia="Times New Roman" w:hAnsi="Times New Roman"/>
          <w:i/>
          <w:iCs/>
          <w:color w:val="000000"/>
          <w:sz w:val="20"/>
          <w:szCs w:val="20"/>
        </w:rPr>
        <w:t xml:space="preserve">Recursos y remisiones del diagrama D14</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IN, AN</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SI</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R08</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documental en blob de Croma (PDF, DOCX, XLSX)</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AN</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source_document_url de la entidad</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Texto largo paginado (offset, limit, next_offset)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AN</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Siguiente rango con next_offset</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13 nodos, 16 aristas, 3 decisiones, 2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4.14 — Trámites del Estado y herramientas web</w:t>
      </w:r>
    </w:p>
    <w:p>
      <w:pPr>
        <w:keepNext/>
        <w:spacing w:after="80" w:before="60" w:line="240"/>
        <w:jc w:val="left"/>
      </w:pPr>
      <w:r>
        <w:rPr>
          <w:rFonts w:ascii="Times New Roman" w:cs="Times New Roman" w:eastAsia="Times New Roman" w:hAnsi="Times New Roman"/>
          <w:b/>
          <w:bCs/>
          <w:color w:val="000000"/>
          <w:sz w:val="20"/>
          <w:szCs w:val="20"/>
        </w:rPr>
        <w:t xml:space="preserve">Figura 16. </w:t>
      </w:r>
      <w:r>
        <w:rPr>
          <w:rFonts w:ascii="Times New Roman" w:cs="Times New Roman" w:eastAsia="Times New Roman" w:hAnsi="Times New Roman"/>
          <w:i/>
          <w:iCs/>
          <w:color w:val="000000"/>
          <w:sz w:val="20"/>
          <w:szCs w:val="20"/>
        </w:rPr>
        <w:t xml:space="preserve">Trámites del Estado y herramientas web (D15)</w:t>
      </w:r>
    </w:p>
    <w:p>
      <w:pPr>
        <w:keepNext/>
        <w:spacing w:after="60"/>
        <w:jc w:val="center"/>
      </w:pPr>
      <w:r>
        <w:drawing>
          <wp:inline distT="0" distB="0" distL="0" distR="0">
            <wp:extent cx="5895975" cy="6276975"/>
            <wp:effectExtent t="0" r="0" b="0" l="0"/>
            <wp:docPr id="1" name="D15" descr="Diagrama D15: Trámites del Estado y herramientas web (D15)" title="Trámites del Estado y herramientas web (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extLst>
                        <a:ext uri="{96DAC541-7B7A-43D3-8B79-37D633B846F1}">
                          <asvg:svgBlip xmlns:asvg="http://schemas.microsoft.com/office/drawing/2016/SVG/main" r:embed="rId39"/>
                        </a:ext>
                      </a:extLst>
                    </a:blip>
                    <a:srcRect/>
                    <a:stretch>
                      <a:fillRect/>
                    </a:stretch>
                  </pic:blipFill>
                  <pic:spPr bwMode="auto">
                    <a:xfrm>
                      <a:off x="0" y="0"/>
                      <a:ext cx="5895975" cy="627697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Agent Skill (SUIT, páginas de trámites y herramientas globales) y pruebas T39, T50 y T52 a T54.</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El SUIT reúne los trámites de las entidades nacionales y territoriales, con pasos, documentos, costos, tiempos y fundamento legal; las páginas de trámites cubren la Cancillería y la Unidad para las Víctimas. Las herramientas globales completan el cuadro: búsqueda web, investigación con citas, extracción a Markdown o JSON y generación de JSON con instrucciones.</w:t>
      </w:r>
      <w:r>
        <w:rPr>
          <w:rStyle w:val="FootnoteReference"/>
        </w:rPr>
        <w:footnoteReference w:id="100"/>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Responder preguntas ciudadanas sobre trámites con la ficha oficial y, si hace falta, con extracción web.</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18"/>
        </w:numPr>
        <w:spacing w:after="60" w:line="276"/>
        <w:jc w:val="both"/>
      </w:pPr>
      <w:r>
        <w:rPr>
          <w:rFonts w:ascii="Times New Roman" w:cs="Times New Roman" w:eastAsia="Times New Roman" w:hAnsi="Times New Roman"/>
          <w:color w:val="000000"/>
          <w:sz w:val="23"/>
          <w:szCs w:val="23"/>
        </w:rPr>
        <w:t xml:space="preserve">Si el trámite es de una entidad pública, buscarlo en el SUIT por texto, entidad o código DANE y leer la ficha completa.</w:t>
      </w:r>
      <w:r>
        <w:rPr>
          <w:rStyle w:val="FootnoteReference"/>
        </w:rPr>
        <w:footnoteReference w:id="101"/>
      </w:r>
    </w:p>
    <w:p>
      <w:pPr>
        <w:pStyle w:val="ListParagraph"/>
        <w:numPr>
          <w:ilvl w:val="0"/>
          <w:numId w:val="18"/>
        </w:numPr>
        <w:spacing w:after="60" w:line="276"/>
        <w:jc w:val="both"/>
      </w:pPr>
      <w:r>
        <w:rPr>
          <w:rFonts w:ascii="Times New Roman" w:cs="Times New Roman" w:eastAsia="Times New Roman" w:hAnsi="Times New Roman"/>
          <w:color w:val="000000"/>
          <w:sz w:val="23"/>
          <w:szCs w:val="23"/>
        </w:rPr>
        <w:t xml:space="preserve">Si es un trámite de la Cancillería o de la Unidad para las Víctimas, usar las páginas de trámites.</w:t>
      </w:r>
      <w:r>
        <w:rPr>
          <w:rStyle w:val="FootnoteReference"/>
        </w:rPr>
        <w:footnoteReference w:id="102"/>
      </w:r>
    </w:p>
    <w:p>
      <w:pPr>
        <w:pStyle w:val="ListParagraph"/>
        <w:numPr>
          <w:ilvl w:val="0"/>
          <w:numId w:val="18"/>
        </w:numPr>
        <w:spacing w:after="60" w:line="276"/>
        <w:jc w:val="both"/>
      </w:pPr>
      <w:r>
        <w:rPr>
          <w:rFonts w:ascii="Times New Roman" w:cs="Times New Roman" w:eastAsia="Times New Roman" w:hAnsi="Times New Roman"/>
          <w:color w:val="000000"/>
          <w:sz w:val="23"/>
          <w:szCs w:val="23"/>
        </w:rPr>
        <w:t xml:space="preserve">Para cualquier otra página pública, extraer o generar JSON con un esquema simple.</w:t>
      </w:r>
      <w:r>
        <w:rPr>
          <w:rStyle w:val="FootnoteReference"/>
        </w:rPr>
        <w:footnoteReference w:id="103"/>
      </w:r>
    </w:p>
    <w:p>
      <w:pPr>
        <w:pStyle w:val="ListParagraph"/>
        <w:numPr>
          <w:ilvl w:val="0"/>
          <w:numId w:val="18"/>
        </w:numPr>
        <w:spacing w:after="60" w:line="276"/>
        <w:jc w:val="both"/>
      </w:pPr>
      <w:r>
        <w:rPr>
          <w:rFonts w:ascii="Times New Roman" w:cs="Times New Roman" w:eastAsia="Times New Roman" w:hAnsi="Times New Roman"/>
          <w:color w:val="000000"/>
          <w:sz w:val="23"/>
          <w:szCs w:val="23"/>
        </w:rPr>
        <w:t xml:space="preserve">Para preguntas abiertas, usar la investigación con citas y verificar la fuente primaria antes de actuar.</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La ubicación de la información determina la herramienta; la extraibilidad de la página determina si se remite a la ficha del SUIT.</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Las fichas de gov.co no fueron extraíbles: </w:t>
      </w:r>
      <w:r>
        <w:rPr>
          <w:rFonts w:ascii="Times New Roman" w:cs="Times New Roman" w:eastAsia="Times New Roman" w:hAnsi="Times New Roman"/>
          <w:i/>
          <w:iCs/>
          <w:color w:val="000000"/>
          <w:sz w:val="23"/>
          <w:szCs w:val="23"/>
        </w:rPr>
        <w:t xml:space="preserve">generate_json</w:t>
      </w:r>
      <w:r>
        <w:rPr>
          <w:rFonts w:ascii="Times New Roman" w:cs="Times New Roman" w:eastAsia="Times New Roman" w:hAnsi="Times New Roman"/>
          <w:color w:val="000000"/>
          <w:sz w:val="23"/>
          <w:szCs w:val="23"/>
        </w:rPr>
        <w:t xml:space="preserve"> y </w:t>
      </w:r>
      <w:r>
        <w:rPr>
          <w:rFonts w:ascii="Times New Roman" w:cs="Times New Roman" w:eastAsia="Times New Roman" w:hAnsi="Times New Roman"/>
          <w:i/>
          <w:iCs/>
          <w:color w:val="000000"/>
          <w:sz w:val="23"/>
          <w:szCs w:val="23"/>
        </w:rPr>
        <w:t xml:space="preserve">extract_json</w:t>
      </w:r>
      <w:r>
        <w:rPr>
          <w:rFonts w:ascii="Times New Roman" w:cs="Times New Roman" w:eastAsia="Times New Roman" w:hAnsi="Times New Roman"/>
          <w:color w:val="000000"/>
          <w:sz w:val="23"/>
          <w:szCs w:val="23"/>
        </w:rPr>
        <w:t xml:space="preserve"> devolvieron error interno, incluso con esfuerzo máximo, y un esquema con tipos unión fue rechazado.</w:t>
      </w:r>
      <w:r>
        <w:rPr>
          <w:rStyle w:val="FootnoteReference"/>
        </w:rPr>
        <w:footnoteReference w:id="104"/>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La investigación con citas es útil pero no sustituye la verificación: la propia descripción de la herramienta advierte que es una pasada de investigación y no una consulta.</w:t>
      </w:r>
      <w:r>
        <w:rPr>
          <w:rStyle w:val="FootnoteReference"/>
        </w:rPr>
        <w:footnoteReference w:id="105"/>
      </w:r>
      <w:r>
        <w:rPr>
          <w:rFonts w:ascii="Times New Roman" w:cs="Times New Roman" w:eastAsia="Times New Roman" w:hAnsi="Times New Roman"/>
          <w:color w:val="000000"/>
          <w:sz w:val="23"/>
          <w:szCs w:val="23"/>
        </w:rPr>
        <w:t xml:space="preserve"> Los topes horarios de estas herramientas son contradictorios entre la documentación y la página de precios.</w:t>
      </w:r>
    </w:p>
    <w:p>
      <w:pPr>
        <w:keepNext/>
        <w:spacing w:after="80" w:before="200" w:line="240"/>
        <w:jc w:val="left"/>
      </w:pPr>
      <w:r>
        <w:rPr>
          <w:rFonts w:ascii="Times New Roman" w:cs="Times New Roman" w:eastAsia="Times New Roman" w:hAnsi="Times New Roman"/>
          <w:b/>
          <w:bCs/>
          <w:color w:val="000000"/>
          <w:sz w:val="20"/>
          <w:szCs w:val="20"/>
        </w:rPr>
        <w:t xml:space="preserve">Tabla 28. </w:t>
      </w:r>
      <w:r>
        <w:rPr>
          <w:rFonts w:ascii="Times New Roman" w:cs="Times New Roman" w:eastAsia="Times New Roman" w:hAnsi="Times New Roman"/>
          <w:i/>
          <w:iCs/>
          <w:color w:val="000000"/>
          <w:sz w:val="20"/>
          <w:szCs w:val="20"/>
        </w:rPr>
        <w:t xml:space="preserve">Recursos y remisiones del diagrama D15</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SU, GP</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X</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Agente o cliente MCP (Claude, ChatGPT, Cursor)</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modelo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RS</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Herramientas MCP del catálogo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R17</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Esquema JSON del usuario (extract / generate)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X</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Esquema simple, sin uniones de tipo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Texto largo paginado (offset, limit, next_offset)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SU, GP</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Siguiente rango con next_offset</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10 nodos, 13 aristas, 2 decisiones, 1 rutas de error, 0 recursos huérfanos.</w:t>
      </w:r>
    </w:p>
    <w:p>
      <w:pPr>
        <w:pStyle w:val="Heading2"/>
        <w:keepNext/>
        <w:keepLines/>
        <w:pageBreakBefore/>
        <w:spacing w:after="120" w:before="0" w:line="240"/>
        <w:jc w:val="left"/>
      </w:pPr>
      <w:r>
        <w:rPr>
          <w:rFonts w:ascii="Times New Roman" w:cs="Times New Roman" w:eastAsia="Times New Roman" w:hAnsi="Times New Roman"/>
          <w:b/>
          <w:bCs/>
          <w:color w:val="000000"/>
          <w:sz w:val="24"/>
          <w:szCs w:val="24"/>
        </w:rPr>
        <w:t xml:space="preserve">4.15 — Monitores: alertas programadas por correo</w:t>
      </w:r>
    </w:p>
    <w:p>
      <w:pPr>
        <w:keepNext/>
        <w:spacing w:after="80" w:before="60" w:line="240"/>
        <w:jc w:val="left"/>
      </w:pPr>
      <w:r>
        <w:rPr>
          <w:rFonts w:ascii="Times New Roman" w:cs="Times New Roman" w:eastAsia="Times New Roman" w:hAnsi="Times New Roman"/>
          <w:b/>
          <w:bCs/>
          <w:color w:val="000000"/>
          <w:sz w:val="20"/>
          <w:szCs w:val="20"/>
        </w:rPr>
        <w:t xml:space="preserve">Figura 17. </w:t>
      </w:r>
      <w:r>
        <w:rPr>
          <w:rFonts w:ascii="Times New Roman" w:cs="Times New Roman" w:eastAsia="Times New Roman" w:hAnsi="Times New Roman"/>
          <w:i/>
          <w:iCs/>
          <w:color w:val="000000"/>
          <w:sz w:val="20"/>
          <w:szCs w:val="20"/>
        </w:rPr>
        <w:t xml:space="preserve">Monitores: alertas programadas por correo (D16)</w:t>
      </w:r>
    </w:p>
    <w:p>
      <w:pPr>
        <w:keepNext/>
        <w:spacing w:after="60"/>
        <w:jc w:val="center"/>
      </w:pPr>
      <w:r>
        <w:drawing>
          <wp:inline distT="0" distB="0" distL="0" distR="0">
            <wp:extent cx="5895975" cy="6715125"/>
            <wp:effectExtent t="0" r="0" b="0" l="0"/>
            <wp:docPr id="1" name="D16" descr="Diagrama D16: Monitores: alertas programadas por correo (D16)" title="Monitores: alertas programadas por correo (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extLst>
                        <a:ext uri="{96DAC541-7B7A-43D3-8B79-37D633B846F1}">
                          <asvg:svgBlip xmlns:asvg="http://schemas.microsoft.com/office/drawing/2016/SVG/main" r:embed="rId41"/>
                        </a:ext>
                      </a:extLst>
                    </a:blip>
                    <a:srcRect/>
                    <a:stretch>
                      <a:fillRect/>
                    </a:stretch>
                  </pic:blipFill>
                  <pic:spPr bwMode="auto">
                    <a:xfrm>
                      <a:off x="0" y="0"/>
                      <a:ext cx="5895975" cy="6715125"/>
                    </a:xfrm>
                    <a:prstGeom prst="rect">
                      <a:avLst/>
                    </a:prstGeom>
                  </pic:spPr>
                </pic:pic>
              </a:graphicData>
            </a:graphic>
          </wp:inline>
        </w:drawing>
      </w:r>
    </w:p>
    <w:p>
      <w:pPr>
        <w:spacing w:after="120" w:line="240"/>
        <w:jc w:val="both"/>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Fuentes: guías de monitores, monitores desde Claude y fuentes monitoreables, y prueba T46.</w:t>
      </w:r>
    </w:p>
    <w:p>
      <w:pPr>
        <w:spacing w:after="120" w:before="120" w:line="276"/>
        <w:jc w:val="both"/>
      </w:pPr>
      <w:r>
        <w:rPr>
          <w:rFonts w:ascii="Times New Roman" w:cs="Times New Roman" w:eastAsia="Times New Roman" w:hAnsi="Times New Roman"/>
          <w:b/>
          <w:bCs/>
          <w:color w:val="000000"/>
          <w:sz w:val="23"/>
          <w:szCs w:val="23"/>
        </w:rPr>
        <w:t xml:space="preserve">Fuente y alcance.</w:t>
      </w:r>
      <w:r>
        <w:rPr>
          <w:rFonts w:ascii="Times New Roman" w:cs="Times New Roman" w:eastAsia="Times New Roman" w:hAnsi="Times New Roman"/>
          <w:color w:val="000000"/>
          <w:sz w:val="23"/>
          <w:szCs w:val="23"/>
        </w:rPr>
        <w:t xml:space="preserve"> Los monitores convierten cualquier endpoint de datos —búsquedas y consultas de registro— en una vigilancia programada que avisa por correo. Se gestionan con siete herramientas MCP, con la API REST o desde la consola.</w:t>
      </w:r>
      <w:r>
        <w:rPr>
          <w:rStyle w:val="FootnoteReference"/>
        </w:rPr>
        <w:footnoteReference w:id="106"/>
      </w:r>
    </w:p>
    <w:p>
      <w:pPr>
        <w:spacing w:after="120" w:before="120" w:line="276"/>
        <w:jc w:val="both"/>
      </w:pPr>
      <w:r>
        <w:rPr>
          <w:rFonts w:ascii="Times New Roman" w:cs="Times New Roman" w:eastAsia="Times New Roman" w:hAnsi="Times New Roman"/>
          <w:b/>
          <w:bCs/>
          <w:color w:val="000000"/>
          <w:sz w:val="23"/>
          <w:szCs w:val="23"/>
        </w:rPr>
        <w:t xml:space="preserve">Objetivo del flujo.</w:t>
      </w:r>
      <w:r>
        <w:rPr>
          <w:rFonts w:ascii="Times New Roman" w:cs="Times New Roman" w:eastAsia="Times New Roman" w:hAnsi="Times New Roman"/>
          <w:color w:val="000000"/>
          <w:sz w:val="23"/>
          <w:szCs w:val="23"/>
        </w:rPr>
        <w:t xml:space="preserve"> Convertir una consulta en una vigilancia programada que avisa por correo solo lo nuevo.</w:t>
      </w:r>
    </w:p>
    <w:p>
      <w:pPr>
        <w:keepNext/>
        <w:spacing w:after="60" w:before="0" w:line="276"/>
        <w:jc w:val="both"/>
      </w:pPr>
      <w:r>
        <w:rPr>
          <w:rFonts w:ascii="Times New Roman" w:cs="Times New Roman" w:eastAsia="Times New Roman" w:hAnsi="Times New Roman"/>
          <w:b/>
          <w:bCs/>
          <w:color w:val="000000"/>
          <w:sz w:val="23"/>
          <w:szCs w:val="23"/>
        </w:rPr>
        <w:t xml:space="preserve">Lectura del flujo paso a paso.</w:t>
      </w:r>
    </w:p>
    <w:p>
      <w:pPr>
        <w:pStyle w:val="ListParagraph"/>
        <w:numPr>
          <w:ilvl w:val="0"/>
          <w:numId w:val="19"/>
        </w:numPr>
        <w:spacing w:after="60" w:line="276"/>
        <w:jc w:val="both"/>
      </w:pPr>
      <w:r>
        <w:rPr>
          <w:rFonts w:ascii="Times New Roman" w:cs="Times New Roman" w:eastAsia="Times New Roman" w:hAnsi="Times New Roman"/>
          <w:color w:val="000000"/>
          <w:sz w:val="23"/>
          <w:szCs w:val="23"/>
        </w:rPr>
        <w:t xml:space="preserve">Verificar que la organización tenga habilitados los monitores (en la organización de prueba no lo estaban).</w:t>
      </w:r>
    </w:p>
    <w:p>
      <w:pPr>
        <w:pStyle w:val="ListParagraph"/>
        <w:numPr>
          <w:ilvl w:val="0"/>
          <w:numId w:val="19"/>
        </w:numPr>
        <w:spacing w:after="60" w:line="276"/>
        <w:jc w:val="both"/>
      </w:pPr>
      <w:r>
        <w:rPr>
          <w:rFonts w:ascii="Times New Roman" w:cs="Times New Roman" w:eastAsia="Times New Roman" w:hAnsi="Times New Roman"/>
          <w:color w:val="000000"/>
          <w:sz w:val="23"/>
          <w:szCs w:val="23"/>
        </w:rPr>
        <w:t xml:space="preserve">El agente ejecuta primero la búsqueda con los filtros pedidos para mostrar lo que existe hoy.</w:t>
      </w:r>
    </w:p>
    <w:p>
      <w:pPr>
        <w:pStyle w:val="ListParagraph"/>
        <w:numPr>
          <w:ilvl w:val="0"/>
          <w:numId w:val="19"/>
        </w:numPr>
        <w:spacing w:after="60" w:line="276"/>
        <w:jc w:val="both"/>
      </w:pPr>
      <w:r>
        <w:rPr>
          <w:rFonts w:ascii="Times New Roman" w:cs="Times New Roman" w:eastAsia="Times New Roman" w:hAnsi="Times New Roman"/>
          <w:color w:val="000000"/>
          <w:sz w:val="23"/>
          <w:szCs w:val="23"/>
        </w:rPr>
        <w:t xml:space="preserve">Si el usuario no indicó destinatarios, el agente los pregunta: nunca los adivina y admite como máximo tres.</w:t>
      </w:r>
    </w:p>
    <w:p>
      <w:pPr>
        <w:pStyle w:val="ListParagraph"/>
        <w:numPr>
          <w:ilvl w:val="0"/>
          <w:numId w:val="19"/>
        </w:numPr>
        <w:spacing w:after="60" w:line="276"/>
        <w:jc w:val="both"/>
      </w:pPr>
      <w:r>
        <w:rPr>
          <w:rFonts w:ascii="Times New Roman" w:cs="Times New Roman" w:eastAsia="Times New Roman" w:hAnsi="Times New Roman"/>
          <w:color w:val="000000"/>
          <w:sz w:val="23"/>
          <w:szCs w:val="23"/>
        </w:rPr>
        <w:t xml:space="preserve">Se crea el monitor con </w:t>
      </w:r>
      <w:r>
        <w:rPr>
          <w:rFonts w:ascii="Times New Roman" w:cs="Times New Roman" w:eastAsia="Times New Roman" w:hAnsi="Times New Roman"/>
          <w:i/>
          <w:iCs/>
          <w:color w:val="000000"/>
          <w:sz w:val="23"/>
          <w:szCs w:val="23"/>
        </w:rPr>
        <w:t xml:space="preserve">endpoint</w:t>
      </w:r>
      <w:r>
        <w:rPr>
          <w:rFonts w:ascii="Times New Roman" w:cs="Times New Roman" w:eastAsia="Times New Roman" w:hAnsi="Times New Roman"/>
          <w:color w:val="000000"/>
          <w:sz w:val="23"/>
          <w:szCs w:val="23"/>
        </w:rPr>
        <w:t xml:space="preserve"> igual al nombre de la herramienta y </w:t>
      </w:r>
      <w:r>
        <w:rPr>
          <w:rFonts w:ascii="Times New Roman" w:cs="Times New Roman" w:eastAsia="Times New Roman" w:hAnsi="Times New Roman"/>
          <w:i/>
          <w:iCs/>
          <w:color w:val="000000"/>
          <w:sz w:val="23"/>
          <w:szCs w:val="23"/>
        </w:rPr>
        <w:t xml:space="preserve">query</w:t>
      </w:r>
      <w:r>
        <w:rPr>
          <w:rFonts w:ascii="Times New Roman" w:cs="Times New Roman" w:eastAsia="Times New Roman" w:hAnsi="Times New Roman"/>
          <w:color w:val="000000"/>
          <w:sz w:val="23"/>
          <w:szCs w:val="23"/>
        </w:rPr>
        <w:t xml:space="preserve"> con los mismos argumentos, sin paginación.</w:t>
      </w:r>
    </w:p>
    <w:p>
      <w:pPr>
        <w:pStyle w:val="ListParagraph"/>
        <w:numPr>
          <w:ilvl w:val="0"/>
          <w:numId w:val="19"/>
        </w:numPr>
        <w:spacing w:after="60" w:line="276"/>
        <w:jc w:val="both"/>
      </w:pPr>
      <w:r>
        <w:rPr>
          <w:rFonts w:ascii="Times New Roman" w:cs="Times New Roman" w:eastAsia="Times New Roman" w:hAnsi="Times New Roman"/>
          <w:color w:val="000000"/>
          <w:sz w:val="23"/>
          <w:szCs w:val="23"/>
        </w:rPr>
        <w:t xml:space="preserve">La frecuencia depende del modo: los datasets siguen el refresco de la fuente por un crédito; los endpoints en vivo corren a diario o cada semana con costo de consulta en vivo.</w:t>
      </w:r>
    </w:p>
    <w:p>
      <w:pPr>
        <w:pStyle w:val="ListParagraph"/>
        <w:numPr>
          <w:ilvl w:val="0"/>
          <w:numId w:val="19"/>
        </w:numPr>
        <w:spacing w:after="60" w:line="276"/>
        <w:jc w:val="both"/>
      </w:pPr>
      <w:r>
        <w:rPr>
          <w:rFonts w:ascii="Times New Roman" w:cs="Times New Roman" w:eastAsia="Times New Roman" w:hAnsi="Times New Roman"/>
          <w:color w:val="000000"/>
          <w:sz w:val="23"/>
          <w:szCs w:val="23"/>
        </w:rPr>
        <w:t xml:space="preserve">La primera ejecución registra hasta 500 filas y envía un correo de bienvenida; las siguientes reportan solo lo nuevo o los cambios, opcionalmente filtrados por relevancia.</w:t>
      </w:r>
    </w:p>
    <w:p>
      <w:pPr>
        <w:spacing w:after="120" w:before="80" w:line="276"/>
        <w:jc w:val="both"/>
      </w:pPr>
      <w:r>
        <w:rPr>
          <w:rFonts w:ascii="Times New Roman" w:cs="Times New Roman" w:eastAsia="Times New Roman" w:hAnsi="Times New Roman"/>
          <w:b/>
          <w:bCs/>
          <w:color w:val="000000"/>
          <w:sz w:val="23"/>
          <w:szCs w:val="23"/>
        </w:rPr>
        <w:t xml:space="preserve">Decisiones y condiciones clave.</w:t>
      </w:r>
      <w:r>
        <w:rPr>
          <w:rFonts w:ascii="Times New Roman" w:cs="Times New Roman" w:eastAsia="Times New Roman" w:hAnsi="Times New Roman"/>
          <w:color w:val="000000"/>
          <w:sz w:val="23"/>
          <w:szCs w:val="23"/>
        </w:rPr>
        <w:t xml:space="preserve"> Habilitación de la función, existencia de destinatarios, modo del endpoint y uso del filtro de relevancia.</w:t>
      </w:r>
    </w:p>
    <w:p>
      <w:pPr>
        <w:spacing w:after="120" w:before="0" w:line="276"/>
        <w:jc w:val="both"/>
      </w:pPr>
      <w:r>
        <w:rPr>
          <w:rFonts w:ascii="Times New Roman" w:cs="Times New Roman" w:eastAsia="Times New Roman" w:hAnsi="Times New Roman"/>
          <w:b/>
          <w:bCs/>
          <w:color w:val="000000"/>
          <w:sz w:val="23"/>
          <w:szCs w:val="23"/>
        </w:rPr>
        <w:t xml:space="preserve">Rutas de error y contingencias.</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monitors_not_enabled</w:t>
      </w:r>
      <w:r>
        <w:rPr>
          <w:rFonts w:ascii="Times New Roman" w:cs="Times New Roman" w:eastAsia="Times New Roman" w:hAnsi="Times New Roman"/>
          <w:color w:val="000000"/>
          <w:sz w:val="23"/>
          <w:szCs w:val="23"/>
        </w:rPr>
        <w:t xml:space="preserve"> (beta privada), </w:t>
      </w:r>
      <w:r>
        <w:rPr>
          <w:rFonts w:ascii="Times New Roman" w:cs="Times New Roman" w:eastAsia="Times New Roman" w:hAnsi="Times New Roman"/>
          <w:i/>
          <w:iCs/>
          <w:color w:val="000000"/>
          <w:sz w:val="23"/>
          <w:szCs w:val="23"/>
        </w:rPr>
        <w:t xml:space="preserve">schedule_faster_than_source</w:t>
      </w:r>
      <w:r>
        <w:rPr>
          <w:rFonts w:ascii="Times New Roman" w:cs="Times New Roman" w:eastAsia="Times New Roman" w:hAnsi="Times New Roman"/>
          <w:color w:val="000000"/>
          <w:sz w:val="23"/>
          <w:szCs w:val="23"/>
        </w:rPr>
        <w:t xml:space="preserve"> cuando se pide más frecuencia que la del dataset, </w:t>
      </w:r>
      <w:r>
        <w:rPr>
          <w:rFonts w:ascii="Times New Roman" w:cs="Times New Roman" w:eastAsia="Times New Roman" w:hAnsi="Times New Roman"/>
          <w:i/>
          <w:iCs/>
          <w:color w:val="000000"/>
          <w:sz w:val="23"/>
          <w:szCs w:val="23"/>
        </w:rPr>
        <w:t xml:space="preserve">invalid_param</w:t>
      </w:r>
      <w:r>
        <w:rPr>
          <w:rFonts w:ascii="Times New Roman" w:cs="Times New Roman" w:eastAsia="Times New Roman" w:hAnsi="Times New Roman"/>
          <w:color w:val="000000"/>
          <w:sz w:val="23"/>
          <w:szCs w:val="23"/>
        </w:rPr>
        <w:t xml:space="preserve"> cuando un endpoint en vivo pide </w:t>
      </w:r>
      <w:r>
        <w:rPr>
          <w:rFonts w:ascii="Times New Roman" w:cs="Times New Roman" w:eastAsia="Times New Roman" w:hAnsi="Times New Roman"/>
          <w:i/>
          <w:iCs/>
          <w:color w:val="000000"/>
          <w:sz w:val="23"/>
          <w:szCs w:val="23"/>
        </w:rPr>
        <w:t xml:space="preserve">cadence: source</w:t>
      </w:r>
      <w:r>
        <w:rPr>
          <w:rFonts w:ascii="Times New Roman" w:cs="Times New Roman" w:eastAsia="Times New Roman" w:hAnsi="Times New Roman"/>
          <w:color w:val="000000"/>
          <w:sz w:val="23"/>
          <w:szCs w:val="23"/>
        </w:rPr>
        <w:t xml:space="preserve">, el tope de 20 monitores, </w:t>
      </w:r>
      <w:r>
        <w:rPr>
          <w:rFonts w:ascii="Times New Roman" w:cs="Times New Roman" w:eastAsia="Times New Roman" w:hAnsi="Times New Roman"/>
          <w:i/>
          <w:iCs/>
          <w:color w:val="000000"/>
          <w:sz w:val="23"/>
          <w:szCs w:val="23"/>
        </w:rPr>
        <w:t xml:space="preserve">skipped_plan_limit</w:t>
      </w:r>
      <w:r>
        <w:rPr>
          <w:rFonts w:ascii="Times New Roman" w:cs="Times New Roman" w:eastAsia="Times New Roman" w:hAnsi="Times New Roman"/>
          <w:color w:val="000000"/>
          <w:sz w:val="23"/>
          <w:szCs w:val="23"/>
        </w:rPr>
        <w:t xml:space="preserve"> sin créditos y </w:t>
      </w:r>
      <w:r>
        <w:rPr>
          <w:rFonts w:ascii="Times New Roman" w:cs="Times New Roman" w:eastAsia="Times New Roman" w:hAnsi="Times New Roman"/>
          <w:i/>
          <w:iCs/>
          <w:color w:val="000000"/>
          <w:sz w:val="23"/>
          <w:szCs w:val="23"/>
        </w:rPr>
        <w:t xml:space="preserve">truncated</w:t>
      </w:r>
      <w:r>
        <w:rPr>
          <w:rFonts w:ascii="Times New Roman" w:cs="Times New Roman" w:eastAsia="Times New Roman" w:hAnsi="Times New Roman"/>
          <w:color w:val="000000"/>
          <w:sz w:val="23"/>
          <w:szCs w:val="23"/>
        </w:rPr>
        <w:t xml:space="preserve"> con más de 500 filas nuevas.</w:t>
      </w:r>
      <w:r>
        <w:rPr>
          <w:rStyle w:val="FootnoteReference"/>
        </w:rPr>
        <w:footnoteReference w:id="107"/>
      </w:r>
    </w:p>
    <w:p>
      <w:pPr>
        <w:spacing w:after="120" w:before="0" w:line="276"/>
        <w:jc w:val="both"/>
      </w:pPr>
      <w:r>
        <w:rPr>
          <w:rFonts w:ascii="Times New Roman" w:cs="Times New Roman" w:eastAsia="Times New Roman" w:hAnsi="Times New Roman"/>
          <w:b/>
          <w:bCs/>
          <w:color w:val="000000"/>
          <w:sz w:val="23"/>
          <w:szCs w:val="23"/>
        </w:rPr>
        <w:t xml:space="preserve">Riesgos y supuestos.</w:t>
      </w:r>
      <w:r>
        <w:rPr>
          <w:rFonts w:ascii="Times New Roman" w:cs="Times New Roman" w:eastAsia="Times New Roman" w:hAnsi="Times New Roman"/>
          <w:color w:val="000000"/>
          <w:sz w:val="23"/>
          <w:szCs w:val="23"/>
        </w:rPr>
        <w:t xml:space="preserve"> La función está en beta privada, por lo que un producto no debe depender de ella sin un acuerdo de acceso. Cuando una fuente no publica, la ejecución lo declara con </w:t>
      </w:r>
      <w:r>
        <w:rPr>
          <w:rFonts w:ascii="Times New Roman" w:cs="Times New Roman" w:eastAsia="Times New Roman" w:hAnsi="Times New Roman"/>
          <w:i/>
          <w:iCs/>
          <w:color w:val="000000"/>
          <w:sz w:val="23"/>
          <w:szCs w:val="23"/>
        </w:rPr>
        <w:t xml:space="preserve">source_stale</w:t>
      </w:r>
      <w:r>
        <w:rPr>
          <w:rFonts w:ascii="Times New Roman" w:cs="Times New Roman" w:eastAsia="Times New Roman" w:hAnsi="Times New Roman"/>
          <w:color w:val="000000"/>
          <w:sz w:val="23"/>
          <w:szCs w:val="23"/>
        </w:rPr>
        <w:t xml:space="preserve"> y el correo lo dice expresamente, en lugar de un simple «sin novedades».</w:t>
      </w:r>
    </w:p>
    <w:p>
      <w:pPr>
        <w:keepNext/>
        <w:spacing w:after="80" w:before="200" w:line="240"/>
        <w:jc w:val="left"/>
      </w:pPr>
      <w:r>
        <w:rPr>
          <w:rFonts w:ascii="Times New Roman" w:cs="Times New Roman" w:eastAsia="Times New Roman" w:hAnsi="Times New Roman"/>
          <w:b/>
          <w:bCs/>
          <w:color w:val="000000"/>
          <w:sz w:val="20"/>
          <w:szCs w:val="20"/>
        </w:rPr>
        <w:t xml:space="preserve">Tabla 29. </w:t>
      </w:r>
      <w:r>
        <w:rPr>
          <w:rFonts w:ascii="Times New Roman" w:cs="Times New Roman" w:eastAsia="Times New Roman" w:hAnsi="Times New Roman"/>
          <w:i/>
          <w:iCs/>
          <w:color w:val="000000"/>
          <w:sz w:val="20"/>
          <w:szCs w:val="20"/>
        </w:rPr>
        <w:t xml:space="preserve">Recursos y remisiones del diagrama D16</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2939"/>
        <w:gridCol w:w="941"/>
        <w:gridCol w:w="941"/>
        <w:gridCol w:w="1528"/>
        <w:gridCol w:w="2410"/>
      </w:tblGrid>
      <w:tr>
        <w:trPr>
          <w:cantSplit/>
          <w:tblHeader/>
        </w:trPr>
        <w:tc>
          <w:tcPr>
            <w:tcW w:type="dxa" w:w="64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Id</w:t>
            </w:r>
          </w:p>
        </w:tc>
        <w:tc>
          <w:tcPr>
            <w:tcW w:type="dxa" w:w="293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Recurso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Tipo</w:t>
            </w:r>
          </w:p>
        </w:tc>
        <w:tc>
          <w:tcPr>
            <w:tcW w:type="dxa" w:w="94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Criticidad</w:t>
            </w:r>
          </w:p>
        </w:tc>
        <w:tc>
          <w:tcPr>
            <w:tcW w:type="dxa" w:w="152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Nodos que lo usan</w:t>
            </w:r>
          </w:p>
        </w:tc>
        <w:tc>
          <w:tcPr>
            <w:tcW w:type="dxa" w:w="241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Remite a / dependencia</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R01</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Llave de organización (Bearer croma_live_… u OAuth MCP)</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api</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EN</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Consola de Croma (emitir o rotar llaves)</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R02</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Saldo de créditos del plan (10 vivo · 1 dataset)</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FR, RU</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Plan y facturación; 402 al agotarse</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Copia dataset mantenida por Croma (as_of)</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storage</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CA</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Fuente oficial en el siguiente refresco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Portal oficial de la entidad colombiana</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ALTA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FR</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Reintento idempotente o copia en caché</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R09</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Agente o cliente MCP (Claude, ChatGPT, Cursor)</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modelo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MEDIA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Q</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Herramientas MCP del catálogo</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R13</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Correo de notificación (1 a 3 destinatarios)</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BAJA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ASK, M</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Destinatarios (máx. 3) y baja por enlace</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R14</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Filtro de relevancia en lenguaje natural</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modelo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BAJA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RL, LLM</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list_monitor_matches (relevant:false)</w:t>
            </w:r>
          </w:p>
        </w:tc>
      </w:tr>
      <w:tr>
        <w:trPr>
          <w:cantSplit/>
        </w:trPr>
        <w:tc>
          <w:tcPr>
            <w:tcW w:type="dxa" w:w="6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R15</w:t>
            </w:r>
          </w:p>
        </w:tc>
        <w:tc>
          <w:tcPr>
            <w:tcW w:type="dxa" w:w="29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Catálogo y OpenAPI (/catalog, /openapi)</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w:t>
            </w:r>
          </w:p>
        </w:tc>
        <w:tc>
          <w:tcPr>
            <w:tcW w:type="dxa" w:w="9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BAJA</w:t>
            </w:r>
          </w:p>
        </w:tc>
        <w:tc>
          <w:tcPr>
            <w:tcW w:type="dxa" w:w="15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CR</w:t>
            </w:r>
          </w:p>
        </w:tc>
        <w:tc>
          <w:tcPr>
            <w:tcW w:type="dxa" w:w="24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OpenAPI y /catalog</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Registro único de recursos (§7). Validación §9 del diagrama: APROBADO_RENDER, 17 nodos, 21 aristas, 4 decisiones, 3 rutas de error, 0 recursos huérfanos.</w:t>
      </w: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V. ATAJOS PARA APROVECHAR EL 100 % DE LA API</w:t>
      </w:r>
    </w:p>
    <w:p>
      <w:pPr>
        <w:spacing w:after="120" w:before="0" w:line="276"/>
        <w:jc w:val="both"/>
      </w:pPr>
      <w:r>
        <w:rPr>
          <w:rFonts w:ascii="Times New Roman" w:cs="Times New Roman" w:eastAsia="Times New Roman" w:hAnsi="Times New Roman"/>
          <w:color w:val="000000"/>
          <w:sz w:val="23"/>
          <w:szCs w:val="23"/>
        </w:rPr>
        <w:t xml:space="preserve">Un atajo, en este contexto, es una forma de obtener la misma información con menos llamadas, menos créditos, menos latencia o menos contexto consumido por el agente. Los atajos se agrupan en cuatro familias: de identificador, de costo, de contexto y de encadenamiento.</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5.1 — Atajos de identificador</w:t>
      </w:r>
    </w:p>
    <w:p>
      <w:pPr>
        <w:keepNext/>
        <w:spacing w:after="80" w:before="200" w:line="240"/>
        <w:jc w:val="left"/>
      </w:pPr>
      <w:r>
        <w:rPr>
          <w:rFonts w:ascii="Times New Roman" w:cs="Times New Roman" w:eastAsia="Times New Roman" w:hAnsi="Times New Roman"/>
          <w:b/>
          <w:bCs/>
          <w:color w:val="000000"/>
          <w:sz w:val="20"/>
          <w:szCs w:val="20"/>
        </w:rPr>
        <w:t xml:space="preserve">Tabla 30. </w:t>
      </w:r>
      <w:r>
        <w:rPr>
          <w:rFonts w:ascii="Times New Roman" w:cs="Times New Roman" w:eastAsia="Times New Roman" w:hAnsi="Times New Roman"/>
          <w:i/>
          <w:iCs/>
          <w:color w:val="000000"/>
          <w:sz w:val="20"/>
          <w:szCs w:val="20"/>
        </w:rPr>
        <w:t xml:space="preserve">Atajos de identificador</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
        <w:gridCol w:w="2687"/>
        <w:gridCol w:w="4972"/>
        <w:gridCol w:w="1277"/>
      </w:tblGrid>
      <w:tr>
        <w:trPr>
          <w:cantSplit/>
          <w:tblHeader/>
        </w:trPr>
        <w:tc>
          <w:tcPr>
            <w:tcW w:type="dxa" w:w="47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w:t>
            </w:r>
          </w:p>
        </w:tc>
        <w:tc>
          <w:tcPr>
            <w:tcW w:type="dxa" w:w="268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Atajo</w:t>
            </w:r>
          </w:p>
        </w:tc>
        <w:tc>
          <w:tcPr>
            <w:tcW w:type="dxa" w:w="4972"/>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Cómo se aplica</w:t>
            </w:r>
          </w:p>
        </w:tc>
        <w:tc>
          <w:tcPr>
            <w:tcW w:type="dxa" w:w="127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Evidencia</w:t>
            </w:r>
          </w:p>
        </w:tc>
      </w:tr>
      <w:tr>
        <w:trPr>
          <w:cantSplit/>
        </w:trPr>
        <w:tc>
          <w:tcPr>
            <w:tcW w:type="dxa" w:w="4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1</w:t>
            </w:r>
          </w:p>
        </w:tc>
        <w:tc>
          <w:tcPr>
            <w:tcW w:type="dxa" w:w="268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Del radicado al correo del despacho</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7"/>
                <w:szCs w:val="17"/>
              </w:rPr>
              <w:t xml:space="preserve">rama_judicial_emails_by_court</w:t>
            </w:r>
            <w:r>
              <w:rPr>
                <w:rFonts w:ascii="Times New Roman" w:cs="Times New Roman" w:eastAsia="Times New Roman" w:hAnsi="Times New Roman"/>
                <w:b w:val="false"/>
                <w:bCs w:val="false"/>
                <w:color w:val="000000"/>
                <w:sz w:val="17"/>
                <w:szCs w:val="17"/>
              </w:rPr>
              <w:t xml:space="preserve"> acepta el radicado completo: sus primeros 12 dígitos son el código del despacho.</w:t>
            </w:r>
          </w:p>
        </w:tc>
        <w:tc>
          <w:tcPr>
            <w:tcW w:type="dxa" w:w="12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T08</w:t>
            </w:r>
          </w:p>
        </w:tc>
      </w:tr>
      <w:tr>
        <w:trPr>
          <w:cantSplit/>
        </w:trPr>
        <w:tc>
          <w:tcPr>
            <w:tcW w:type="dxa" w:w="4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2</w:t>
            </w:r>
          </w:p>
        </w:tc>
        <w:tc>
          <w:tcPr>
            <w:tcW w:type="dxa" w:w="268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Todo SECOP en una llamada</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7"/>
                <w:szCs w:val="17"/>
              </w:rPr>
              <w:t xml:space="preserve">secop_profile</w:t>
            </w:r>
            <w:r>
              <w:rPr>
                <w:rFonts w:ascii="Times New Roman" w:cs="Times New Roman" w:eastAsia="Times New Roman" w:hAnsi="Times New Roman"/>
                <w:b w:val="false"/>
                <w:bCs w:val="false"/>
                <w:color w:val="000000"/>
                <w:sz w:val="17"/>
                <w:szCs w:val="17"/>
              </w:rPr>
              <w:t xml:space="preserve"> con el NIT o la cédula resume contratos, adjudicaciones, ofertas y sanciones por un crédito; las búsquedas solo sirven para paginar.</w:t>
            </w:r>
          </w:p>
        </w:tc>
        <w:tc>
          <w:tcPr>
            <w:tcW w:type="dxa" w:w="12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T23</w:t>
            </w:r>
          </w:p>
        </w:tc>
      </w:tr>
      <w:tr>
        <w:trPr>
          <w:cantSplit/>
        </w:trPr>
        <w:tc>
          <w:tcPr>
            <w:tcW w:type="dxa" w:w="4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3</w:t>
            </w:r>
          </w:p>
        </w:tc>
        <w:tc>
          <w:tcPr>
            <w:tcW w:type="dxa" w:w="268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Lectura instantánea por id prefijado</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Los ids </w:t>
            </w:r>
            <w:r>
              <w:rPr>
                <w:rFonts w:ascii="Times New Roman" w:cs="Times New Roman" w:eastAsia="Times New Roman" w:hAnsi="Times New Roman"/>
                <w:b w:val="false"/>
                <w:bCs w:val="false"/>
                <w:i/>
                <w:iCs/>
                <w:color w:val="000000"/>
                <w:sz w:val="17"/>
                <w:szCs w:val="17"/>
              </w:rPr>
              <w:t xml:space="preserve">secop_ii:…</w:t>
            </w:r>
            <w:r>
              <w:rPr>
                <w:rFonts w:ascii="Times New Roman" w:cs="Times New Roman" w:eastAsia="Times New Roman" w:hAnsi="Times New Roman"/>
                <w:b w:val="false"/>
                <w:bCs w:val="false"/>
                <w:color w:val="000000"/>
                <w:sz w:val="17"/>
                <w:szCs w:val="17"/>
              </w:rPr>
              <w:t xml:space="preserve"> y </w:t>
            </w:r>
            <w:r>
              <w:rPr>
                <w:rFonts w:ascii="Times New Roman" w:cs="Times New Roman" w:eastAsia="Times New Roman" w:hAnsi="Times New Roman"/>
                <w:b w:val="false"/>
                <w:bCs w:val="false"/>
                <w:i/>
                <w:iCs/>
                <w:color w:val="000000"/>
                <w:sz w:val="17"/>
                <w:szCs w:val="17"/>
              </w:rPr>
              <w:t xml:space="preserve">secop_i:…</w:t>
            </w:r>
            <w:r>
              <w:rPr>
                <w:rFonts w:ascii="Times New Roman" w:cs="Times New Roman" w:eastAsia="Times New Roman" w:hAnsi="Times New Roman"/>
                <w:b w:val="false"/>
                <w:bCs w:val="false"/>
                <w:color w:val="000000"/>
                <w:sz w:val="17"/>
                <w:szCs w:val="17"/>
              </w:rPr>
              <w:t xml:space="preserve"> de cualquier búsqueda se leen en milisegundos con </w:t>
            </w:r>
            <w:r>
              <w:rPr>
                <w:rFonts w:ascii="Times New Roman" w:cs="Times New Roman" w:eastAsia="Times New Roman" w:hAnsi="Times New Roman"/>
                <w:b w:val="false"/>
                <w:bCs w:val="false"/>
                <w:i/>
                <w:iCs/>
                <w:color w:val="000000"/>
                <w:sz w:val="17"/>
                <w:szCs w:val="17"/>
              </w:rPr>
              <w:t xml:space="preserve">*_record</w:t>
            </w:r>
            <w:r>
              <w:rPr>
                <w:rFonts w:ascii="Times New Roman" w:cs="Times New Roman" w:eastAsia="Times New Roman" w:hAnsi="Times New Roman"/>
                <w:b w:val="false"/>
                <w:bCs w:val="false"/>
                <w:color w:val="000000"/>
                <w:sz w:val="17"/>
                <w:szCs w:val="17"/>
              </w:rPr>
              <w:t xml:space="preserve">, incluso cuando la vista viva aún no tiene el registro.</w:t>
            </w:r>
          </w:p>
        </w:tc>
        <w:tc>
          <w:tcPr>
            <w:tcW w:type="dxa" w:w="12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T44</w:t>
            </w:r>
          </w:p>
        </w:tc>
      </w:tr>
      <w:tr>
        <w:trPr>
          <w:cantSplit/>
        </w:trPr>
        <w:tc>
          <w:tcPr>
            <w:tcW w:type="dxa" w:w="4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4</w:t>
            </w:r>
          </w:p>
        </w:tc>
        <w:tc>
          <w:tcPr>
            <w:tcW w:type="dxa" w:w="268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Carteras en lote</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Hasta 50 radicados por llamada; los duplicados se consultan una vez y un ítem que falla en la fuente no tumba el lote.</w:t>
            </w:r>
          </w:p>
        </w:tc>
        <w:tc>
          <w:tcPr>
            <w:tcW w:type="dxa" w:w="12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T09</w:t>
            </w:r>
          </w:p>
        </w:tc>
      </w:tr>
      <w:tr>
        <w:trPr>
          <w:cantSplit/>
        </w:trPr>
        <w:tc>
          <w:tcPr>
            <w:tcW w:type="dxa" w:w="4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5</w:t>
            </w:r>
          </w:p>
        </w:tc>
        <w:tc>
          <w:tcPr>
            <w:tcW w:type="dxa" w:w="268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Nombre exacto y ventana de 30 días</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La razón social completa más </w:t>
            </w:r>
            <w:r>
              <w:rPr>
                <w:rFonts w:ascii="Times New Roman" w:cs="Times New Roman" w:eastAsia="Times New Roman" w:hAnsi="Times New Roman"/>
                <w:b w:val="false"/>
                <w:bCs w:val="false"/>
                <w:i/>
                <w:iCs/>
                <w:color w:val="000000"/>
                <w:sz w:val="17"/>
                <w:szCs w:val="17"/>
              </w:rPr>
              <w:t xml:space="preserve">active_only</w:t>
            </w:r>
            <w:r>
              <w:rPr>
                <w:rFonts w:ascii="Times New Roman" w:cs="Times New Roman" w:eastAsia="Times New Roman" w:hAnsi="Times New Roman"/>
                <w:b w:val="false"/>
                <w:bCs w:val="false"/>
                <w:color w:val="000000"/>
                <w:sz w:val="17"/>
                <w:szCs w:val="17"/>
              </w:rPr>
              <w:t xml:space="preserve"> evita «too many matches» en Rama Judicial.</w:t>
            </w:r>
          </w:p>
        </w:tc>
        <w:tc>
          <w:tcPr>
            <w:tcW w:type="dxa" w:w="12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T01, T05</w:t>
            </w:r>
          </w:p>
        </w:tc>
      </w:tr>
      <w:tr>
        <w:trPr>
          <w:cantSplit/>
        </w:trPr>
        <w:tc>
          <w:tcPr>
            <w:tcW w:type="dxa" w:w="4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6</w:t>
            </w:r>
          </w:p>
        </w:tc>
        <w:tc>
          <w:tcPr>
            <w:tcW w:type="dxa" w:w="268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Grafo societario automático</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Los </w:t>
            </w:r>
            <w:r>
              <w:rPr>
                <w:rFonts w:ascii="Times New Roman" w:cs="Times New Roman" w:eastAsia="Times New Roman" w:hAnsi="Times New Roman"/>
                <w:b w:val="false"/>
                <w:bCs w:val="false"/>
                <w:i/>
                <w:iCs/>
                <w:color w:val="000000"/>
                <w:sz w:val="17"/>
                <w:szCs w:val="17"/>
              </w:rPr>
              <w:t xml:space="preserve">party_document_numbers</w:t>
            </w:r>
            <w:r>
              <w:rPr>
                <w:rFonts w:ascii="Times New Roman" w:cs="Times New Roman" w:eastAsia="Times New Roman" w:hAnsi="Times New Roman"/>
                <w:b w:val="false"/>
                <w:bCs w:val="false"/>
                <w:color w:val="000000"/>
                <w:sz w:val="17"/>
                <w:szCs w:val="17"/>
              </w:rPr>
              <w:t xml:space="preserve"> de Supersociedades alimentan </w:t>
            </w:r>
            <w:r>
              <w:rPr>
                <w:rFonts w:ascii="Times New Roman" w:cs="Times New Roman" w:eastAsia="Times New Roman" w:hAnsi="Times New Roman"/>
                <w:b w:val="false"/>
                <w:bCs w:val="false"/>
                <w:i/>
                <w:iCs/>
                <w:color w:val="000000"/>
                <w:sz w:val="17"/>
                <w:szCs w:val="17"/>
              </w:rPr>
              <w:t xml:space="preserve">supersociedades_ownership_search</w:t>
            </w:r>
            <w:r>
              <w:rPr>
                <w:rFonts w:ascii="Times New Roman" w:cs="Times New Roman" w:eastAsia="Times New Roman" w:hAnsi="Times New Roman"/>
                <w:b w:val="false"/>
                <w:bCs w:val="false"/>
                <w:color w:val="000000"/>
                <w:sz w:val="17"/>
                <w:szCs w:val="17"/>
              </w:rPr>
              <w:t xml:space="preserve"> para encontrar en qué otras sociedades aparece cada socio o administrador.</w:t>
            </w:r>
          </w:p>
        </w:tc>
        <w:tc>
          <w:tcPr>
            <w:tcW w:type="dxa" w:w="12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T15</w:t>
            </w:r>
          </w:p>
        </w:tc>
      </w:tr>
      <w:tr>
        <w:trPr>
          <w:cantSplit/>
        </w:trPr>
        <w:tc>
          <w:tcPr>
            <w:tcW w:type="dxa" w:w="4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7</w:t>
            </w:r>
          </w:p>
        </w:tc>
        <w:tc>
          <w:tcPr>
            <w:tcW w:type="dxa" w:w="268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Predios por manzana</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Los primeros 17 dígitos del número predial son el </w:t>
            </w:r>
            <w:r>
              <w:rPr>
                <w:rFonts w:ascii="Times New Roman" w:cs="Times New Roman" w:eastAsia="Times New Roman" w:hAnsi="Times New Roman"/>
                <w:b w:val="false"/>
                <w:bCs w:val="false"/>
                <w:i/>
                <w:iCs/>
                <w:color w:val="000000"/>
                <w:sz w:val="17"/>
                <w:szCs w:val="17"/>
              </w:rPr>
              <w:t xml:space="preserve">block_code</w:t>
            </w:r>
            <w:r>
              <w:rPr>
                <w:rFonts w:ascii="Times New Roman" w:cs="Times New Roman" w:eastAsia="Times New Roman" w:hAnsi="Times New Roman"/>
                <w:b w:val="false"/>
                <w:bCs w:val="false"/>
                <w:color w:val="000000"/>
                <w:sz w:val="17"/>
                <w:szCs w:val="17"/>
              </w:rPr>
              <w:t xml:space="preserve"> que lista todos los predios de la manzana o vereda.</w:t>
            </w:r>
          </w:p>
        </w:tc>
        <w:tc>
          <w:tcPr>
            <w:tcW w:type="dxa" w:w="12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Guía IGAC</w:t>
            </w:r>
          </w:p>
        </w:tc>
      </w:tr>
      <w:tr>
        <w:trPr>
          <w:cantSplit/>
        </w:trPr>
        <w:tc>
          <w:tcPr>
            <w:tcW w:type="dxa" w:w="4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8</w:t>
            </w:r>
          </w:p>
        </w:tc>
        <w:tc>
          <w:tcPr>
            <w:tcW w:type="dxa" w:w="268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DIVIPOLA como llave universal</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El mismo código de 2 o 5 dígitos cruza DANE, TerriData, ICFES, MinEducación, IGAC y SUIT.</w:t>
            </w:r>
          </w:p>
        </w:tc>
        <w:tc>
          <w:tcPr>
            <w:tcW w:type="dxa" w:w="12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T31, T47, T59</w:t>
            </w:r>
          </w:p>
        </w:tc>
      </w:tr>
      <w:tr>
        <w:trPr>
          <w:cantSplit/>
        </w:trPr>
        <w:tc>
          <w:tcPr>
            <w:tcW w:type="dxa" w:w="4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9</w:t>
            </w:r>
          </w:p>
        </w:tc>
        <w:tc>
          <w:tcPr>
            <w:tcW w:type="dxa" w:w="268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Estados del día sin PDF</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7"/>
                <w:szCs w:val="17"/>
              </w:rPr>
              <w:t xml:space="preserve">supersociedades_baranda_decisions_search</w:t>
            </w:r>
            <w:r>
              <w:rPr>
                <w:rFonts w:ascii="Times New Roman" w:cs="Times New Roman" w:eastAsia="Times New Roman" w:hAnsi="Times New Roman"/>
                <w:b w:val="false"/>
                <w:bCs w:val="false"/>
                <w:color w:val="000000"/>
                <w:sz w:val="17"/>
                <w:szCs w:val="17"/>
              </w:rPr>
              <w:t xml:space="preserve"> con </w:t>
            </w:r>
            <w:r>
              <w:rPr>
                <w:rFonts w:ascii="Times New Roman" w:cs="Times New Roman" w:eastAsia="Times New Roman" w:hAnsi="Times New Roman"/>
                <w:b w:val="false"/>
                <w:bCs w:val="false"/>
                <w:i/>
                <w:iCs/>
                <w:color w:val="000000"/>
                <w:sz w:val="17"/>
                <w:szCs w:val="17"/>
              </w:rPr>
              <w:t xml:space="preserve">from_date</w:t>
            </w:r>
            <w:r>
              <w:rPr>
                <w:rFonts w:ascii="Times New Roman" w:cs="Times New Roman" w:eastAsia="Times New Roman" w:hAnsi="Times New Roman"/>
                <w:b w:val="false"/>
                <w:bCs w:val="false"/>
                <w:color w:val="000000"/>
                <w:sz w:val="17"/>
                <w:szCs w:val="17"/>
              </w:rPr>
              <w:t xml:space="preserve"> igual a </w:t>
            </w:r>
            <w:r>
              <w:rPr>
                <w:rFonts w:ascii="Times New Roman" w:cs="Times New Roman" w:eastAsia="Times New Roman" w:hAnsi="Times New Roman"/>
                <w:b w:val="false"/>
                <w:bCs w:val="false"/>
                <w:i/>
                <w:iCs/>
                <w:color w:val="000000"/>
                <w:sz w:val="17"/>
                <w:szCs w:val="17"/>
              </w:rPr>
              <w:t xml:space="preserve">to_date</w:t>
            </w:r>
            <w:r>
              <w:rPr>
                <w:rFonts w:ascii="Times New Roman" w:cs="Times New Roman" w:eastAsia="Times New Roman" w:hAnsi="Times New Roman"/>
                <w:b w:val="false"/>
                <w:bCs w:val="false"/>
                <w:color w:val="000000"/>
                <w:sz w:val="17"/>
                <w:szCs w:val="17"/>
              </w:rPr>
              <w:t xml:space="preserve"> devuelve los autos notificados ese día con lo que ordenan.</w:t>
            </w:r>
          </w:p>
        </w:tc>
        <w:tc>
          <w:tcPr>
            <w:tcW w:type="dxa" w:w="12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Guía Baranda</w:t>
            </w:r>
          </w:p>
        </w:tc>
      </w:tr>
      <w:tr>
        <w:trPr>
          <w:cantSplit/>
        </w:trPr>
        <w:tc>
          <w:tcPr>
            <w:tcW w:type="dxa" w:w="4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10</w:t>
            </w:r>
          </w:p>
        </w:tc>
        <w:tc>
          <w:tcPr>
            <w:tcW w:type="dxa" w:w="268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Portafolio marcario completo</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7"/>
                <w:szCs w:val="17"/>
              </w:rPr>
              <w:t xml:space="preserve">sic_ip_trademarks_by_owner</w:t>
            </w:r>
            <w:r>
              <w:rPr>
                <w:rFonts w:ascii="Times New Roman" w:cs="Times New Roman" w:eastAsia="Times New Roman" w:hAnsi="Times New Roman"/>
                <w:b w:val="false"/>
                <w:bCs w:val="false"/>
                <w:color w:val="000000"/>
                <w:sz w:val="17"/>
                <w:szCs w:val="17"/>
              </w:rPr>
              <w:t xml:space="preserve"> con NIT (con o sin DV) devuelve todas las marcas del titular sin conocer sus nombres.</w:t>
            </w:r>
          </w:p>
        </w:tc>
        <w:tc>
          <w:tcPr>
            <w:tcW w:type="dxa" w:w="12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T56</w:t>
            </w:r>
          </w:p>
        </w:tc>
      </w:tr>
      <w:tr>
        <w:trPr>
          <w:cantSplit/>
        </w:trPr>
        <w:tc>
          <w:tcPr>
            <w:tcW w:type="dxa" w:w="4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11</w:t>
            </w:r>
          </w:p>
        </w:tc>
        <w:tc>
          <w:tcPr>
            <w:tcW w:type="dxa" w:w="268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Factura sin contraseña</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7"/>
                <w:szCs w:val="17"/>
              </w:rPr>
              <w:t xml:space="preserve">dian_electronic_document</w:t>
            </w:r>
            <w:r>
              <w:rPr>
                <w:rFonts w:ascii="Times New Roman" w:cs="Times New Roman" w:eastAsia="Times New Roman" w:hAnsi="Times New Roman"/>
                <w:b w:val="false"/>
                <w:bCs w:val="false"/>
                <w:color w:val="000000"/>
                <w:sz w:val="17"/>
                <w:szCs w:val="17"/>
              </w:rPr>
              <w:t xml:space="preserve"> con </w:t>
            </w:r>
            <w:r>
              <w:rPr>
                <w:rFonts w:ascii="Times New Roman" w:cs="Times New Roman" w:eastAsia="Times New Roman" w:hAnsi="Times New Roman"/>
                <w:b w:val="false"/>
                <w:bCs w:val="false"/>
                <w:i/>
                <w:iCs/>
                <w:color w:val="000000"/>
                <w:sz w:val="17"/>
                <w:szCs w:val="17"/>
              </w:rPr>
              <w:t xml:space="preserve">include_pdf</w:t>
            </w:r>
            <w:r>
              <w:rPr>
                <w:rFonts w:ascii="Times New Roman" w:cs="Times New Roman" w:eastAsia="Times New Roman" w:hAnsi="Times New Roman"/>
                <w:b w:val="false"/>
                <w:bCs w:val="false"/>
                <w:color w:val="000000"/>
                <w:sz w:val="17"/>
                <w:szCs w:val="17"/>
              </w:rPr>
              <w:t xml:space="preserve"> y la secuencia de contraseñas sugeridas; </w:t>
            </w:r>
            <w:r>
              <w:rPr>
                <w:rFonts w:ascii="Times New Roman" w:cs="Times New Roman" w:eastAsia="Times New Roman" w:hAnsi="Times New Roman"/>
                <w:b w:val="false"/>
                <w:bCs w:val="false"/>
                <w:i/>
                <w:iCs/>
                <w:color w:val="000000"/>
                <w:sz w:val="17"/>
                <w:szCs w:val="17"/>
              </w:rPr>
              <w:t xml:space="preserve">cache: false</w:t>
            </w:r>
            <w:r>
              <w:rPr>
                <w:rFonts w:ascii="Times New Roman" w:cs="Times New Roman" w:eastAsia="Times New Roman" w:hAnsi="Times New Roman"/>
                <w:b w:val="false"/>
                <w:bCs w:val="false"/>
                <w:color w:val="000000"/>
                <w:sz w:val="17"/>
                <w:szCs w:val="17"/>
              </w:rPr>
              <w:t xml:space="preserve"> tras registrar un evento.</w:t>
            </w:r>
          </w:p>
        </w:tc>
        <w:tc>
          <w:tcPr>
            <w:tcW w:type="dxa" w:w="12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Agent Skill</w:t>
            </w:r>
          </w:p>
        </w:tc>
      </w:tr>
      <w:tr>
        <w:trPr>
          <w:cantSplit/>
        </w:trPr>
        <w:tc>
          <w:tcPr>
            <w:tcW w:type="dxa" w:w="4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12</w:t>
            </w:r>
          </w:p>
        </w:tc>
        <w:tc>
          <w:tcPr>
            <w:tcW w:type="dxa" w:w="268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Normas con su historia</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Los </w:t>
            </w:r>
            <w:r>
              <w:rPr>
                <w:rFonts w:ascii="Times New Roman" w:cs="Times New Roman" w:eastAsia="Times New Roman" w:hAnsi="Times New Roman"/>
                <w:b w:val="false"/>
                <w:bCs w:val="false"/>
                <w:i/>
                <w:iCs/>
                <w:color w:val="000000"/>
                <w:sz w:val="17"/>
                <w:szCs w:val="17"/>
              </w:rPr>
              <w:t xml:space="preserve">amendments</w:t>
            </w:r>
            <w:r>
              <w:rPr>
                <w:rFonts w:ascii="Times New Roman" w:cs="Times New Roman" w:eastAsia="Times New Roman" w:hAnsi="Times New Roman"/>
                <w:b w:val="false"/>
                <w:bCs w:val="false"/>
                <w:color w:val="000000"/>
                <w:sz w:val="17"/>
                <w:szCs w:val="17"/>
              </w:rPr>
              <w:t xml:space="preserve"> con </w:t>
            </w:r>
            <w:r>
              <w:rPr>
                <w:rFonts w:ascii="Times New Roman" w:cs="Times New Roman" w:eastAsia="Times New Roman" w:hAnsi="Times New Roman"/>
                <w:b w:val="false"/>
                <w:bCs w:val="false"/>
                <w:i/>
                <w:iCs/>
                <w:color w:val="000000"/>
                <w:sz w:val="17"/>
                <w:szCs w:val="17"/>
              </w:rPr>
              <w:t xml:space="preserve">norm_id</w:t>
            </w:r>
            <w:r>
              <w:rPr>
                <w:rFonts w:ascii="Times New Roman" w:cs="Times New Roman" w:eastAsia="Times New Roman" w:hAnsi="Times New Roman"/>
                <w:b w:val="false"/>
                <w:bCs w:val="false"/>
                <w:color w:val="000000"/>
                <w:sz w:val="17"/>
                <w:szCs w:val="17"/>
              </w:rPr>
              <w:t xml:space="preserve"> del Gestor Normativo enlazan decretos reglamentarios y modificaciones sin buscarlos.</w:t>
            </w:r>
          </w:p>
        </w:tc>
        <w:tc>
          <w:tcPr>
            <w:tcW w:type="dxa" w:w="12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T35</w:t>
            </w:r>
          </w:p>
        </w:tc>
      </w:tr>
    </w:tbl>
    <w:p>
      <w:pPr>
        <w:spacing w:after="200" w:before="60" w:line="240"/>
        <w:jc w:val="left"/>
      </w:pP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5.2 — Atajos de costo</w:t>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Preferir el dataset cuando existe equivalente.</w:t>
      </w:r>
      <w:r>
        <w:rPr>
          <w:rFonts w:ascii="Times New Roman" w:cs="Times New Roman" w:eastAsia="Times New Roman" w:hAnsi="Times New Roman"/>
          <w:color w:val="000000"/>
          <w:sz w:val="23"/>
          <w:szCs w:val="23"/>
        </w:rPr>
        <w:t xml:space="preserve"> Una solicitud a dataset cuesta 1 crédito frente a 10 de una consulta en vivo; en SECOP, por ejemplo, </w:t>
      </w:r>
      <w:r>
        <w:rPr>
          <w:rFonts w:ascii="Times New Roman" w:cs="Times New Roman" w:eastAsia="Times New Roman" w:hAnsi="Times New Roman"/>
          <w:i/>
          <w:iCs/>
          <w:color w:val="000000"/>
          <w:sz w:val="23"/>
          <w:szCs w:val="23"/>
        </w:rPr>
        <w:t xml:space="preserve">*_record</w:t>
      </w:r>
      <w:r>
        <w:rPr>
          <w:rFonts w:ascii="Times New Roman" w:cs="Times New Roman" w:eastAsia="Times New Roman" w:hAnsi="Times New Roman"/>
          <w:color w:val="000000"/>
          <w:sz w:val="23"/>
          <w:szCs w:val="23"/>
        </w:rPr>
        <w:t xml:space="preserve"> sustituye a la vista viva para casi todos los usos.</w:t>
      </w:r>
      <w:r>
        <w:rPr>
          <w:rStyle w:val="FootnoteReference"/>
        </w:rPr>
        <w:footnoteReference w:id="108"/>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Aprovechar la caché.</w:t>
      </w:r>
      <w:r>
        <w:rPr>
          <w:rFonts w:ascii="Times New Roman" w:cs="Times New Roman" w:eastAsia="Times New Roman" w:hAnsi="Times New Roman"/>
          <w:color w:val="000000"/>
          <w:sz w:val="23"/>
          <w:szCs w:val="23"/>
        </w:rPr>
        <w:t xml:space="preserve"> Repetir una consulta reciente no consume créditos, y el lote comparte caché con el endpoint individual: un radicado consultado hace poco regresa con </w:t>
      </w:r>
      <w:r>
        <w:rPr>
          <w:rFonts w:ascii="Times New Roman" w:cs="Times New Roman" w:eastAsia="Times New Roman" w:hAnsi="Times New Roman"/>
          <w:i/>
          <w:iCs/>
          <w:color w:val="000000"/>
          <w:sz w:val="23"/>
          <w:szCs w:val="23"/>
        </w:rPr>
        <w:t xml:space="preserve">cache_hit: true</w:t>
      </w:r>
      <w:r>
        <w:rPr>
          <w:rFonts w:ascii="Times New Roman" w:cs="Times New Roman" w:eastAsia="Times New Roman" w:hAnsi="Times New Roman"/>
          <w:color w:val="000000"/>
          <w:sz w:val="23"/>
          <w:szCs w:val="23"/>
        </w:rPr>
        <w:t xml:space="preserve">.</w:t>
      </w:r>
      <w:r>
        <w:rPr>
          <w:rStyle w:val="FootnoteReference"/>
        </w:rPr>
        <w:footnoteReference w:id="109"/>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No temer a los errores ni al polling.</w:t>
      </w:r>
      <w:r>
        <w:rPr>
          <w:rFonts w:ascii="Times New Roman" w:cs="Times New Roman" w:eastAsia="Times New Roman" w:hAnsi="Times New Roman"/>
          <w:color w:val="000000"/>
          <w:sz w:val="23"/>
          <w:szCs w:val="23"/>
        </w:rPr>
        <w:t xml:space="preserve"> Las solicitudes fallidas y la consulta del estado de un trabajo no consumen créditos; la validación de formato ocurre antes de cobrar (T55).</w:t>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Pedir páginas grandes en procesos por lotes.</w:t>
      </w:r>
      <w:r>
        <w:rPr>
          <w:rFonts w:ascii="Times New Roman" w:cs="Times New Roman" w:eastAsia="Times New Roman" w:hAnsi="Times New Roman"/>
          <w:color w:val="000000"/>
          <w:sz w:val="23"/>
          <w:szCs w:val="23"/>
        </w:rPr>
        <w:t xml:space="preserve"> El costo es por solicitud, «sin importar cuántos datos traiga la respuesta»; en integraciones de servidor conviene </w:t>
      </w:r>
      <w:r>
        <w:rPr>
          <w:rFonts w:ascii="Times New Roman" w:cs="Times New Roman" w:eastAsia="Times New Roman" w:hAnsi="Times New Roman"/>
          <w:i/>
          <w:iCs/>
          <w:color w:val="000000"/>
          <w:sz w:val="23"/>
          <w:szCs w:val="23"/>
        </w:rPr>
        <w:t xml:space="preserve">per_page</w:t>
      </w:r>
      <w:r>
        <w:rPr>
          <w:rFonts w:ascii="Times New Roman" w:cs="Times New Roman" w:eastAsia="Times New Roman" w:hAnsi="Times New Roman"/>
          <w:color w:val="000000"/>
          <w:sz w:val="23"/>
          <w:szCs w:val="23"/>
        </w:rPr>
        <w:t xml:space="preserve"> alto (hasta 100 en muchas búsquedas).</w:t>
      </w:r>
      <w:r>
        <w:rPr>
          <w:rStyle w:val="FootnoteReference"/>
        </w:rPr>
        <w:footnoteReference w:id="110"/>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Vigilar con monitores sobre datasets.</w:t>
      </w:r>
      <w:r>
        <w:rPr>
          <w:rFonts w:ascii="Times New Roman" w:cs="Times New Roman" w:eastAsia="Times New Roman" w:hAnsi="Times New Roman"/>
          <w:color w:val="000000"/>
          <w:sz w:val="23"/>
          <w:szCs w:val="23"/>
        </w:rPr>
        <w:t xml:space="preserve"> Un monitor con </w:t>
      </w:r>
      <w:r>
        <w:rPr>
          <w:rFonts w:ascii="Times New Roman" w:cs="Times New Roman" w:eastAsia="Times New Roman" w:hAnsi="Times New Roman"/>
          <w:i/>
          <w:iCs/>
          <w:color w:val="000000"/>
          <w:sz w:val="23"/>
          <w:szCs w:val="23"/>
        </w:rPr>
        <w:t xml:space="preserve">cadence: source</w:t>
      </w:r>
      <w:r>
        <w:rPr>
          <w:rFonts w:ascii="Times New Roman" w:cs="Times New Roman" w:eastAsia="Times New Roman" w:hAnsi="Times New Roman"/>
          <w:color w:val="000000"/>
          <w:sz w:val="23"/>
          <w:szCs w:val="23"/>
        </w:rPr>
        <w:t xml:space="preserve"> sobre un dataset cuesta un crédito por ejecución y corre justo después del refresco; sobre un endpoint en vivo cuesta diez.</w:t>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Elegir plan por volumen.</w:t>
      </w:r>
      <w:r>
        <w:rPr>
          <w:rFonts w:ascii="Times New Roman" w:cs="Times New Roman" w:eastAsia="Times New Roman" w:hAnsi="Times New Roman"/>
          <w:color w:val="000000"/>
          <w:sz w:val="23"/>
          <w:szCs w:val="23"/>
        </w:rPr>
        <w:t xml:space="preserve"> El costo por cada 1.000 créditos baja de 1,00 dólares (Hobby) a 0,80 (Scale); los créditos no se acumulan, de modo que sobredimensionar el plan no ahorra.</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5.3 — Atajos de contexto para agentes</w:t>
      </w:r>
    </w:p>
    <w:p>
      <w:pPr>
        <w:spacing w:after="120" w:before="0" w:line="276"/>
        <w:jc w:val="both"/>
      </w:pPr>
      <w:r>
        <w:rPr>
          <w:rFonts w:ascii="Times New Roman" w:cs="Times New Roman" w:eastAsia="Times New Roman" w:hAnsi="Times New Roman"/>
          <w:color w:val="000000"/>
          <w:sz w:val="23"/>
          <w:szCs w:val="23"/>
        </w:rPr>
        <w:t xml:space="preserve">El recurso más escaso de un agente no es el crédito sino la ventana de contexto. Varias respuestas de Croma son extensas, y una mala elección de parámetros puede llenar el contexto con texto irrelevante.</w:t>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Paginación corta en búsquedas de jurisprudencia.</w:t>
      </w:r>
      <w:r>
        <w:rPr>
          <w:rFonts w:ascii="Times New Roman" w:cs="Times New Roman" w:eastAsia="Times New Roman" w:hAnsi="Times New Roman"/>
          <w:color w:val="000000"/>
          <w:sz w:val="23"/>
          <w:szCs w:val="23"/>
        </w:rPr>
        <w:t xml:space="preserve"> La búsqueda de la Corte Constitucional devuelve la parte resolutiva completa de cada sentencia: usar </w:t>
      </w:r>
      <w:r>
        <w:rPr>
          <w:rFonts w:ascii="Times New Roman" w:cs="Times New Roman" w:eastAsia="Times New Roman" w:hAnsi="Times New Roman"/>
          <w:i/>
          <w:iCs/>
          <w:color w:val="000000"/>
          <w:sz w:val="23"/>
          <w:szCs w:val="23"/>
        </w:rPr>
        <w:t xml:space="preserve">per_page</w:t>
      </w:r>
      <w:r>
        <w:rPr>
          <w:rFonts w:ascii="Times New Roman" w:cs="Times New Roman" w:eastAsia="Times New Roman" w:hAnsi="Times New Roman"/>
          <w:color w:val="000000"/>
          <w:sz w:val="23"/>
          <w:szCs w:val="23"/>
        </w:rPr>
        <w:t xml:space="preserve"> de 3 a 5 y abrir solo las relevantes (T02).</w:t>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Lectura por rangos.</w:t>
      </w:r>
      <w:r>
        <w:rPr>
          <w:rFonts w:ascii="Times New Roman" w:cs="Times New Roman" w:eastAsia="Times New Roman" w:hAnsi="Times New Roman"/>
          <w:color w:val="000000"/>
          <w:sz w:val="23"/>
          <w:szCs w:val="23"/>
        </w:rPr>
        <w:t xml:space="preserve"> Los detalles de normas, sentencias, notificaciones y trámites aceptan </w:t>
      </w:r>
      <w:r>
        <w:rPr>
          <w:rFonts w:ascii="Times New Roman" w:cs="Times New Roman" w:eastAsia="Times New Roman" w:hAnsi="Times New Roman"/>
          <w:i/>
          <w:iCs/>
          <w:color w:val="000000"/>
          <w:sz w:val="23"/>
          <w:szCs w:val="23"/>
        </w:rPr>
        <w:t xml:space="preserve">offset</w:t>
      </w:r>
      <w:r>
        <w:rPr>
          <w:rFonts w:ascii="Times New Roman" w:cs="Times New Roman" w:eastAsia="Times New Roman" w:hAnsi="Times New Roman"/>
          <w:color w:val="000000"/>
          <w:sz w:val="23"/>
          <w:szCs w:val="23"/>
        </w:rPr>
        <w:t xml:space="preserve"> y </w:t>
      </w:r>
      <w:r>
        <w:rPr>
          <w:rFonts w:ascii="Times New Roman" w:cs="Times New Roman" w:eastAsia="Times New Roman" w:hAnsi="Times New Roman"/>
          <w:i/>
          <w:iCs/>
          <w:color w:val="000000"/>
          <w:sz w:val="23"/>
          <w:szCs w:val="23"/>
        </w:rPr>
        <w:t xml:space="preserve">limit</w:t>
      </w:r>
      <w:r>
        <w:rPr>
          <w:rFonts w:ascii="Times New Roman" w:cs="Times New Roman" w:eastAsia="Times New Roman" w:hAnsi="Times New Roman"/>
          <w:color w:val="000000"/>
          <w:sz w:val="23"/>
          <w:szCs w:val="23"/>
        </w:rPr>
        <w:t xml:space="preserve">; pedir primero un rango pequeño y continuar con </w:t>
      </w:r>
      <w:r>
        <w:rPr>
          <w:rFonts w:ascii="Times New Roman" w:cs="Times New Roman" w:eastAsia="Times New Roman" w:hAnsi="Times New Roman"/>
          <w:i/>
          <w:iCs/>
          <w:color w:val="000000"/>
          <w:sz w:val="23"/>
          <w:szCs w:val="23"/>
        </w:rPr>
        <w:t xml:space="preserve">next_offset</w:t>
      </w:r>
      <w:r>
        <w:rPr>
          <w:rFonts w:ascii="Times New Roman" w:cs="Times New Roman" w:eastAsia="Times New Roman" w:hAnsi="Times New Roman"/>
          <w:color w:val="000000"/>
          <w:sz w:val="23"/>
          <w:szCs w:val="23"/>
        </w:rPr>
        <w:t xml:space="preserve"> solo si hace falta (T57).</w:t>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Evitar el detalle sin paginación.</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consejo_estado_providencia</w:t>
      </w:r>
      <w:r>
        <w:rPr>
          <w:rFonts w:ascii="Times New Roman" w:cs="Times New Roman" w:eastAsia="Times New Roman" w:hAnsi="Times New Roman"/>
          <w:color w:val="000000"/>
          <w:sz w:val="23"/>
          <w:szCs w:val="23"/>
        </w:rPr>
        <w:t xml:space="preserve"> devuelve el texto íntegro de una vez (71.816 caracteres en la prueba): en contextos ajustados, conviene resumir por partes (T61).</w:t>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Filtros antes que texto libre.</w:t>
      </w:r>
      <w:r>
        <w:rPr>
          <w:rFonts w:ascii="Times New Roman" w:cs="Times New Roman" w:eastAsia="Times New Roman" w:hAnsi="Times New Roman"/>
          <w:color w:val="000000"/>
          <w:sz w:val="23"/>
          <w:szCs w:val="23"/>
        </w:rPr>
        <w:t xml:space="preserve"> Como el texto libre coincide de forma amplia y ordena por fecha, los filtros estructurados (tipo, año, número, ponente, entidad) son los que garantizan pertinencia (T38, T40).</w:t>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Identificadores en la lengua de la fuente.</w:t>
      </w:r>
      <w:r>
        <w:rPr>
          <w:rFonts w:ascii="Times New Roman" w:cs="Times New Roman" w:eastAsia="Times New Roman" w:hAnsi="Times New Roman"/>
          <w:color w:val="000000"/>
          <w:sz w:val="23"/>
          <w:szCs w:val="23"/>
        </w:rPr>
        <w:t xml:space="preserve"> No traducir estados, nombres ni términos legales; escribir las consultas con la terminología jurídica colombiana.</w:t>
      </w:r>
    </w:p>
    <w:p>
      <w:pPr>
        <w:keepNext/>
        <w:spacing w:after="80" w:before="280" w:line="276"/>
        <w:ind w:left="851" w:right="851"/>
        <w:jc w:val="center"/>
      </w:pPr>
      <w:r>
        <w:rPr>
          <w:rFonts w:ascii="Times New Roman" w:cs="Times New Roman" w:eastAsia="Times New Roman" w:hAnsi="Times New Roman"/>
          <w:i/>
          <w:iCs/>
          <w:color w:val="000000"/>
          <w:sz w:val="23"/>
          <w:szCs w:val="23"/>
        </w:rPr>
        <w:t xml:space="preserve">«Names, statuses and legal terms stay in the source language (Spanish). Do not translate identifiers. [Los nombres, estados y términos legales permanecen en el idioma de la fuente. No traduzcas los identificadores.]»</w:t>
      </w:r>
    </w:p>
    <w:p>
      <w:pPr>
        <w:spacing w:after="280" w:line="240"/>
        <w:ind w:left="851" w:right="851"/>
        <w:jc w:val="center"/>
      </w:pPr>
      <w:r>
        <w:rPr>
          <w:rFonts w:ascii="Times New Roman" w:cs="Times New Roman" w:eastAsia="Times New Roman" w:hAnsi="Times New Roman"/>
          <w:color w:val="000000"/>
          <w:sz w:val="21"/>
          <w:szCs w:val="21"/>
        </w:rPr>
        <w:t xml:space="preserve">(Croma, 2026, «Croma API: Agent Skill (SKILL.md)»). https://usecroma.com/.well-known/agent-skills/croma-api/SKILL.md</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5.4 — Cadenas de herramientas recomendadas</w:t>
      </w:r>
    </w:p>
    <w:p>
      <w:pPr>
        <w:keepNext/>
        <w:spacing w:after="80" w:before="200" w:line="240"/>
        <w:jc w:val="left"/>
      </w:pPr>
      <w:r>
        <w:rPr>
          <w:rFonts w:ascii="Times New Roman" w:cs="Times New Roman" w:eastAsia="Times New Roman" w:hAnsi="Times New Roman"/>
          <w:b/>
          <w:bCs/>
          <w:color w:val="000000"/>
          <w:sz w:val="20"/>
          <w:szCs w:val="20"/>
        </w:rPr>
        <w:t xml:space="preserve">Tabla 31. </w:t>
      </w:r>
      <w:r>
        <w:rPr>
          <w:rFonts w:ascii="Times New Roman" w:cs="Times New Roman" w:eastAsia="Times New Roman" w:hAnsi="Times New Roman"/>
          <w:i/>
          <w:iCs/>
          <w:color w:val="000000"/>
          <w:sz w:val="20"/>
          <w:szCs w:val="20"/>
        </w:rPr>
        <w:t xml:space="preserve">Recetas de encadenamiento y su costo en créditos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4"/>
        <w:gridCol w:w="5778"/>
        <w:gridCol w:w="1344"/>
      </w:tblGrid>
      <w:tr>
        <w:trPr>
          <w:cantSplit/>
          <w:tblHeader/>
        </w:trPr>
        <w:tc>
          <w:tcPr>
            <w:tcW w:type="dxa" w:w="2284"/>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Objetivo</w:t>
            </w:r>
          </w:p>
        </w:tc>
        <w:tc>
          <w:tcPr>
            <w:tcW w:type="dxa" w:w="577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Cadena de herramientas</w:t>
            </w:r>
          </w:p>
        </w:tc>
        <w:tc>
          <w:tcPr>
            <w:tcW w:type="dxa" w:w="1344"/>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Créditos</w:t>
            </w:r>
          </w:p>
        </w:tc>
      </w:tr>
      <w:tr>
        <w:trPr>
          <w:cantSplit/>
        </w:trPr>
        <w:tc>
          <w:tcPr>
            <w:tcW w:type="dxa" w:w="228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Conocimiento de una empresa (KYB)</w:t>
            </w:r>
          </w:p>
        </w:tc>
        <w:tc>
          <w:tcPr>
            <w:tcW w:type="dxa" w:w="57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7"/>
                <w:szCs w:val="17"/>
              </w:rPr>
              <w:t xml:space="preserve">rues_entity_by_nit</w:t>
            </w:r>
            <w:r>
              <w:rPr>
                <w:rFonts w:ascii="Times New Roman" w:cs="Times New Roman" w:eastAsia="Times New Roman" w:hAnsi="Times New Roman"/>
                <w:b w:val="false"/>
                <w:bCs w:val="false"/>
                <w:color w:val="000000"/>
                <w:sz w:val="17"/>
                <w:szCs w:val="17"/>
              </w:rPr>
              <w:t xml:space="preserve"> (10) → </w:t>
            </w:r>
            <w:r>
              <w:rPr>
                <w:rFonts w:ascii="Times New Roman" w:cs="Times New Roman" w:eastAsia="Times New Roman" w:hAnsi="Times New Roman"/>
                <w:b w:val="false"/>
                <w:bCs w:val="false"/>
                <w:i/>
                <w:iCs/>
                <w:color w:val="000000"/>
                <w:sz w:val="17"/>
                <w:szCs w:val="17"/>
              </w:rPr>
              <w:t xml:space="preserve">secop_profile</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supersociedades_company</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supersociedades_filing_ownership</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dian_trade_profile</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sic_ip_trademarks_by_owner</w:t>
            </w:r>
            <w:r>
              <w:rPr>
                <w:rFonts w:ascii="Times New Roman" w:cs="Times New Roman" w:eastAsia="Times New Roman" w:hAnsi="Times New Roman"/>
                <w:b w:val="false"/>
                <w:bCs w:val="false"/>
                <w:color w:val="000000"/>
                <w:sz w:val="17"/>
                <w:szCs w:val="17"/>
              </w:rPr>
              <w:t xml:space="preserve"> (10) → </w:t>
            </w:r>
            <w:r>
              <w:rPr>
                <w:rFonts w:ascii="Times New Roman" w:cs="Times New Roman" w:eastAsia="Times New Roman" w:hAnsi="Times New Roman"/>
                <w:b w:val="false"/>
                <w:bCs w:val="false"/>
                <w:i/>
                <w:iCs/>
                <w:color w:val="000000"/>
                <w:sz w:val="17"/>
                <w:szCs w:val="17"/>
              </w:rPr>
              <w:t xml:space="preserve">procuraduria_disciplinary_records</w:t>
            </w:r>
            <w:r>
              <w:rPr>
                <w:rFonts w:ascii="Times New Roman" w:cs="Times New Roman" w:eastAsia="Times New Roman" w:hAnsi="Times New Roman"/>
                <w:b w:val="false"/>
                <w:bCs w:val="false"/>
                <w:color w:val="000000"/>
                <w:sz w:val="17"/>
                <w:szCs w:val="17"/>
              </w:rPr>
              <w:t xml:space="preserve"> por NIT (10) → </w:t>
            </w:r>
            <w:r>
              <w:rPr>
                <w:rFonts w:ascii="Times New Roman" w:cs="Times New Roman" w:eastAsia="Times New Roman" w:hAnsi="Times New Roman"/>
                <w:b w:val="false"/>
                <w:bCs w:val="false"/>
                <w:i/>
                <w:iCs/>
                <w:color w:val="000000"/>
                <w:sz w:val="17"/>
                <w:szCs w:val="17"/>
              </w:rPr>
              <w:t xml:space="preserve">contaduria_state_delinquent_debtors</w:t>
            </w:r>
            <w:r>
              <w:rPr>
                <w:rFonts w:ascii="Times New Roman" w:cs="Times New Roman" w:eastAsia="Times New Roman" w:hAnsi="Times New Roman"/>
                <w:b w:val="false"/>
                <w:bCs w:val="false"/>
                <w:color w:val="000000"/>
                <w:sz w:val="17"/>
                <w:szCs w:val="17"/>
              </w:rPr>
              <w:t xml:space="preserve"> por NIT (10) → </w:t>
            </w:r>
            <w:r>
              <w:rPr>
                <w:rFonts w:ascii="Times New Roman" w:cs="Times New Roman" w:eastAsia="Times New Roman" w:hAnsi="Times New Roman"/>
                <w:b w:val="false"/>
                <w:bCs w:val="false"/>
                <w:i/>
                <w:iCs/>
                <w:color w:val="000000"/>
                <w:sz w:val="17"/>
                <w:szCs w:val="17"/>
              </w:rPr>
              <w:t xml:space="preserve">rama_judicial_cases_by_entity</w:t>
            </w:r>
            <w:r>
              <w:rPr>
                <w:rFonts w:ascii="Times New Roman" w:cs="Times New Roman" w:eastAsia="Times New Roman" w:hAnsi="Times New Roman"/>
                <w:b w:val="false"/>
                <w:bCs w:val="false"/>
                <w:color w:val="000000"/>
                <w:sz w:val="17"/>
                <w:szCs w:val="17"/>
              </w:rPr>
              <w:t xml:space="preserve"> (10)</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54</w:t>
            </w:r>
          </w:p>
        </w:tc>
      </w:tr>
      <w:tr>
        <w:trPr>
          <w:cantSplit/>
        </w:trPr>
        <w:tc>
          <w:tcPr>
            <w:tcW w:type="dxa" w:w="228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Debida diligencia de contratista</w:t>
            </w:r>
          </w:p>
        </w:tc>
        <w:tc>
          <w:tcPr>
            <w:tcW w:type="dxa" w:w="57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7"/>
                <w:szCs w:val="17"/>
              </w:rPr>
              <w:t xml:space="preserve">secop_profile</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secop_sanctions_search</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secop_contracts_search</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secop_bidders_search</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secop_modifications_search</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procuraduria_disciplinary_records</w:t>
            </w:r>
            <w:r>
              <w:rPr>
                <w:rFonts w:ascii="Times New Roman" w:cs="Times New Roman" w:eastAsia="Times New Roman" w:hAnsi="Times New Roman"/>
                <w:b w:val="false"/>
                <w:bCs w:val="false"/>
                <w:color w:val="000000"/>
                <w:sz w:val="17"/>
                <w:szCs w:val="17"/>
              </w:rPr>
              <w:t xml:space="preserve"> (10) → </w:t>
            </w:r>
            <w:r>
              <w:rPr>
                <w:rFonts w:ascii="Times New Roman" w:cs="Times New Roman" w:eastAsia="Times New Roman" w:hAnsi="Times New Roman"/>
                <w:b w:val="false"/>
                <w:bCs w:val="false"/>
                <w:i/>
                <w:iCs/>
                <w:color w:val="000000"/>
                <w:sz w:val="17"/>
                <w:szCs w:val="17"/>
              </w:rPr>
              <w:t xml:space="preserve">contaduria_state_delinquent_debtors</w:t>
            </w:r>
            <w:r>
              <w:rPr>
                <w:rFonts w:ascii="Times New Roman" w:cs="Times New Roman" w:eastAsia="Times New Roman" w:hAnsi="Times New Roman"/>
                <w:b w:val="false"/>
                <w:bCs w:val="false"/>
                <w:color w:val="000000"/>
                <w:sz w:val="17"/>
                <w:szCs w:val="17"/>
              </w:rPr>
              <w:t xml:space="preserve"> (10)</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25</w:t>
            </w:r>
          </w:p>
        </w:tc>
      </w:tr>
      <w:tr>
        <w:trPr>
          <w:cantSplit/>
        </w:trPr>
        <w:tc>
          <w:tcPr>
            <w:tcW w:type="dxa" w:w="228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Vigilancia diaria de un radicado</w:t>
            </w:r>
          </w:p>
        </w:tc>
        <w:tc>
          <w:tcPr>
            <w:tcW w:type="dxa" w:w="57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7"/>
                <w:szCs w:val="17"/>
              </w:rPr>
              <w:t xml:space="preserve">rama_judicial_cases_by_radicado</w:t>
            </w:r>
            <w:r>
              <w:rPr>
                <w:rFonts w:ascii="Times New Roman" w:cs="Times New Roman" w:eastAsia="Times New Roman" w:hAnsi="Times New Roman"/>
                <w:b w:val="false"/>
                <w:bCs w:val="false"/>
                <w:color w:val="000000"/>
                <w:sz w:val="17"/>
                <w:szCs w:val="17"/>
              </w:rPr>
              <w:t xml:space="preserve"> (10 por día) + </w:t>
            </w:r>
            <w:r>
              <w:rPr>
                <w:rFonts w:ascii="Times New Roman" w:cs="Times New Roman" w:eastAsia="Times New Roman" w:hAnsi="Times New Roman"/>
                <w:b w:val="false"/>
                <w:bCs w:val="false"/>
                <w:i/>
                <w:iCs/>
                <w:color w:val="000000"/>
                <w:sz w:val="17"/>
                <w:szCs w:val="17"/>
              </w:rPr>
              <w:t xml:space="preserve">rama_judicial_emails_by_court</w:t>
            </w:r>
            <w:r>
              <w:rPr>
                <w:rFonts w:ascii="Times New Roman" w:cs="Times New Roman" w:eastAsia="Times New Roman" w:hAnsi="Times New Roman"/>
                <w:b w:val="false"/>
                <w:bCs w:val="false"/>
                <w:color w:val="000000"/>
                <w:sz w:val="17"/>
                <w:szCs w:val="17"/>
              </w:rPr>
              <w:t xml:space="preserve"> una vez (1)</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 301 al mes</w:t>
            </w:r>
          </w:p>
        </w:tc>
      </w:tr>
      <w:tr>
        <w:trPr>
          <w:cantSplit/>
        </w:trPr>
        <w:tc>
          <w:tcPr>
            <w:tcW w:type="dxa" w:w="228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Avalúo y contexto de un predio</w:t>
            </w:r>
          </w:p>
        </w:tc>
        <w:tc>
          <w:tcPr>
            <w:tcW w:type="dxa" w:w="57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7"/>
                <w:szCs w:val="17"/>
              </w:rPr>
              <w:t xml:space="preserve">igac_property_by_point</w:t>
            </w:r>
            <w:r>
              <w:rPr>
                <w:rFonts w:ascii="Times New Roman" w:cs="Times New Roman" w:eastAsia="Times New Roman" w:hAnsi="Times New Roman"/>
                <w:b w:val="false"/>
                <w:bCs w:val="false"/>
                <w:color w:val="000000"/>
                <w:sz w:val="17"/>
                <w:szCs w:val="17"/>
              </w:rPr>
              <w:t xml:space="preserve"> (10) → </w:t>
            </w:r>
            <w:r>
              <w:rPr>
                <w:rFonts w:ascii="Times New Roman" w:cs="Times New Roman" w:eastAsia="Times New Roman" w:hAnsi="Times New Roman"/>
                <w:b w:val="false"/>
                <w:bCs w:val="false"/>
                <w:i/>
                <w:iCs/>
                <w:color w:val="000000"/>
                <w:sz w:val="17"/>
                <w:szCs w:val="17"/>
              </w:rPr>
              <w:t xml:space="preserve">igac_economic_zones_search</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igac_physical_zones_search</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igac_municipal_statistics</w:t>
            </w:r>
            <w:r>
              <w:rPr>
                <w:rFonts w:ascii="Times New Roman" w:cs="Times New Roman" w:eastAsia="Times New Roman" w:hAnsi="Times New Roman"/>
                <w:b w:val="false"/>
                <w:bCs w:val="false"/>
                <w:color w:val="000000"/>
                <w:sz w:val="17"/>
                <w:szCs w:val="17"/>
              </w:rPr>
              <w:t xml:space="preserve"> (1)</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13</w:t>
            </w:r>
          </w:p>
        </w:tc>
      </w:tr>
      <w:tr>
        <w:trPr>
          <w:cantSplit/>
        </w:trPr>
        <w:tc>
          <w:tcPr>
            <w:tcW w:type="dxa" w:w="228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Investigación jurisprudencial</w:t>
            </w:r>
          </w:p>
        </w:tc>
        <w:tc>
          <w:tcPr>
            <w:tcW w:type="dxa" w:w="57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7"/>
                <w:szCs w:val="17"/>
              </w:rPr>
              <w:t xml:space="preserve">corte_constitucional_rulings_search</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samai_rulings_search</w:t>
            </w:r>
            <w:r>
              <w:rPr>
                <w:rFonts w:ascii="Times New Roman" w:cs="Times New Roman" w:eastAsia="Times New Roman" w:hAnsi="Times New Roman"/>
                <w:b w:val="false"/>
                <w:bCs w:val="false"/>
                <w:color w:val="000000"/>
                <w:sz w:val="17"/>
                <w:szCs w:val="17"/>
              </w:rPr>
              <w:t xml:space="preserve"> (1) → lectura completa de dos providencias de unos 340.000 caracteres (6 rangos cada una)</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 14</w:t>
            </w:r>
          </w:p>
        </w:tc>
      </w:tr>
      <w:tr>
        <w:trPr>
          <w:cantSplit/>
        </w:trPr>
        <w:tc>
          <w:tcPr>
            <w:tcW w:type="dxa" w:w="228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Norma vigente y su historia</w:t>
            </w:r>
          </w:p>
        </w:tc>
        <w:tc>
          <w:tcPr>
            <w:tcW w:type="dxa" w:w="57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7"/>
                <w:szCs w:val="17"/>
              </w:rPr>
              <w:t xml:space="preserve">funcion_publica_norms_search</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funcion_publica_norm</w:t>
            </w:r>
            <w:r>
              <w:rPr>
                <w:rFonts w:ascii="Times New Roman" w:cs="Times New Roman" w:eastAsia="Times New Roman" w:hAnsi="Times New Roman"/>
                <w:b w:val="false"/>
                <w:bCs w:val="false"/>
                <w:color w:val="000000"/>
                <w:sz w:val="17"/>
                <w:szCs w:val="17"/>
              </w:rPr>
              <w:t xml:space="preserve"> (1 o más) → normas modificatorias (1 cada una)</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 5</w:t>
            </w:r>
          </w:p>
        </w:tc>
      </w:tr>
      <w:tr>
        <w:trPr>
          <w:cantSplit/>
        </w:trPr>
        <w:tc>
          <w:tcPr>
            <w:tcW w:type="dxa" w:w="228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Ficha territorial municipal</w:t>
            </w:r>
          </w:p>
        </w:tc>
        <w:tc>
          <w:tcPr>
            <w:tcW w:type="dxa" w:w="57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7"/>
                <w:szCs w:val="17"/>
              </w:rPr>
              <w:t xml:space="preserve">terridata_series</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dane_municipal_ipm</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dane_census_municipalities</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icfes_saber11_schools_search</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mineducacion_indicators_search</w:t>
            </w:r>
            <w:r>
              <w:rPr>
                <w:rFonts w:ascii="Times New Roman" w:cs="Times New Roman" w:eastAsia="Times New Roman" w:hAnsi="Times New Roman"/>
                <w:b w:val="false"/>
                <w:bCs w:val="false"/>
                <w:color w:val="000000"/>
                <w:sz w:val="17"/>
                <w:szCs w:val="17"/>
              </w:rPr>
              <w:t xml:space="preserve"> (1) + </w:t>
            </w:r>
            <w:r>
              <w:rPr>
                <w:rFonts w:ascii="Times New Roman" w:cs="Times New Roman" w:eastAsia="Times New Roman" w:hAnsi="Times New Roman"/>
                <w:b w:val="false"/>
                <w:bCs w:val="false"/>
                <w:i/>
                <w:iCs/>
                <w:color w:val="000000"/>
                <w:sz w:val="17"/>
                <w:szCs w:val="17"/>
              </w:rPr>
              <w:t xml:space="preserve">igac_municipal_statistics</w:t>
            </w:r>
            <w:r>
              <w:rPr>
                <w:rFonts w:ascii="Times New Roman" w:cs="Times New Roman" w:eastAsia="Times New Roman" w:hAnsi="Times New Roman"/>
                <w:b w:val="false"/>
                <w:bCs w:val="false"/>
                <w:color w:val="000000"/>
                <w:sz w:val="17"/>
                <w:szCs w:val="17"/>
              </w:rPr>
              <w:t xml:space="preserve"> (1)</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6</w:t>
            </w:r>
          </w:p>
        </w:tc>
      </w:tr>
      <w:tr>
        <w:trPr>
          <w:cantSplit/>
        </w:trPr>
        <w:tc>
          <w:tcPr>
            <w:tcW w:type="dxa" w:w="228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Validación de una factura</w:t>
            </w:r>
          </w:p>
        </w:tc>
        <w:tc>
          <w:tcPr>
            <w:tcW w:type="dxa" w:w="577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7"/>
                <w:szCs w:val="17"/>
              </w:rPr>
              <w:t xml:space="preserve">dian_electronic_document</w:t>
            </w:r>
            <w:r>
              <w:rPr>
                <w:rFonts w:ascii="Times New Roman" w:cs="Times New Roman" w:eastAsia="Times New Roman" w:hAnsi="Times New Roman"/>
                <w:b w:val="false"/>
                <w:bCs w:val="false"/>
                <w:color w:val="000000"/>
                <w:sz w:val="17"/>
                <w:szCs w:val="17"/>
              </w:rPr>
              <w:t xml:space="preserve"> con </w:t>
            </w:r>
            <w:r>
              <w:rPr>
                <w:rFonts w:ascii="Times New Roman" w:cs="Times New Roman" w:eastAsia="Times New Roman" w:hAnsi="Times New Roman"/>
                <w:b w:val="false"/>
                <w:bCs w:val="false"/>
                <w:i/>
                <w:iCs/>
                <w:color w:val="000000"/>
                <w:sz w:val="17"/>
                <w:szCs w:val="17"/>
              </w:rPr>
              <w:t xml:space="preserve">include_pdf</w:t>
            </w:r>
          </w:p>
        </w:tc>
        <w:tc>
          <w:tcPr>
            <w:tcW w:type="dxa" w:w="13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10</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Cálculo propio con las tarifas de la página de créditos (10 en vivo o lookup, 1 dataset). Las respuestas desde caché no consumen créditos, por lo que el costo real de consultas repetidas es menor.</w:t>
      </w: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VI. CÓMO SOLICITAR INSTRUCCIONES A UN AGENTE CON CROMA</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6.1 — Principios</w:t>
      </w:r>
    </w:p>
    <w:p>
      <w:pPr>
        <w:pStyle w:val="ListParagraph"/>
        <w:numPr>
          <w:ilvl w:val="0"/>
          <w:numId w:val="21"/>
        </w:numPr>
        <w:spacing w:after="60" w:line="276"/>
        <w:jc w:val="both"/>
      </w:pPr>
      <w:r>
        <w:rPr>
          <w:rFonts w:ascii="Times New Roman" w:cs="Times New Roman" w:eastAsia="Times New Roman" w:hAnsi="Times New Roman"/>
          <w:b/>
          <w:bCs/>
          <w:color w:val="000000"/>
          <w:sz w:val="23"/>
          <w:szCs w:val="23"/>
        </w:rPr>
        <w:t xml:space="preserve">Nombrar la fuente</w:t>
      </w:r>
      <w:r>
        <w:rPr>
          <w:rFonts w:ascii="Times New Roman" w:cs="Times New Roman" w:eastAsia="Times New Roman" w:hAnsi="Times New Roman"/>
          <w:color w:val="000000"/>
          <w:sz w:val="23"/>
          <w:szCs w:val="23"/>
        </w:rPr>
        <w:t xml:space="preserve"> y, si se conoce, la herramienta: «en Rama Judicial», «con </w:t>
      </w:r>
      <w:r>
        <w:rPr>
          <w:rFonts w:ascii="Times New Roman" w:cs="Times New Roman" w:eastAsia="Times New Roman" w:hAnsi="Times New Roman"/>
          <w:i/>
          <w:iCs/>
          <w:color w:val="000000"/>
          <w:sz w:val="23"/>
          <w:szCs w:val="23"/>
        </w:rPr>
        <w:t xml:space="preserve">secop_profile</w:t>
      </w:r>
      <w:r>
        <w:rPr>
          <w:rFonts w:ascii="Times New Roman" w:cs="Times New Roman" w:eastAsia="Times New Roman" w:hAnsi="Times New Roman"/>
          <w:color w:val="000000"/>
          <w:sz w:val="23"/>
          <w:szCs w:val="23"/>
        </w:rPr>
        <w:t xml:space="preserve">». Los clientes que cargan herramientas bajo demanda las encuentran mejor si la instrucción usa las palabras del catálogo.</w:t>
      </w:r>
    </w:p>
    <w:p>
      <w:pPr>
        <w:pStyle w:val="ListParagraph"/>
        <w:numPr>
          <w:ilvl w:val="0"/>
          <w:numId w:val="21"/>
        </w:numPr>
        <w:spacing w:after="60" w:line="276"/>
        <w:jc w:val="both"/>
      </w:pPr>
      <w:r>
        <w:rPr>
          <w:rFonts w:ascii="Times New Roman" w:cs="Times New Roman" w:eastAsia="Times New Roman" w:hAnsi="Times New Roman"/>
          <w:b/>
          <w:bCs/>
          <w:color w:val="000000"/>
          <w:sz w:val="23"/>
          <w:szCs w:val="23"/>
        </w:rPr>
        <w:t xml:space="preserve">Dar el identificador exacto</w:t>
      </w:r>
      <w:r>
        <w:rPr>
          <w:rFonts w:ascii="Times New Roman" w:cs="Times New Roman" w:eastAsia="Times New Roman" w:hAnsi="Times New Roman"/>
          <w:color w:val="000000"/>
          <w:sz w:val="23"/>
          <w:szCs w:val="23"/>
        </w:rPr>
        <w:t xml:space="preserve"> con su formato: NIT sin dígito de verificación, radicado de 23 dígitos, número predial de 30, placa sin guiones.</w:t>
      </w:r>
    </w:p>
    <w:p>
      <w:pPr>
        <w:pStyle w:val="ListParagraph"/>
        <w:numPr>
          <w:ilvl w:val="0"/>
          <w:numId w:val="21"/>
        </w:numPr>
        <w:spacing w:after="60" w:line="276"/>
        <w:jc w:val="both"/>
      </w:pPr>
      <w:r>
        <w:rPr>
          <w:rFonts w:ascii="Times New Roman" w:cs="Times New Roman" w:eastAsia="Times New Roman" w:hAnsi="Times New Roman"/>
          <w:b/>
          <w:bCs/>
          <w:color w:val="000000"/>
          <w:sz w:val="23"/>
          <w:szCs w:val="23"/>
        </w:rPr>
        <w:t xml:space="preserve">Acotar con filtros</w:t>
      </w:r>
      <w:r>
        <w:rPr>
          <w:rFonts w:ascii="Times New Roman" w:cs="Times New Roman" w:eastAsia="Times New Roman" w:hAnsi="Times New Roman"/>
          <w:color w:val="000000"/>
          <w:sz w:val="23"/>
          <w:szCs w:val="23"/>
        </w:rPr>
        <w:t xml:space="preserve"> de tipo, año, fechas, sala, entidad o código territorial; el texto libre por sí solo produce resultados amplios ordenados por fecha.</w:t>
      </w:r>
    </w:p>
    <w:p>
      <w:pPr>
        <w:pStyle w:val="ListParagraph"/>
        <w:numPr>
          <w:ilvl w:val="0"/>
          <w:numId w:val="21"/>
        </w:numPr>
        <w:spacing w:after="60" w:line="276"/>
        <w:jc w:val="both"/>
      </w:pPr>
      <w:r>
        <w:rPr>
          <w:rFonts w:ascii="Times New Roman" w:cs="Times New Roman" w:eastAsia="Times New Roman" w:hAnsi="Times New Roman"/>
          <w:b/>
          <w:bCs/>
          <w:color w:val="000000"/>
          <w:sz w:val="23"/>
          <w:szCs w:val="23"/>
        </w:rPr>
        <w:t xml:space="preserve">Fijar el alcance</w:t>
      </w:r>
      <w:r>
        <w:rPr>
          <w:rFonts w:ascii="Times New Roman" w:cs="Times New Roman" w:eastAsia="Times New Roman" w:hAnsi="Times New Roman"/>
          <w:color w:val="000000"/>
          <w:sz w:val="23"/>
          <w:szCs w:val="23"/>
        </w:rPr>
        <w:t xml:space="preserve">: cuántos resultados, si se debe leer el texto completo y de cuáles.</w:t>
      </w:r>
    </w:p>
    <w:p>
      <w:pPr>
        <w:pStyle w:val="ListParagraph"/>
        <w:numPr>
          <w:ilvl w:val="0"/>
          <w:numId w:val="21"/>
        </w:numPr>
        <w:spacing w:after="60" w:line="276"/>
        <w:jc w:val="both"/>
      </w:pPr>
      <w:r>
        <w:rPr>
          <w:rFonts w:ascii="Times New Roman" w:cs="Times New Roman" w:eastAsia="Times New Roman" w:hAnsi="Times New Roman"/>
          <w:b/>
          <w:bCs/>
          <w:color w:val="000000"/>
          <w:sz w:val="23"/>
          <w:szCs w:val="23"/>
        </w:rPr>
        <w:t xml:space="preserve">Definir la salida</w:t>
      </w:r>
      <w:r>
        <w:rPr>
          <w:rFonts w:ascii="Times New Roman" w:cs="Times New Roman" w:eastAsia="Times New Roman" w:hAnsi="Times New Roman"/>
          <w:color w:val="000000"/>
          <w:sz w:val="23"/>
          <w:szCs w:val="23"/>
        </w:rPr>
        <w:t xml:space="preserve">: columnas, orden, fecha de corte (</w:t>
      </w:r>
      <w:r>
        <w:rPr>
          <w:rFonts w:ascii="Times New Roman" w:cs="Times New Roman" w:eastAsia="Times New Roman" w:hAnsi="Times New Roman"/>
          <w:i/>
          <w:iCs/>
          <w:color w:val="000000"/>
          <w:sz w:val="23"/>
          <w:szCs w:val="23"/>
        </w:rPr>
        <w:t xml:space="preserve">as_of</w:t>
      </w:r>
      <w:r>
        <w:rPr>
          <w:rFonts w:ascii="Times New Roman" w:cs="Times New Roman" w:eastAsia="Times New Roman" w:hAnsi="Times New Roman"/>
          <w:color w:val="000000"/>
          <w:sz w:val="23"/>
          <w:szCs w:val="23"/>
        </w:rPr>
        <w:t xml:space="preserve"> o </w:t>
      </w:r>
      <w:r>
        <w:rPr>
          <w:rFonts w:ascii="Times New Roman" w:cs="Times New Roman" w:eastAsia="Times New Roman" w:hAnsi="Times New Roman"/>
          <w:i/>
          <w:iCs/>
          <w:color w:val="000000"/>
          <w:sz w:val="23"/>
          <w:szCs w:val="23"/>
        </w:rPr>
        <w:t xml:space="preserve">checked_at</w:t>
      </w:r>
      <w:r>
        <w:rPr>
          <w:rFonts w:ascii="Times New Roman" w:cs="Times New Roman" w:eastAsia="Times New Roman" w:hAnsi="Times New Roman"/>
          <w:color w:val="000000"/>
          <w:sz w:val="23"/>
          <w:szCs w:val="23"/>
        </w:rPr>
        <w:t xml:space="preserve">) y enlace oficial de cada registro.</w:t>
      </w:r>
    </w:p>
    <w:p>
      <w:pPr>
        <w:pStyle w:val="ListParagraph"/>
        <w:numPr>
          <w:ilvl w:val="0"/>
          <w:numId w:val="21"/>
        </w:numPr>
        <w:spacing w:after="60" w:line="276"/>
        <w:jc w:val="both"/>
      </w:pPr>
      <w:r>
        <w:rPr>
          <w:rFonts w:ascii="Times New Roman" w:cs="Times New Roman" w:eastAsia="Times New Roman" w:hAnsi="Times New Roman"/>
          <w:b/>
          <w:bCs/>
          <w:color w:val="000000"/>
          <w:sz w:val="23"/>
          <w:szCs w:val="23"/>
        </w:rPr>
        <w:t xml:space="preserve">Conservar el idioma de la fuente</w:t>
      </w:r>
      <w:r>
        <w:rPr>
          <w:rFonts w:ascii="Times New Roman" w:cs="Times New Roman" w:eastAsia="Times New Roman" w:hAnsi="Times New Roman"/>
          <w:color w:val="000000"/>
          <w:sz w:val="23"/>
          <w:szCs w:val="23"/>
        </w:rPr>
        <w:t xml:space="preserve"> en nombres, estados y términos legales.</w:t>
      </w:r>
    </w:p>
    <w:p>
      <w:pPr>
        <w:pStyle w:val="ListParagraph"/>
        <w:numPr>
          <w:ilvl w:val="0"/>
          <w:numId w:val="21"/>
        </w:numPr>
        <w:spacing w:after="60" w:line="276"/>
        <w:jc w:val="both"/>
      </w:pPr>
      <w:r>
        <w:rPr>
          <w:rFonts w:ascii="Times New Roman" w:cs="Times New Roman" w:eastAsia="Times New Roman" w:hAnsi="Times New Roman"/>
          <w:b/>
          <w:bCs/>
          <w:color w:val="000000"/>
          <w:sz w:val="23"/>
          <w:szCs w:val="23"/>
        </w:rPr>
        <w:t xml:space="preserve">Declarar la finalidad y la base legal</w:t>
      </w:r>
      <w:r>
        <w:rPr>
          <w:rFonts w:ascii="Times New Roman" w:cs="Times New Roman" w:eastAsia="Times New Roman" w:hAnsi="Times New Roman"/>
          <w:color w:val="000000"/>
          <w:sz w:val="23"/>
          <w:szCs w:val="23"/>
        </w:rPr>
        <w:t xml:space="preserve"> cuando la consulta involucre personas naturales.</w:t>
      </w:r>
    </w:p>
    <w:p>
      <w:pPr>
        <w:pStyle w:val="ListParagraph"/>
        <w:numPr>
          <w:ilvl w:val="0"/>
          <w:numId w:val="21"/>
        </w:numPr>
        <w:spacing w:after="60" w:line="276"/>
        <w:jc w:val="both"/>
      </w:pPr>
      <w:r>
        <w:rPr>
          <w:rFonts w:ascii="Times New Roman" w:cs="Times New Roman" w:eastAsia="Times New Roman" w:hAnsi="Times New Roman"/>
          <w:b/>
          <w:bCs/>
          <w:color w:val="000000"/>
          <w:sz w:val="23"/>
          <w:szCs w:val="23"/>
        </w:rPr>
        <w:t xml:space="preserve">Prescribir el manejo de casos límite</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found: false</w:t>
      </w:r>
      <w:r>
        <w:rPr>
          <w:rFonts w:ascii="Times New Roman" w:cs="Times New Roman" w:eastAsia="Times New Roman" w:hAnsi="Times New Roman"/>
          <w:color w:val="000000"/>
          <w:sz w:val="23"/>
          <w:szCs w:val="23"/>
        </w:rPr>
        <w:t xml:space="preserve"> como respuesta definitiva, refinamiento ante «too many results», un reintento ante fallas de la fuente.</w:t>
      </w:r>
    </w:p>
    <w:p>
      <w:pPr>
        <w:pStyle w:val="ListParagraph"/>
        <w:numPr>
          <w:ilvl w:val="0"/>
          <w:numId w:val="21"/>
        </w:numPr>
        <w:spacing w:after="60" w:line="276"/>
        <w:jc w:val="both"/>
      </w:pPr>
      <w:r>
        <w:rPr>
          <w:rFonts w:ascii="Times New Roman" w:cs="Times New Roman" w:eastAsia="Times New Roman" w:hAnsi="Times New Roman"/>
          <w:b/>
          <w:bCs/>
          <w:color w:val="000000"/>
          <w:sz w:val="23"/>
          <w:szCs w:val="23"/>
        </w:rPr>
        <w:t xml:space="preserve">Para alertas</w:t>
      </w:r>
      <w:r>
        <w:rPr>
          <w:rFonts w:ascii="Times New Roman" w:cs="Times New Roman" w:eastAsia="Times New Roman" w:hAnsi="Times New Roman"/>
          <w:color w:val="000000"/>
          <w:sz w:val="23"/>
          <w:szCs w:val="23"/>
        </w:rPr>
        <w:t xml:space="preserve">, decir qué vigilar, dónde y a quién avisar, y si se quiere correo solo cuando haya novedades.</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6.2 — Plantilla de instrucción</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8C8C8C" w:sz="4"/>
              <w:left w:val="single" w:color="8C8C8C" w:sz="4"/>
              <w:bottom w:val="single" w:color="8C8C8C" w:sz="4"/>
              <w:right w:val="single" w:color="8C8C8C" w:sz="4"/>
            </w:tcBorders>
            <w:shd w:fill="F4F4F4" w:color="auto" w:val="clear"/>
            <w:tcMar>
              <w:top w:type="dxa" w:w="120"/>
              <w:left w:type="dxa" w:w="200"/>
              <w:bottom w:type="dxa" w:w="120"/>
              <w:right w:type="dxa" w:w="200"/>
            </w:tcMar>
          </w:tcPr>
          <w:p>
            <w:pPr>
              <w:spacing w:after="60" w:line="252"/>
              <w:jc w:val="left"/>
            </w:pPr>
            <w:r>
              <w:rPr>
                <w:rFonts w:ascii="Times New Roman" w:cs="Times New Roman" w:eastAsia="Times New Roman" w:hAnsi="Times New Roman"/>
                <w:b/>
                <w:bCs/>
                <w:color w:val="000000"/>
                <w:sz w:val="21"/>
                <w:szCs w:val="21"/>
              </w:rPr>
              <w:t xml:space="preserve">Rol:</w:t>
            </w:r>
            <w:r>
              <w:rPr>
                <w:rFonts w:ascii="Times New Roman" w:cs="Times New Roman" w:eastAsia="Times New Roman" w:hAnsi="Times New Roman"/>
                <w:color w:val="000000"/>
                <w:sz w:val="21"/>
                <w:szCs w:val="21"/>
              </w:rPr>
              <w:t xml:space="preserve"> Eres un analista que usa las herramientas de Croma (datos oficiales de Colombia).</w:t>
            </w:r>
          </w:p>
          <w:p>
            <w:pPr>
              <w:spacing w:after="60" w:line="252"/>
              <w:jc w:val="left"/>
            </w:pPr>
            <w:r>
              <w:rPr>
                <w:rFonts w:ascii="Times New Roman" w:cs="Times New Roman" w:eastAsia="Times New Roman" w:hAnsi="Times New Roman"/>
                <w:b/>
                <w:bCs/>
                <w:color w:val="000000"/>
                <w:sz w:val="21"/>
                <w:szCs w:val="21"/>
              </w:rPr>
              <w:t xml:space="preserve">Fuente:</w:t>
            </w:r>
            <w:r>
              <w:rPr>
                <w:rFonts w:ascii="Times New Roman" w:cs="Times New Roman" w:eastAsia="Times New Roman" w:hAnsi="Times New Roman"/>
                <w:color w:val="000000"/>
                <w:sz w:val="21"/>
                <w:szCs w:val="21"/>
              </w:rPr>
              <w:t xml:space="preserve"> [familia] mediante [herramienta, si se conoce].</w:t>
            </w:r>
          </w:p>
          <w:p>
            <w:pPr>
              <w:spacing w:after="60" w:line="252"/>
              <w:jc w:val="left"/>
            </w:pPr>
            <w:r>
              <w:rPr>
                <w:rFonts w:ascii="Times New Roman" w:cs="Times New Roman" w:eastAsia="Times New Roman" w:hAnsi="Times New Roman"/>
                <w:b/>
                <w:bCs/>
                <w:color w:val="000000"/>
                <w:sz w:val="21"/>
                <w:szCs w:val="21"/>
              </w:rPr>
              <w:t xml:space="preserve">Sujeto:</w:t>
            </w:r>
            <w:r>
              <w:rPr>
                <w:rFonts w:ascii="Times New Roman" w:cs="Times New Roman" w:eastAsia="Times New Roman" w:hAnsi="Times New Roman"/>
                <w:color w:val="000000"/>
                <w:sz w:val="21"/>
                <w:szCs w:val="21"/>
              </w:rPr>
              <w:t xml:space="preserve"> [identificador exacto y su tipo].</w:t>
            </w:r>
          </w:p>
          <w:p>
            <w:pPr>
              <w:spacing w:after="60" w:line="252"/>
              <w:jc w:val="left"/>
            </w:pPr>
            <w:r>
              <w:rPr>
                <w:rFonts w:ascii="Times New Roman" w:cs="Times New Roman" w:eastAsia="Times New Roman" w:hAnsi="Times New Roman"/>
                <w:b/>
                <w:bCs/>
                <w:color w:val="000000"/>
                <w:sz w:val="21"/>
                <w:szCs w:val="21"/>
              </w:rPr>
              <w:t xml:space="preserve">Filtros:</w:t>
            </w:r>
            <w:r>
              <w:rPr>
                <w:rFonts w:ascii="Times New Roman" w:cs="Times New Roman" w:eastAsia="Times New Roman" w:hAnsi="Times New Roman"/>
                <w:color w:val="000000"/>
                <w:sz w:val="21"/>
                <w:szCs w:val="21"/>
              </w:rPr>
              <w:t xml:space="preserve"> [tipo · año · rango de fechas · sala o entidad · código DIVIPOLA].</w:t>
            </w:r>
          </w:p>
          <w:p>
            <w:pPr>
              <w:spacing w:after="60" w:line="252"/>
              <w:jc w:val="left"/>
            </w:pPr>
            <w:r>
              <w:rPr>
                <w:rFonts w:ascii="Times New Roman" w:cs="Times New Roman" w:eastAsia="Times New Roman" w:hAnsi="Times New Roman"/>
                <w:b/>
                <w:bCs/>
                <w:color w:val="000000"/>
                <w:sz w:val="21"/>
                <w:szCs w:val="21"/>
              </w:rPr>
              <w:t xml:space="preserve">Alcance:</w:t>
            </w:r>
            <w:r>
              <w:rPr>
                <w:rFonts w:ascii="Times New Roman" w:cs="Times New Roman" w:eastAsia="Times New Roman" w:hAnsi="Times New Roman"/>
                <w:color w:val="000000"/>
                <w:sz w:val="21"/>
                <w:szCs w:val="21"/>
              </w:rPr>
              <w:t xml:space="preserve"> máximo [N] resultados; lee el texto completo solo de [criterio], por rangos.</w:t>
            </w:r>
          </w:p>
          <w:p>
            <w:pPr>
              <w:spacing w:after="60" w:line="252"/>
              <w:jc w:val="left"/>
            </w:pPr>
            <w:r>
              <w:rPr>
                <w:rFonts w:ascii="Times New Roman" w:cs="Times New Roman" w:eastAsia="Times New Roman" w:hAnsi="Times New Roman"/>
                <w:b/>
                <w:bCs/>
                <w:color w:val="000000"/>
                <w:sz w:val="21"/>
                <w:szCs w:val="21"/>
              </w:rPr>
              <w:t xml:space="preserve">Salida:</w:t>
            </w:r>
            <w:r>
              <w:rPr>
                <w:rFonts w:ascii="Times New Roman" w:cs="Times New Roman" w:eastAsia="Times New Roman" w:hAnsi="Times New Roman"/>
                <w:color w:val="000000"/>
                <w:sz w:val="21"/>
                <w:szCs w:val="21"/>
              </w:rPr>
              <w:t xml:space="preserve"> tabla con [columnas]; incluye </w:t>
            </w:r>
            <w:r>
              <w:rPr>
                <w:rFonts w:ascii="Times New Roman" w:cs="Times New Roman" w:eastAsia="Times New Roman" w:hAnsi="Times New Roman"/>
                <w:i/>
                <w:iCs/>
                <w:color w:val="000000"/>
                <w:sz w:val="21"/>
                <w:szCs w:val="21"/>
              </w:rPr>
              <w:t xml:space="preserve">as_of</w:t>
            </w:r>
            <w:r>
              <w:rPr>
                <w:rFonts w:ascii="Times New Roman" w:cs="Times New Roman" w:eastAsia="Times New Roman" w:hAnsi="Times New Roman"/>
                <w:color w:val="000000"/>
                <w:sz w:val="21"/>
                <w:szCs w:val="21"/>
              </w:rPr>
              <w:t xml:space="preserve"> o </w:t>
            </w:r>
            <w:r>
              <w:rPr>
                <w:rFonts w:ascii="Times New Roman" w:cs="Times New Roman" w:eastAsia="Times New Roman" w:hAnsi="Times New Roman"/>
                <w:i/>
                <w:iCs/>
                <w:color w:val="000000"/>
                <w:sz w:val="21"/>
                <w:szCs w:val="21"/>
              </w:rPr>
              <w:t xml:space="preserve">checked_at</w:t>
            </w:r>
            <w:r>
              <w:rPr>
                <w:rFonts w:ascii="Times New Roman" w:cs="Times New Roman" w:eastAsia="Times New Roman" w:hAnsi="Times New Roman"/>
                <w:color w:val="000000"/>
                <w:sz w:val="21"/>
                <w:szCs w:val="21"/>
              </w:rPr>
              <w:t xml:space="preserve"> y el enlace oficial de cada fila.</w:t>
            </w:r>
          </w:p>
          <w:p>
            <w:pPr>
              <w:spacing w:after="60" w:line="252"/>
              <w:jc w:val="left"/>
            </w:pPr>
            <w:r>
              <w:rPr>
                <w:rFonts w:ascii="Times New Roman" w:cs="Times New Roman" w:eastAsia="Times New Roman" w:hAnsi="Times New Roman"/>
                <w:b/>
                <w:bCs/>
                <w:color w:val="000000"/>
                <w:sz w:val="21"/>
                <w:szCs w:val="21"/>
              </w:rPr>
              <w:t xml:space="preserve">Reglas:</w:t>
            </w:r>
            <w:r>
              <w:rPr>
                <w:rFonts w:ascii="Times New Roman" w:cs="Times New Roman" w:eastAsia="Times New Roman" w:hAnsi="Times New Roman"/>
                <w:color w:val="000000"/>
                <w:sz w:val="21"/>
                <w:szCs w:val="21"/>
              </w:rPr>
              <w:t xml:space="preserve"> no traduzcas nombres, estados ni términos legales; </w:t>
            </w:r>
            <w:r>
              <w:rPr>
                <w:rFonts w:ascii="Times New Roman" w:cs="Times New Roman" w:eastAsia="Times New Roman" w:hAnsi="Times New Roman"/>
                <w:i/>
                <w:iCs/>
                <w:color w:val="000000"/>
                <w:sz w:val="21"/>
                <w:szCs w:val="21"/>
              </w:rPr>
              <w:t xml:space="preserve">found: false</w:t>
            </w:r>
            <w:r>
              <w:rPr>
                <w:rFonts w:ascii="Times New Roman" w:cs="Times New Roman" w:eastAsia="Times New Roman" w:hAnsi="Times New Roman"/>
                <w:color w:val="000000"/>
                <w:sz w:val="21"/>
                <w:szCs w:val="21"/>
              </w:rPr>
              <w:t xml:space="preserve"> es una respuesta definitiva; ante «too many results», refina con [criterio]; ante una falla de la fuente, reintenta una vez y repórtala.</w:t>
            </w:r>
          </w:p>
          <w:p>
            <w:pPr>
              <w:spacing w:after="60" w:line="252"/>
              <w:jc w:val="left"/>
            </w:pPr>
            <w:r>
              <w:rPr>
                <w:rFonts w:ascii="Times New Roman" w:cs="Times New Roman" w:eastAsia="Times New Roman" w:hAnsi="Times New Roman"/>
                <w:b/>
                <w:bCs/>
                <w:color w:val="000000"/>
                <w:sz w:val="21"/>
                <w:szCs w:val="21"/>
              </w:rPr>
              <w:t xml:space="preserve">Finalidad y base legal:</w:t>
            </w:r>
            <w:r>
              <w:rPr>
                <w:rFonts w:ascii="Times New Roman" w:cs="Times New Roman" w:eastAsia="Times New Roman" w:hAnsi="Times New Roman"/>
                <w:color w:val="000000"/>
                <w:sz w:val="21"/>
                <w:szCs w:val="21"/>
              </w:rPr>
              <w:t xml:space="preserve"> [descripción], cuando haya datos de personas naturales.</w:t>
            </w:r>
          </w:p>
        </w:tc>
      </w:tr>
    </w:tbl>
    <w:p>
      <w:pPr>
        <w:spacing w:after="160"/>
      </w:pP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6.3 — De instrucciones débiles a instrucciones efectivas</w:t>
      </w:r>
    </w:p>
    <w:p>
      <w:pPr>
        <w:keepNext/>
        <w:spacing w:after="80" w:before="200" w:line="240"/>
        <w:jc w:val="left"/>
      </w:pPr>
      <w:r>
        <w:rPr>
          <w:rFonts w:ascii="Times New Roman" w:cs="Times New Roman" w:eastAsia="Times New Roman" w:hAnsi="Times New Roman"/>
          <w:b/>
          <w:bCs/>
          <w:color w:val="000000"/>
          <w:sz w:val="20"/>
          <w:szCs w:val="20"/>
        </w:rPr>
        <w:t xml:space="preserve">Tabla 32. </w:t>
      </w:r>
      <w:r>
        <w:rPr>
          <w:rFonts w:ascii="Times New Roman" w:cs="Times New Roman" w:eastAsia="Times New Roman" w:hAnsi="Times New Roman"/>
          <w:i/>
          <w:iCs/>
          <w:color w:val="000000"/>
          <w:sz w:val="20"/>
          <w:szCs w:val="20"/>
        </w:rPr>
        <w:t xml:space="preserve">Ejemplos de instrucciones débiles y mejoradas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4"/>
        <w:gridCol w:w="4972"/>
        <w:gridCol w:w="2150"/>
      </w:tblGrid>
      <w:tr>
        <w:trPr>
          <w:cantSplit/>
          <w:tblHeader/>
        </w:trPr>
        <w:tc>
          <w:tcPr>
            <w:tcW w:type="dxa" w:w="2284"/>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Instrucción débil</w:t>
            </w:r>
          </w:p>
        </w:tc>
        <w:tc>
          <w:tcPr>
            <w:tcW w:type="dxa" w:w="4972"/>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Instrucción mejorada</w:t>
            </w:r>
          </w:p>
        </w:tc>
        <w:tc>
          <w:tcPr>
            <w:tcW w:type="dxa" w:w="215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Por qué funciona</w:t>
            </w:r>
          </w:p>
        </w:tc>
      </w:tr>
      <w:tr>
        <w:trPr>
          <w:cantSplit/>
        </w:trPr>
        <w:tc>
          <w:tcPr>
            <w:tcW w:type="dxa" w:w="228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«Busca demandas contra Rappi.»</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 Croma, busca en Rama Judicial procesos de la persona jurídica “RAPPI S.A.S.” con actividad en los últimos 30 días; devuelve radicado, despacho, partes y última actuación.»</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Evita el exceso de coincidencias (T01) y fija la salida.</w:t>
            </w:r>
          </w:p>
        </w:tc>
      </w:tr>
      <w:tr>
        <w:trPr>
          <w:cantSplit/>
        </w:trPr>
        <w:tc>
          <w:tcPr>
            <w:tcW w:type="dxa" w:w="228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«¿Qué ha dicho la Corte sobre habeas data?»</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«En la Corte Constitucional, busca sentencias tipo T de 2024 y 2025 sobre “habeas data” y “centrales de riesgo”; máximo cinco; para cada una da número, fecha, ponente y decisión; luego lee completa la más pertinente.»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Filtra, limita el contexto y separa búsqueda de lectura.</w:t>
            </w:r>
          </w:p>
        </w:tc>
      </w:tr>
      <w:tr>
        <w:trPr>
          <w:cantSplit/>
        </w:trPr>
        <w:tc>
          <w:tcPr>
            <w:tcW w:type="dxa" w:w="228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«Revisa a esta empresa.»</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«Haz el KYB del NIT 860051894: RUES, Supersociedades o SIMEV, SECOP y comercio exterior; señala inconsistencias de datos y la fecha de corte de cada fuente.»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Encadena fuentes y exige control de calidad.</w:t>
            </w:r>
          </w:p>
        </w:tc>
      </w:tr>
      <w:tr>
        <w:trPr>
          <w:cantSplit/>
        </w:trPr>
        <w:tc>
          <w:tcPr>
            <w:tcW w:type="dxa" w:w="228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«¿Cuánto vale este lote?»</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«Consulta el predio del IGAC en la latitud 5,6395 y longitud −73,5168; dame avalúo, áreas, destino y el valor del suelo de su zona geoeconómica; indica si el catastro está desactualizado.»</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Usa coordenadas y pide el contexto que explica el avalúo.</w:t>
            </w:r>
          </w:p>
        </w:tc>
      </w:tr>
      <w:tr>
        <w:trPr>
          <w:cantSplit/>
        </w:trPr>
        <w:tc>
          <w:tcPr>
            <w:tcW w:type="dxa" w:w="228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«Avísame de contratos nuevos.»</w:t>
            </w:r>
          </w:p>
        </w:tc>
        <w:tc>
          <w:tcPr>
            <w:tcW w:type="dxa" w:w="49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«Vigila en SECOP II los contratos nuevos con el NIT 900123456 y mándame un correo cada lunes a las 8 a legal@empresa.com, solo cuando haya algo nuevo.»</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Define endpoint, frecuencia, destinatario y modo de aviso.</w:t>
            </w:r>
          </w:p>
        </w:tc>
      </w:tr>
    </w:tbl>
    <w:p>
      <w:pPr>
        <w:spacing w:after="200" w:before="60" w:line="240"/>
        <w:jc w:val="left"/>
      </w:pP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6.4 — Instrucciones para monitores</w:t>
      </w:r>
    </w:p>
    <w:p>
      <w:pPr>
        <w:spacing w:after="120" w:before="0" w:line="276"/>
        <w:jc w:val="both"/>
      </w:pPr>
      <w:r>
        <w:rPr>
          <w:rFonts w:ascii="Times New Roman" w:cs="Times New Roman" w:eastAsia="Times New Roman" w:hAnsi="Times New Roman"/>
          <w:color w:val="000000"/>
          <w:sz w:val="23"/>
          <w:szCs w:val="23"/>
        </w:rPr>
        <w:t xml:space="preserve">La documentación propone formulaciones que el agente traduce directamente a </w:t>
      </w:r>
      <w:r>
        <w:rPr>
          <w:rFonts w:ascii="Times New Roman" w:cs="Times New Roman" w:eastAsia="Times New Roman" w:hAnsi="Times New Roman"/>
          <w:i/>
          <w:iCs/>
          <w:color w:val="000000"/>
          <w:sz w:val="23"/>
          <w:szCs w:val="23"/>
        </w:rPr>
        <w:t xml:space="preserve">create_monitor</w:t>
      </w:r>
      <w:r>
        <w:rPr>
          <w:rFonts w:ascii="Times New Roman" w:cs="Times New Roman" w:eastAsia="Times New Roman" w:hAnsi="Times New Roman"/>
          <w:color w:val="000000"/>
          <w:sz w:val="23"/>
          <w:szCs w:val="23"/>
        </w:rPr>
        <w:t xml:space="preserve">: «Avísame cuando la ANM publique algo sobre el título AD9-111. Envíalo a legal@empresa.com.»; «Vigila en SECOP II los contratos nuevos con el NIT 900123456 y mándame un correo cada lunes a las 8.»; «Avísame cuando la Corte Constitucional publique una sentencia sobre habeas data, solo las de tutela.» y «Pausa mi monitor de AD9-111.».</w:t>
      </w:r>
      <w:r>
        <w:rPr>
          <w:rStyle w:val="FootnoteReference"/>
        </w:rPr>
        <w:footnoteReference w:id="111"/>
      </w:r>
      <w:r>
        <w:rPr>
          <w:rFonts w:ascii="Times New Roman" w:cs="Times New Roman" w:eastAsia="Times New Roman" w:hAnsi="Times New Roman"/>
          <w:color w:val="000000"/>
          <w:sz w:val="23"/>
          <w:szCs w:val="23"/>
        </w:rPr>
        <w:t xml:space="preserve"> Recuérdese que en la organización de prueba la función estaba en beta privada (T46).</w:t>
      </w:r>
    </w:p>
    <w:p>
      <w:pPr>
        <w:keepNext/>
        <w:spacing w:after="80" w:before="280" w:line="276"/>
        <w:ind w:left="851" w:right="851"/>
        <w:jc w:val="center"/>
      </w:pPr>
      <w:r>
        <w:rPr>
          <w:rFonts w:ascii="Times New Roman" w:cs="Times New Roman" w:eastAsia="Times New Roman" w:hAnsi="Times New Roman"/>
          <w:i/>
          <w:iCs/>
          <w:color w:val="000000"/>
          <w:sz w:val="23"/>
          <w:szCs w:val="23"/>
        </w:rPr>
        <w:t xml:space="preserve">«Sé exacto con lo que quieres vigilar. Un identificador (una placa, un NIT, un radicado) da un monitor preciso; el texto libre también sirve y trae más.»</w:t>
      </w:r>
    </w:p>
    <w:p>
      <w:pPr>
        <w:spacing w:after="280" w:line="240"/>
        <w:ind w:left="851" w:right="851"/>
        <w:jc w:val="center"/>
      </w:pPr>
      <w:r>
        <w:rPr>
          <w:rFonts w:ascii="Times New Roman" w:cs="Times New Roman" w:eastAsia="Times New Roman" w:hAnsi="Times New Roman"/>
          <w:color w:val="000000"/>
          <w:sz w:val="21"/>
          <w:szCs w:val="21"/>
        </w:rPr>
        <w:t xml:space="preserve">(Croma, 2026, «Monitores desde Claude»). https://docs.usecroma.com/es/monitors-mcp</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6.5 — Indicaciones para integradores por REST</w:t>
      </w:r>
    </w:p>
    <w:p>
      <w:pPr>
        <w:pStyle w:val="ListParagraph"/>
        <w:numPr>
          <w:ilvl w:val="0"/>
          <w:numId w:val="20"/>
        </w:numPr>
        <w:spacing w:after="60" w:line="276"/>
        <w:jc w:val="both"/>
      </w:pPr>
      <w:r>
        <w:rPr>
          <w:rFonts w:ascii="Times New Roman" w:cs="Times New Roman" w:eastAsia="Times New Roman" w:hAnsi="Times New Roman"/>
          <w:color w:val="000000"/>
          <w:sz w:val="23"/>
          <w:szCs w:val="23"/>
        </w:rPr>
        <w:t xml:space="preserve">Enviar siempre </w:t>
      </w:r>
      <w:r>
        <w:rPr>
          <w:rFonts w:ascii="Times New Roman" w:cs="Times New Roman" w:eastAsia="Times New Roman" w:hAnsi="Times New Roman"/>
          <w:i/>
          <w:iCs/>
          <w:color w:val="000000"/>
          <w:sz w:val="23"/>
          <w:szCs w:val="23"/>
        </w:rPr>
        <w:t xml:space="preserve">Authorization: Bearer</w:t>
      </w:r>
      <w:r>
        <w:rPr>
          <w:rFonts w:ascii="Times New Roman" w:cs="Times New Roman" w:eastAsia="Times New Roman" w:hAnsi="Times New Roman"/>
          <w:color w:val="000000"/>
          <w:sz w:val="23"/>
          <w:szCs w:val="23"/>
        </w:rPr>
        <w:t xml:space="preserve"> con una llave de organización y </w:t>
      </w:r>
      <w:r>
        <w:rPr>
          <w:rFonts w:ascii="Times New Roman" w:cs="Times New Roman" w:eastAsia="Times New Roman" w:hAnsi="Times New Roman"/>
          <w:i/>
          <w:iCs/>
          <w:color w:val="000000"/>
          <w:sz w:val="23"/>
          <w:szCs w:val="23"/>
        </w:rPr>
        <w:t xml:space="preserve">Content-Type: application/json</w:t>
      </w:r>
      <w:r>
        <w:rPr>
          <w:rFonts w:ascii="Times New Roman" w:cs="Times New Roman" w:eastAsia="Times New Roman" w:hAnsi="Times New Roman"/>
          <w:color w:val="000000"/>
          <w:sz w:val="23"/>
          <w:szCs w:val="23"/>
        </w:rPr>
        <w:t xml:space="preserve">; todas las rutas de datos son POST.</w:t>
      </w:r>
    </w:p>
    <w:p>
      <w:pPr>
        <w:pStyle w:val="ListParagraph"/>
        <w:numPr>
          <w:ilvl w:val="0"/>
          <w:numId w:val="20"/>
        </w:numPr>
        <w:spacing w:after="60" w:line="276"/>
        <w:jc w:val="both"/>
      </w:pPr>
      <w:r>
        <w:rPr>
          <w:rFonts w:ascii="Times New Roman" w:cs="Times New Roman" w:eastAsia="Times New Roman" w:hAnsi="Times New Roman"/>
          <w:color w:val="000000"/>
          <w:sz w:val="23"/>
          <w:szCs w:val="23"/>
        </w:rPr>
        <w:t xml:space="preserve">Manejar tanto </w:t>
      </w:r>
      <w:r>
        <w:rPr>
          <w:rFonts w:ascii="Times New Roman" w:cs="Times New Roman" w:eastAsia="Times New Roman" w:hAnsi="Times New Roman"/>
          <w:i/>
          <w:iCs/>
          <w:color w:val="000000"/>
          <w:sz w:val="23"/>
          <w:szCs w:val="23"/>
        </w:rPr>
        <w:t xml:space="preserve">200</w:t>
      </w:r>
      <w:r>
        <w:rPr>
          <w:rFonts w:ascii="Times New Roman" w:cs="Times New Roman" w:eastAsia="Times New Roman" w:hAnsi="Times New Roman"/>
          <w:color w:val="000000"/>
          <w:sz w:val="23"/>
          <w:szCs w:val="23"/>
        </w:rPr>
        <w:t xml:space="preserve"> como </w:t>
      </w:r>
      <w:r>
        <w:rPr>
          <w:rFonts w:ascii="Times New Roman" w:cs="Times New Roman" w:eastAsia="Times New Roman" w:hAnsi="Times New Roman"/>
          <w:i/>
          <w:iCs/>
          <w:color w:val="000000"/>
          <w:sz w:val="23"/>
          <w:szCs w:val="23"/>
        </w:rPr>
        <w:t xml:space="preserve">202</w:t>
      </w:r>
      <w:r>
        <w:rPr>
          <w:rFonts w:ascii="Times New Roman" w:cs="Times New Roman" w:eastAsia="Times New Roman" w:hAnsi="Times New Roman"/>
          <w:color w:val="000000"/>
          <w:sz w:val="23"/>
          <w:szCs w:val="23"/>
        </w:rPr>
        <w:t xml:space="preserve">: con </w:t>
      </w:r>
      <w:r>
        <w:rPr>
          <w:rFonts w:ascii="Times New Roman" w:cs="Times New Roman" w:eastAsia="Times New Roman" w:hAnsi="Times New Roman"/>
          <w:i/>
          <w:iCs/>
          <w:color w:val="000000"/>
          <w:sz w:val="23"/>
          <w:szCs w:val="23"/>
        </w:rPr>
        <w:t xml:space="preserve">Prefer: wait=N</w:t>
      </w:r>
      <w:r>
        <w:rPr>
          <w:rFonts w:ascii="Times New Roman" w:cs="Times New Roman" w:eastAsia="Times New Roman" w:hAnsi="Times New Roman"/>
          <w:color w:val="000000"/>
          <w:sz w:val="23"/>
          <w:szCs w:val="23"/>
        </w:rPr>
        <w:t xml:space="preserve"> (máximo 55 s) se controla la espera, con </w:t>
      </w:r>
      <w:r>
        <w:rPr>
          <w:rFonts w:ascii="Times New Roman" w:cs="Times New Roman" w:eastAsia="Times New Roman" w:hAnsi="Times New Roman"/>
          <w:i/>
          <w:iCs/>
          <w:color w:val="000000"/>
          <w:sz w:val="23"/>
          <w:szCs w:val="23"/>
        </w:rPr>
        <w:t xml:space="preserve">Prefer: wait=0</w:t>
      </w:r>
      <w:r>
        <w:rPr>
          <w:rFonts w:ascii="Times New Roman" w:cs="Times New Roman" w:eastAsia="Times New Roman" w:hAnsi="Times New Roman"/>
          <w:color w:val="000000"/>
          <w:sz w:val="23"/>
          <w:szCs w:val="23"/>
        </w:rPr>
        <w:t xml:space="preserve"> se pasa a polling y con </w:t>
      </w:r>
      <w:r>
        <w:rPr>
          <w:rFonts w:ascii="Times New Roman" w:cs="Times New Roman" w:eastAsia="Times New Roman" w:hAnsi="Times New Roman"/>
          <w:i/>
          <w:iCs/>
          <w:color w:val="000000"/>
          <w:sz w:val="23"/>
          <w:szCs w:val="23"/>
        </w:rPr>
        <w:t xml:space="preserve">callback_url</w:t>
      </w:r>
      <w:r>
        <w:rPr>
          <w:rFonts w:ascii="Times New Roman" w:cs="Times New Roman" w:eastAsia="Times New Roman" w:hAnsi="Times New Roman"/>
          <w:color w:val="000000"/>
          <w:sz w:val="23"/>
          <w:szCs w:val="23"/>
        </w:rPr>
        <w:t xml:space="preserve"> a webhook firmado con HMAC.</w:t>
      </w:r>
    </w:p>
    <w:p>
      <w:pPr>
        <w:pStyle w:val="ListParagraph"/>
        <w:numPr>
          <w:ilvl w:val="0"/>
          <w:numId w:val="20"/>
        </w:numPr>
        <w:spacing w:after="60" w:line="276"/>
        <w:jc w:val="both"/>
      </w:pPr>
      <w:r>
        <w:rPr>
          <w:rFonts w:ascii="Times New Roman" w:cs="Times New Roman" w:eastAsia="Times New Roman" w:hAnsi="Times New Roman"/>
          <w:color w:val="000000"/>
          <w:sz w:val="23"/>
          <w:szCs w:val="23"/>
        </w:rPr>
        <w:t xml:space="preserve">Enviar </w:t>
      </w:r>
      <w:r>
        <w:rPr>
          <w:rFonts w:ascii="Times New Roman" w:cs="Times New Roman" w:eastAsia="Times New Roman" w:hAnsi="Times New Roman"/>
          <w:i/>
          <w:iCs/>
          <w:color w:val="000000"/>
          <w:sz w:val="23"/>
          <w:szCs w:val="23"/>
        </w:rPr>
        <w:t xml:space="preserve">Idempotency-Key</w:t>
      </w:r>
      <w:r>
        <w:rPr>
          <w:rFonts w:ascii="Times New Roman" w:cs="Times New Roman" w:eastAsia="Times New Roman" w:hAnsi="Times New Roman"/>
          <w:color w:val="000000"/>
          <w:sz w:val="23"/>
          <w:szCs w:val="23"/>
        </w:rPr>
        <w:t xml:space="preserve"> para correlacionar reintentos y registrar </w:t>
      </w:r>
      <w:r>
        <w:rPr>
          <w:rFonts w:ascii="Times New Roman" w:cs="Times New Roman" w:eastAsia="Times New Roman" w:hAnsi="Times New Roman"/>
          <w:i/>
          <w:iCs/>
          <w:color w:val="000000"/>
          <w:sz w:val="23"/>
          <w:szCs w:val="23"/>
        </w:rPr>
        <w:t xml:space="preserve">X-Request-Id</w:t>
      </w:r>
      <w:r>
        <w:rPr>
          <w:rFonts w:ascii="Times New Roman" w:cs="Times New Roman" w:eastAsia="Times New Roman" w:hAnsi="Times New Roman"/>
          <w:color w:val="000000"/>
          <w:sz w:val="23"/>
          <w:szCs w:val="23"/>
        </w:rPr>
        <w:t xml:space="preserve"> para soporte.</w:t>
      </w:r>
    </w:p>
    <w:p>
      <w:pPr>
        <w:pStyle w:val="ListParagraph"/>
        <w:numPr>
          <w:ilvl w:val="0"/>
          <w:numId w:val="20"/>
        </w:numPr>
        <w:spacing w:after="60" w:line="276"/>
        <w:jc w:val="both"/>
      </w:pPr>
      <w:r>
        <w:rPr>
          <w:rFonts w:ascii="Times New Roman" w:cs="Times New Roman" w:eastAsia="Times New Roman" w:hAnsi="Times New Roman"/>
          <w:color w:val="000000"/>
          <w:sz w:val="23"/>
          <w:szCs w:val="23"/>
        </w:rPr>
        <w:t xml:space="preserve">Leer </w:t>
      </w:r>
      <w:r>
        <w:rPr>
          <w:rFonts w:ascii="Times New Roman" w:cs="Times New Roman" w:eastAsia="Times New Roman" w:hAnsi="Times New Roman"/>
          <w:i/>
          <w:iCs/>
          <w:color w:val="000000"/>
          <w:sz w:val="23"/>
          <w:szCs w:val="23"/>
        </w:rPr>
        <w:t xml:space="preserve">Deprecation</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Sunset</w:t>
      </w:r>
      <w:r>
        <w:rPr>
          <w:rFonts w:ascii="Times New Roman" w:cs="Times New Roman" w:eastAsia="Times New Roman" w:hAnsi="Times New Roman"/>
          <w:color w:val="000000"/>
          <w:sz w:val="23"/>
          <w:szCs w:val="23"/>
        </w:rPr>
        <w:t xml:space="preserve"> y </w:t>
      </w:r>
      <w:r>
        <w:rPr>
          <w:rFonts w:ascii="Times New Roman" w:cs="Times New Roman" w:eastAsia="Times New Roman" w:hAnsi="Times New Roman"/>
          <w:i/>
          <w:iCs/>
          <w:color w:val="000000"/>
          <w:sz w:val="23"/>
          <w:szCs w:val="23"/>
        </w:rPr>
        <w:t xml:space="preserve">Link</w:t>
      </w:r>
      <w:r>
        <w:rPr>
          <w:rFonts w:ascii="Times New Roman" w:cs="Times New Roman" w:eastAsia="Times New Roman" w:hAnsi="Times New Roman"/>
          <w:color w:val="000000"/>
          <w:sz w:val="23"/>
          <w:szCs w:val="23"/>
        </w:rPr>
        <w:t xml:space="preserve"> en cada respuesta para detectar retiros el mismo día del anuncio.</w:t>
      </w:r>
    </w:p>
    <w:p>
      <w:pPr>
        <w:pStyle w:val="ListParagraph"/>
        <w:numPr>
          <w:ilvl w:val="0"/>
          <w:numId w:val="20"/>
        </w:numPr>
        <w:spacing w:after="60" w:line="276"/>
        <w:jc w:val="both"/>
      </w:pPr>
      <w:r>
        <w:rPr>
          <w:rFonts w:ascii="Times New Roman" w:cs="Times New Roman" w:eastAsia="Times New Roman" w:hAnsi="Times New Roman"/>
          <w:color w:val="000000"/>
          <w:sz w:val="23"/>
          <w:szCs w:val="23"/>
        </w:rPr>
        <w:t xml:space="preserve">No depender de los encabezados </w:t>
      </w:r>
      <w:r>
        <w:rPr>
          <w:rFonts w:ascii="Times New Roman" w:cs="Times New Roman" w:eastAsia="Times New Roman" w:hAnsi="Times New Roman"/>
          <w:i/>
          <w:iCs/>
          <w:color w:val="000000"/>
          <w:sz w:val="23"/>
          <w:szCs w:val="23"/>
        </w:rPr>
        <w:t xml:space="preserve">X-RateLimit-*</w:t>
      </w:r>
      <w:r>
        <w:rPr>
          <w:rFonts w:ascii="Times New Roman" w:cs="Times New Roman" w:eastAsia="Times New Roman" w:hAnsi="Times New Roman"/>
          <w:color w:val="000000"/>
          <w:sz w:val="23"/>
          <w:szCs w:val="23"/>
        </w:rPr>
        <w:t xml:space="preserve">: el limitador falla abierto y pueden faltar.</w:t>
      </w:r>
    </w:p>
    <w:p>
      <w:pPr>
        <w:pStyle w:val="ListParagraph"/>
        <w:numPr>
          <w:ilvl w:val="0"/>
          <w:numId w:val="20"/>
        </w:numPr>
        <w:spacing w:after="60" w:line="276"/>
        <w:jc w:val="both"/>
      </w:pPr>
      <w:r>
        <w:rPr>
          <w:rFonts w:ascii="Times New Roman" w:cs="Times New Roman" w:eastAsia="Times New Roman" w:hAnsi="Times New Roman"/>
          <w:color w:val="000000"/>
          <w:sz w:val="23"/>
          <w:szCs w:val="23"/>
        </w:rPr>
        <w:t xml:space="preserve">Respetar </w:t>
      </w:r>
      <w:r>
        <w:rPr>
          <w:rFonts w:ascii="Times New Roman" w:cs="Times New Roman" w:eastAsia="Times New Roman" w:hAnsi="Times New Roman"/>
          <w:i/>
          <w:iCs/>
          <w:color w:val="000000"/>
          <w:sz w:val="23"/>
          <w:szCs w:val="23"/>
        </w:rPr>
        <w:t xml:space="preserve">Retry-After</w:t>
      </w:r>
      <w:r>
        <w:rPr>
          <w:rFonts w:ascii="Times New Roman" w:cs="Times New Roman" w:eastAsia="Times New Roman" w:hAnsi="Times New Roman"/>
          <w:color w:val="000000"/>
          <w:sz w:val="23"/>
          <w:szCs w:val="23"/>
        </w:rPr>
        <w:t xml:space="preserve"> ante </w:t>
      </w:r>
      <w:r>
        <w:rPr>
          <w:rFonts w:ascii="Times New Roman" w:cs="Times New Roman" w:eastAsia="Times New Roman" w:hAnsi="Times New Roman"/>
          <w:i/>
          <w:iCs/>
          <w:color w:val="000000"/>
          <w:sz w:val="23"/>
          <w:szCs w:val="23"/>
        </w:rPr>
        <w:t xml:space="preserve">429</w:t>
      </w:r>
      <w:r>
        <w:rPr>
          <w:rFonts w:ascii="Times New Roman" w:cs="Times New Roman" w:eastAsia="Times New Roman" w:hAnsi="Times New Roman"/>
          <w:color w:val="000000"/>
          <w:sz w:val="23"/>
          <w:szCs w:val="23"/>
        </w:rPr>
        <w:t xml:space="preserve"> y reintentar los </w:t>
      </w:r>
      <w:r>
        <w:rPr>
          <w:rFonts w:ascii="Times New Roman" w:cs="Times New Roman" w:eastAsia="Times New Roman" w:hAnsi="Times New Roman"/>
          <w:i/>
          <w:iCs/>
          <w:color w:val="000000"/>
          <w:sz w:val="23"/>
          <w:szCs w:val="23"/>
        </w:rPr>
        <w:t xml:space="preserve">5xx</w:t>
      </w:r>
      <w:r>
        <w:rPr>
          <w:rFonts w:ascii="Times New Roman" w:cs="Times New Roman" w:eastAsia="Times New Roman" w:hAnsi="Times New Roman"/>
          <w:color w:val="000000"/>
          <w:sz w:val="23"/>
          <w:szCs w:val="23"/>
        </w:rPr>
        <w:t xml:space="preserve"> con espera exponencial.</w:t>
      </w: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VII. LIMITACIONES Y RIESGOS</w:t>
      </w:r>
    </w:p>
    <w:p>
      <w:pPr>
        <w:spacing w:after="120" w:before="0" w:line="276"/>
        <w:jc w:val="both"/>
      </w:pPr>
      <w:r>
        <w:rPr>
          <w:rFonts w:ascii="Times New Roman" w:cs="Times New Roman" w:eastAsia="Times New Roman" w:hAnsi="Times New Roman"/>
          <w:color w:val="000000"/>
          <w:sz w:val="23"/>
          <w:szCs w:val="23"/>
        </w:rPr>
        <w:t xml:space="preserve">Esta sección reúne 25 limitaciones: 12 de diseño, declaradas en la documentación, y 13 observadas en las pruebas. Se complementa con un inventario de defectos de calidad de datos y con los riesgos jurídicos del tratamiento.</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7.1 — Limitaciones de diseño documentadas</w:t>
      </w:r>
    </w:p>
    <w:p>
      <w:pPr>
        <w:keepNext/>
        <w:spacing w:after="80" w:before="200" w:line="240"/>
        <w:jc w:val="left"/>
      </w:pPr>
      <w:r>
        <w:rPr>
          <w:rFonts w:ascii="Times New Roman" w:cs="Times New Roman" w:eastAsia="Times New Roman" w:hAnsi="Times New Roman"/>
          <w:b/>
          <w:bCs/>
          <w:color w:val="000000"/>
          <w:sz w:val="20"/>
          <w:szCs w:val="20"/>
        </w:rPr>
        <w:t xml:space="preserve">Tabla 33. </w:t>
      </w:r>
      <w:r>
        <w:rPr>
          <w:rFonts w:ascii="Times New Roman" w:cs="Times New Roman" w:eastAsia="Times New Roman" w:hAnsi="Times New Roman"/>
          <w:i/>
          <w:iCs/>
          <w:color w:val="000000"/>
          <w:sz w:val="20"/>
          <w:szCs w:val="20"/>
        </w:rPr>
        <w:t xml:space="preserve">Limitaciones de diseño declaradas por Croma</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7"/>
        <w:gridCol w:w="3359"/>
        <w:gridCol w:w="3091"/>
        <w:gridCol w:w="2419"/>
      </w:tblGrid>
      <w:tr>
        <w:trPr>
          <w:cantSplit/>
          <w:tblHeader/>
        </w:trPr>
        <w:tc>
          <w:tcPr>
            <w:tcW w:type="dxa" w:w="53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w:t>
            </w:r>
          </w:p>
        </w:tc>
        <w:tc>
          <w:tcPr>
            <w:tcW w:type="dxa" w:w="335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Limitación</w:t>
            </w:r>
          </w:p>
        </w:tc>
        <w:tc>
          <w:tcPr>
            <w:tcW w:type="dxa" w:w="309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Consecuencia</w:t>
            </w:r>
          </w:p>
        </w:tc>
        <w:tc>
          <w:tcPr>
            <w:tcW w:type="dxa" w:w="241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Mitigación</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D1</w:t>
            </w:r>
          </w:p>
        </w:tc>
        <w:tc>
          <w:tcPr>
            <w:tcW w:type="dxa" w:w="33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Cobertura cerrada al catálogo publicado; la Agent Skill pide no adivinar endpoints.</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Registros no listados (p. ej. certificados de libertad y tradición) no están disponibles.</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Contrastar el caso de uso con el catálogo antes de diseñar.</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D2</w:t>
            </w:r>
          </w:p>
        </w:tc>
        <w:tc>
          <w:tcPr>
            <w:tcW w:type="dxa" w:w="33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Lote disponible solo para Rama Judicial por radicado.</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Las demás consultas masivas requieren iterar.</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Paralelizar con control de cupo y caché propia.</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D3</w:t>
            </w:r>
          </w:p>
        </w:tc>
        <w:tc>
          <w:tcPr>
            <w:tcW w:type="dxa" w:w="33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Espera en línea de máximo 55 s por REST.</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Las consultas lentas devuelven 202.</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Implementar polling o callback.</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D4</w:t>
            </w:r>
          </w:p>
        </w:tc>
        <w:tc>
          <w:tcPr>
            <w:tcW w:type="dxa" w:w="33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Topes horarios en herramientas web, de extracción e investigación.</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Limitan agentes intensivos en web.</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Diseñar con el límite más estricto (ver D12 y O13).</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D5</w:t>
            </w:r>
          </w:p>
        </w:tc>
        <w:tc>
          <w:tcPr>
            <w:tcW w:type="dxa" w:w="33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Créditos no acumulables y sin pago por uso.</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Al agotarse, todo responde 402 hasta el reinicio.</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Monitorear el saldo y escalar de plan.</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D6</w:t>
            </w:r>
          </w:p>
        </w:tc>
        <w:tc>
          <w:tcPr>
            <w:tcW w:type="dxa" w:w="33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Monitores: 20 por organización, 3 destinatarios, 500 filas por ejecución, sin superar la frecuencia de la fuente.</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No sirven para vigilancias masivas.</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Usar la API y un planificador propio para gran escala.</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D7</w:t>
            </w:r>
          </w:p>
        </w:tc>
        <w:tc>
          <w:tcPr>
            <w:tcW w:type="dxa" w:w="33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Conexiones: máximo 5 por fuente y cupo diario; DIAN solo años cerrados.</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Capacidad diaria limitada por titular.</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Registrar varias conexiones autorizadas.</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D8</w:t>
            </w:r>
          </w:p>
        </w:tc>
        <w:tc>
          <w:tcPr>
            <w:tcW w:type="dxa" w:w="33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El IGAC excluye Bogotá, Medellín, Cali, Barranquilla y Antioquia.</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Sin avalúo en los mayores mercados inmobiliarios.</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Integrar los gestores catastrales propios.</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D9</w:t>
            </w:r>
          </w:p>
        </w:tc>
        <w:tc>
          <w:tcPr>
            <w:tcW w:type="dxa" w:w="33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Procuraduría devuelve el veredicto, no el detalle de sanciones.</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No se conoce la sanción concreta.</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Remitir al certificado oficial.</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D10</w:t>
            </w:r>
          </w:p>
        </w:tc>
        <w:tc>
          <w:tcPr>
            <w:tcW w:type="dxa" w:w="33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RUNT por placa exige el documento del propietario activo.</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Sin documento, solo hay historial o consulta del ciudadano.</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Elegir la consulta según el dato disponible y la base legal.</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D11</w:t>
            </w:r>
          </w:p>
        </w:tc>
        <w:tc>
          <w:tcPr>
            <w:tcW w:type="dxa" w:w="33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Consejo de Estado partido en dos corpus (antes y después de diciembre de 2021).</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Una sola búsqueda no cubre toda la jurisprudencia.</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Consultar ambos corpus.</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D12</w:t>
            </w:r>
          </w:p>
        </w:tc>
        <w:tc>
          <w:tcPr>
            <w:tcW w:type="dxa" w:w="33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Deprecaciones con fecha: SECOP </w:t>
            </w:r>
            <w:r>
              <w:rPr>
                <w:rFonts w:ascii="Times New Roman" w:cs="Times New Roman" w:eastAsia="Times New Roman" w:hAnsi="Times New Roman"/>
                <w:b w:val="false"/>
                <w:bCs w:val="false"/>
                <w:i/>
                <w:iCs/>
                <w:color w:val="000000"/>
                <w:sz w:val="17"/>
                <w:szCs w:val="17"/>
              </w:rPr>
              <w:t xml:space="preserve">*_by_*</w:t>
            </w:r>
            <w:r>
              <w:rPr>
                <w:rFonts w:ascii="Times New Roman" w:cs="Times New Roman" w:eastAsia="Times New Roman" w:hAnsi="Times New Roman"/>
                <w:b w:val="false"/>
                <w:bCs w:val="false"/>
                <w:color w:val="000000"/>
                <w:sz w:val="17"/>
                <w:szCs w:val="17"/>
              </w:rPr>
              <w:t xml:space="preserve"> y SIATA v1 dejan de responder el 1-dic-2026; el plan Free baja a 1.500 créditos el 15-oct-2026.</w:t>
            </w:r>
          </w:p>
        </w:tc>
        <w:tc>
          <w:tcPr>
            <w:tcW w:type="dxa" w:w="30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Integraciones antiguas fallarán con 410; los pilotos gratuitos se reducen.</w:t>
            </w:r>
          </w:p>
        </w:tc>
        <w:tc>
          <w:tcPr>
            <w:tcW w:type="dxa" w:w="241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Migrar a los sucesores y presupuestar créditos.</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Fuentes: Agent Skill, MCP, trabajos asíncronos, lotes, créditos, límites, monitores, guías por fuente, versionado y precios (Croma, 2026).</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7.2 — Limitaciones observadas en las pruebas</w:t>
      </w:r>
    </w:p>
    <w:p>
      <w:pPr>
        <w:keepNext/>
        <w:spacing w:after="80" w:before="200" w:line="240"/>
        <w:jc w:val="left"/>
      </w:pPr>
      <w:r>
        <w:rPr>
          <w:rFonts w:ascii="Times New Roman" w:cs="Times New Roman" w:eastAsia="Times New Roman" w:hAnsi="Times New Roman"/>
          <w:b/>
          <w:bCs/>
          <w:color w:val="000000"/>
          <w:sz w:val="20"/>
          <w:szCs w:val="20"/>
        </w:rPr>
        <w:t xml:space="preserve">Tabla 34. </w:t>
      </w:r>
      <w:r>
        <w:rPr>
          <w:rFonts w:ascii="Times New Roman" w:cs="Times New Roman" w:eastAsia="Times New Roman" w:hAnsi="Times New Roman"/>
          <w:i/>
          <w:iCs/>
          <w:color w:val="000000"/>
          <w:sz w:val="20"/>
          <w:szCs w:val="20"/>
        </w:rPr>
        <w:t xml:space="preserve">Limitaciones observadas en las 61 pruebas en vivo</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7"/>
        <w:gridCol w:w="3762"/>
        <w:gridCol w:w="1209"/>
        <w:gridCol w:w="3898"/>
      </w:tblGrid>
      <w:tr>
        <w:trPr>
          <w:cantSplit/>
          <w:tblHeader/>
        </w:trPr>
        <w:tc>
          <w:tcPr>
            <w:tcW w:type="dxa" w:w="53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w:t>
            </w:r>
          </w:p>
        </w:tc>
        <w:tc>
          <w:tcPr>
            <w:tcW w:type="dxa" w:w="3762"/>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Observación</w:t>
            </w:r>
          </w:p>
        </w:tc>
        <w:tc>
          <w:tcPr>
            <w:tcW w:type="dxa" w:w="120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Prueba</w:t>
            </w:r>
          </w:p>
        </w:tc>
        <w:tc>
          <w:tcPr>
            <w:tcW w:type="dxa" w:w="389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Impacto y mitigación</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O1</w:t>
            </w:r>
          </w:p>
        </w:tc>
        <w:tc>
          <w:tcPr>
            <w:tcW w:type="dxa" w:w="37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Rezagos de 16 a 39 días en cinco datasets (modificaciones y planes de SECOP, SAMAI, SIMEV, actos de la SIC).</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T24, T28, T04, T13, T43</w:t>
            </w:r>
          </w:p>
        </w:tc>
        <w:tc>
          <w:tcPr>
            <w:tcW w:type="dxa" w:w="38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Alertas tardías; mostrar siempre </w:t>
            </w:r>
            <w:r>
              <w:rPr>
                <w:rFonts w:ascii="Times New Roman" w:cs="Times New Roman" w:eastAsia="Times New Roman" w:hAnsi="Times New Roman"/>
                <w:b w:val="false"/>
                <w:bCs w:val="false"/>
                <w:i/>
                <w:iCs/>
                <w:color w:val="000000"/>
                <w:sz w:val="17"/>
                <w:szCs w:val="17"/>
              </w:rPr>
              <w:t xml:space="preserve">as_of</w:t>
            </w:r>
            <w:r>
              <w:rPr>
                <w:rFonts w:ascii="Times New Roman" w:cs="Times New Roman" w:eastAsia="Times New Roman" w:hAnsi="Times New Roman"/>
                <w:b w:val="false"/>
                <w:bCs w:val="false"/>
                <w:color w:val="000000"/>
                <w:sz w:val="17"/>
                <w:szCs w:val="17"/>
              </w:rPr>
              <w:t xml:space="preserve"> y advertir cuando supere un umbral.</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O2</w:t>
            </w:r>
          </w:p>
        </w:tc>
        <w:tc>
          <w:tcPr>
            <w:tcW w:type="dxa" w:w="37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Dataset de insolvencias no disponible en dos intentos, pese a la promesa de disponibilidad de los datasets.</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T17, T58</w:t>
            </w:r>
          </w:p>
        </w:tc>
        <w:tc>
          <w:tcPr>
            <w:tcW w:type="dxa" w:w="38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Diseñar degradación elegante y rutas alternativas (Baranda).</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O3</w:t>
            </w:r>
          </w:p>
        </w:tc>
        <w:tc>
          <w:tcPr>
            <w:tcW w:type="dxa" w:w="37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El texto libre coincide de forma amplia y ordena por fecha, no por relevancia.</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T02, T16, T38, T40</w:t>
            </w:r>
          </w:p>
        </w:tc>
        <w:tc>
          <w:tcPr>
            <w:tcW w:type="dxa" w:w="38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Filtrar y, si hace falta, re-rankear con un modelo propio.</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O4</w:t>
            </w:r>
          </w:p>
        </w:tc>
        <w:tc>
          <w:tcPr>
            <w:tcW w:type="dxa" w:w="37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Consultas de varias palabras pueden exigir todas y devolver cero.</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T43</w:t>
            </w:r>
          </w:p>
        </w:tc>
        <w:tc>
          <w:tcPr>
            <w:tcW w:type="dxa" w:w="38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Simplificar y ampliar progresivamente.</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O5</w:t>
            </w:r>
          </w:p>
        </w:tc>
        <w:tc>
          <w:tcPr>
            <w:tcW w:type="dxa" w:w="37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Nombres genéricos en Rama Judicial devuelven «too many matches».</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T01</w:t>
            </w:r>
          </w:p>
        </w:tc>
        <w:tc>
          <w:tcPr>
            <w:tcW w:type="dxa" w:w="38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Razón social exacta y </w:t>
            </w:r>
            <w:r>
              <w:rPr>
                <w:rFonts w:ascii="Times New Roman" w:cs="Times New Roman" w:eastAsia="Times New Roman" w:hAnsi="Times New Roman"/>
                <w:b w:val="false"/>
                <w:bCs w:val="false"/>
                <w:i/>
                <w:iCs/>
                <w:color w:val="000000"/>
                <w:sz w:val="17"/>
                <w:szCs w:val="17"/>
              </w:rPr>
              <w:t xml:space="preserve">active_only</w:t>
            </w:r>
            <w:r>
              <w:rPr>
                <w:rFonts w:ascii="Times New Roman" w:cs="Times New Roman" w:eastAsia="Times New Roman" w:hAnsi="Times New Roman"/>
                <w:b w:val="false"/>
                <w:bCs w:val="false"/>
                <w:color w:val="000000"/>
                <w:sz w:val="17"/>
                <w:szCs w:val="17"/>
              </w:rPr>
              <w:t xml:space="preserve">.</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O6</w:t>
            </w:r>
          </w:p>
        </w:tc>
        <w:tc>
          <w:tcPr>
            <w:tcW w:type="dxa" w:w="37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Respuestas muy extensas: resolutivas completas en búsquedas y providencias sin paginar.</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T02, T61</w:t>
            </w:r>
          </w:p>
        </w:tc>
        <w:tc>
          <w:tcPr>
            <w:tcW w:type="dxa" w:w="38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Paginación corta y lectura por partes.</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O7</w:t>
            </w:r>
          </w:p>
        </w:tc>
        <w:tc>
          <w:tcPr>
            <w:tcW w:type="dxa" w:w="37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La vista viva de SECOP puede ir detrás de la copia de Croma.</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T44</w:t>
            </w:r>
          </w:p>
        </w:tc>
        <w:tc>
          <w:tcPr>
            <w:tcW w:type="dxa" w:w="38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Usar </w:t>
            </w:r>
            <w:r>
              <w:rPr>
                <w:rFonts w:ascii="Times New Roman" w:cs="Times New Roman" w:eastAsia="Times New Roman" w:hAnsi="Times New Roman"/>
                <w:b w:val="false"/>
                <w:bCs w:val="false"/>
                <w:i/>
                <w:iCs/>
                <w:color w:val="000000"/>
                <w:sz w:val="17"/>
                <w:szCs w:val="17"/>
              </w:rPr>
              <w:t xml:space="preserve">*_record</w:t>
            </w:r>
            <w:r>
              <w:rPr>
                <w:rFonts w:ascii="Times New Roman" w:cs="Times New Roman" w:eastAsia="Times New Roman" w:hAnsi="Times New Roman"/>
                <w:b w:val="false"/>
                <w:bCs w:val="false"/>
                <w:color w:val="000000"/>
                <w:sz w:val="17"/>
                <w:szCs w:val="17"/>
              </w:rPr>
              <w:t xml:space="preserve"> como respaldo.</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O8</w:t>
            </w:r>
          </w:p>
        </w:tc>
        <w:tc>
          <w:tcPr>
            <w:tcW w:type="dxa" w:w="37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NIT de entidades con o sin dígito de verificación pegado.</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T26</w:t>
            </w:r>
          </w:p>
        </w:tc>
        <w:tc>
          <w:tcPr>
            <w:tcW w:type="dxa" w:w="38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Probar ambas variantes o partir de </w:t>
            </w:r>
            <w:r>
              <w:rPr>
                <w:rFonts w:ascii="Times New Roman" w:cs="Times New Roman" w:eastAsia="Times New Roman" w:hAnsi="Times New Roman"/>
                <w:b w:val="false"/>
                <w:bCs w:val="false"/>
                <w:i/>
                <w:iCs/>
                <w:color w:val="000000"/>
                <w:sz w:val="17"/>
                <w:szCs w:val="17"/>
              </w:rPr>
              <w:t xml:space="preserve">secop_profile</w:t>
            </w:r>
            <w:r>
              <w:rPr>
                <w:rFonts w:ascii="Times New Roman" w:cs="Times New Roman" w:eastAsia="Times New Roman" w:hAnsi="Times New Roman"/>
                <w:b w:val="false"/>
                <w:bCs w:val="false"/>
                <w:color w:val="000000"/>
                <w:sz w:val="17"/>
                <w:szCs w:val="17"/>
              </w:rPr>
              <w:t xml:space="preserve">.</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O9</w:t>
            </w:r>
          </w:p>
        </w:tc>
        <w:tc>
          <w:tcPr>
            <w:tcW w:type="dxa" w:w="37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Extracción y generación fallan en gov.co; el esquema no admite uniones de tipo.</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T52</w:t>
            </w:r>
          </w:p>
        </w:tc>
        <w:tc>
          <w:tcPr>
            <w:tcW w:type="dxa" w:w="38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Usar la ficha SUIT y esquemas simples.</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O10</w:t>
            </w:r>
          </w:p>
        </w:tc>
        <w:tc>
          <w:tcPr>
            <w:tcW w:type="dxa" w:w="37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Monitores no habilitados en la organización (beta privada).</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T46</w:t>
            </w:r>
          </w:p>
        </w:tc>
        <w:tc>
          <w:tcPr>
            <w:tcW w:type="dxa" w:w="38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Solicitar acceso o programar con la API.</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O11</w:t>
            </w:r>
          </w:p>
        </w:tc>
        <w:tc>
          <w:tcPr>
            <w:tcW w:type="dxa" w:w="37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La relatoría del Consejo de Estado responde con claves en español.</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T07</w:t>
            </w:r>
          </w:p>
        </w:tc>
        <w:tc>
          <w:tcPr>
            <w:tcW w:type="dxa" w:w="38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Normalizar con un adaptador.</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O12</w:t>
            </w:r>
          </w:p>
        </w:tc>
        <w:tc>
          <w:tcPr>
            <w:tcW w:type="dxa" w:w="37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El detalle del Consejo de Estado llega con metadatos nulos.</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T61</w:t>
            </w:r>
          </w:p>
        </w:tc>
        <w:tc>
          <w:tcPr>
            <w:tcW w:type="dxa" w:w="38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Conservar los metadatos de la fila de búsqueda.</w:t>
            </w:r>
          </w:p>
        </w:tc>
      </w:tr>
      <w:tr>
        <w:trPr>
          <w:cantSplit/>
        </w:trPr>
        <w:tc>
          <w:tcPr>
            <w:tcW w:type="dxa" w:w="53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O13</w:t>
            </w:r>
          </w:p>
        </w:tc>
        <w:tc>
          <w:tcPr>
            <w:tcW w:type="dxa" w:w="376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Documentación inconsistente en topes horarios y cifras de cobertura.</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w:t>
            </w:r>
          </w:p>
        </w:tc>
        <w:tc>
          <w:tcPr>
            <w:tcW w:type="dxa" w:w="38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Asumir el escenario más estricto y confirmar con soporte.</w:t>
            </w:r>
          </w:p>
        </w:tc>
      </w:tr>
    </w:tbl>
    <w:p>
      <w:pPr>
        <w:spacing w:after="200" w:before="60" w:line="240"/>
        <w:jc w:val="left"/>
      </w:pP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7.3 — Calidad de los datos</w:t>
      </w:r>
    </w:p>
    <w:p>
      <w:pPr>
        <w:spacing w:after="120" w:before="0" w:line="276"/>
        <w:jc w:val="both"/>
      </w:pPr>
      <w:r>
        <w:rPr>
          <w:rFonts w:ascii="Times New Roman" w:cs="Times New Roman" w:eastAsia="Times New Roman" w:hAnsi="Times New Roman"/>
          <w:color w:val="000000"/>
          <w:sz w:val="23"/>
          <w:szCs w:val="23"/>
        </w:rPr>
        <w:t xml:space="preserve">Croma devuelve los registros como la fuente los publica; la propia política de versionado aclara que lo que una fuente publica no es un cambio de la API.</w:t>
      </w:r>
      <w:r>
        <w:rPr>
          <w:rStyle w:val="FootnoteReference"/>
        </w:rPr>
        <w:footnoteReference w:id="112"/>
      </w:r>
      <w:r>
        <w:rPr>
          <w:rFonts w:ascii="Times New Roman" w:cs="Times New Roman" w:eastAsia="Times New Roman" w:hAnsi="Times New Roman"/>
          <w:color w:val="000000"/>
          <w:sz w:val="23"/>
          <w:szCs w:val="23"/>
        </w:rPr>
        <w:t xml:space="preserve"> Por eso los defectos de origen llegan intactos y el control de calidad es responsabilidad del producto.</w:t>
      </w:r>
    </w:p>
    <w:p>
      <w:pPr>
        <w:keepNext/>
        <w:spacing w:after="80" w:before="200" w:line="240"/>
        <w:jc w:val="left"/>
      </w:pPr>
      <w:r>
        <w:rPr>
          <w:rFonts w:ascii="Times New Roman" w:cs="Times New Roman" w:eastAsia="Times New Roman" w:hAnsi="Times New Roman"/>
          <w:b/>
          <w:bCs/>
          <w:color w:val="000000"/>
          <w:sz w:val="20"/>
          <w:szCs w:val="20"/>
        </w:rPr>
        <w:t xml:space="preserve">Tabla 35. </w:t>
      </w:r>
      <w:r>
        <w:rPr>
          <w:rFonts w:ascii="Times New Roman" w:cs="Times New Roman" w:eastAsia="Times New Roman" w:hAnsi="Times New Roman"/>
          <w:i/>
          <w:iCs/>
          <w:color w:val="000000"/>
          <w:sz w:val="20"/>
          <w:szCs w:val="20"/>
        </w:rPr>
        <w:t xml:space="preserve">Defectos de calidad de datos observados y control recomendado</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4031"/>
        <w:gridCol w:w="1075"/>
        <w:gridCol w:w="2150"/>
      </w:tblGrid>
      <w:tr>
        <w:trPr>
          <w:cantSplit/>
          <w:tblHeader/>
        </w:trPr>
        <w:tc>
          <w:tcPr>
            <w:tcW w:type="dxa" w:w="215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Fuente</w:t>
            </w:r>
          </w:p>
        </w:tc>
        <w:tc>
          <w:tcPr>
            <w:tcW w:type="dxa" w:w="4031"/>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Defecto observado</w:t>
            </w:r>
          </w:p>
        </w:tc>
        <w:tc>
          <w:tcPr>
            <w:tcW w:type="dxa" w:w="107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Prueba</w:t>
            </w:r>
          </w:p>
        </w:tc>
        <w:tc>
          <w:tcPr>
            <w:tcW w:type="dxa" w:w="215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Control</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SECOP sanciones</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Registros de prueba de la plataforma («Z ENTIDAD DE PRUEBA», multas de 50 pesos).</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T27</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Lista de exclusión.</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SECOP modificaciones</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Valores de adición imposibles (2,88 × 10¹⁷ pesos) que dominan el orden por valor.</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T24</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Topes de plausibilidad.</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SECOP proveedores y planes</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Correos y documentos incoherentes; tildes y letras perdidas.</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T23, T28</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Normalización de texto.</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RUES</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Direcciones nulas y cifras financieras atípicas.</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T11</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Reglas contables de coherencia.</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Supersociedades</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Empleados en cero; partes con documento «0000».</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T21, T22</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Tratar como dato faltante.</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SIATA</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Valor centinela −999 clasificado como «Buena».</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T49</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Descartar valores negativos.</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Superfinanciera</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Entidades HTML sin decodificar en descripciones.</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T18</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Decodificar HTML.</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Banco de la República</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La TRM repite el último valor en días no hábiles.</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T36</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Usar solo días hábiles.</w:t>
            </w:r>
          </w:p>
        </w:tc>
      </w:tr>
      <w:tr>
        <w:trPr>
          <w:cantSplit/>
        </w:trPr>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Corte Constitucional</w:t>
            </w:r>
          </w:p>
        </w:tc>
        <w:tc>
          <w:tcPr>
            <w:tcW w:type="dxa" w:w="403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Texto íntegro que inicia truncado («tencia SU424/21»).</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T57</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Validar contra el enlace oficial.</w:t>
            </w:r>
          </w:p>
        </w:tc>
      </w:tr>
    </w:tbl>
    <w:p>
      <w:pPr>
        <w:spacing w:after="200" w:before="60" w:line="240"/>
        <w:jc w:val="left"/>
      </w:pP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7.4 — Riesgos jurídicos y de cumplimiento</w:t>
      </w:r>
    </w:p>
    <w:p>
      <w:pPr>
        <w:keepNext/>
        <w:spacing w:after="80" w:before="280" w:line="276"/>
        <w:ind w:left="851" w:right="851"/>
        <w:jc w:val="center"/>
      </w:pPr>
      <w:r>
        <w:rPr>
          <w:rFonts w:ascii="Times New Roman" w:cs="Times New Roman" w:eastAsia="Times New Roman" w:hAnsi="Times New Roman"/>
          <w:i/>
          <w:iCs/>
          <w:color w:val="000000"/>
          <w:sz w:val="23"/>
          <w:szCs w:val="23"/>
        </w:rPr>
        <w:t xml:space="preserve">«Croma ejecuta la consulta contra la fuente oficial y te devuelve el registro; la finalidad y la base legal son tuyas.»</w:t>
      </w:r>
    </w:p>
    <w:p>
      <w:pPr>
        <w:spacing w:after="280" w:line="240"/>
        <w:ind w:left="851" w:right="851"/>
        <w:jc w:val="center"/>
      </w:pPr>
      <w:r>
        <w:rPr>
          <w:rFonts w:ascii="Times New Roman" w:cs="Times New Roman" w:eastAsia="Times New Roman" w:hAnsi="Times New Roman"/>
          <w:color w:val="000000"/>
          <w:sz w:val="21"/>
          <w:szCs w:val="21"/>
        </w:rPr>
        <w:t xml:space="preserve">(Croma, 2026, «Datos oficiales de Colombia por API»). https://usecroma.com/es/co</w:t>
      </w:r>
    </w:p>
    <w:p>
      <w:pPr>
        <w:spacing w:after="120" w:before="0" w:line="276"/>
        <w:jc w:val="both"/>
      </w:pPr>
      <w:r>
        <w:rPr>
          <w:rFonts w:ascii="Times New Roman" w:cs="Times New Roman" w:eastAsia="Times New Roman" w:hAnsi="Times New Roman"/>
          <w:color w:val="000000"/>
          <w:sz w:val="23"/>
          <w:szCs w:val="23"/>
        </w:rPr>
        <w:t xml:space="preserve">Que un registro sea público no autoriza cualquier uso. La Ley 1581 de 2012 desarrolla el derecho de las personas a conocer, actualizar y rectificar la información que se haya recogido sobre ellas, define principios rectores, categorías especiales de datos y los deberes de responsables y encargados, y asigna su vigilancia a la Superintendencia de Industria y Comercio.</w:t>
      </w:r>
      <w:r>
        <w:rPr>
          <w:rStyle w:val="FootnoteReference"/>
        </w:rPr>
        <w:footnoteReference w:id="113"/>
      </w:r>
      <w:r>
        <w:rPr>
          <w:rFonts w:ascii="Times New Roman" w:cs="Times New Roman" w:eastAsia="Times New Roman" w:hAnsi="Times New Roman"/>
          <w:color w:val="000000"/>
          <w:sz w:val="23"/>
          <w:szCs w:val="23"/>
        </w:rPr>
        <w:t xml:space="preserve"> Para un producto construido sobre Croma, de ello se derivan cuatro obligaciones prácticas: documentar la finalidad de cada consulta sobre personas naturales; limitar las verificaciones a las necesarias para esa finalidad; tratar con especial cuidado la información de salud (ADRES, RUAF) y los antecedentes; y conservar evidencia auditable de cada consulta, para lo cual sirven </w:t>
      </w:r>
      <w:r>
        <w:rPr>
          <w:rFonts w:ascii="Times New Roman" w:cs="Times New Roman" w:eastAsia="Times New Roman" w:hAnsi="Times New Roman"/>
          <w:i/>
          <w:iCs/>
          <w:color w:val="000000"/>
          <w:sz w:val="23"/>
          <w:szCs w:val="23"/>
        </w:rPr>
        <w:t xml:space="preserve">X-Request-Id</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checked_at</w:t>
      </w:r>
      <w:r>
        <w:rPr>
          <w:rFonts w:ascii="Times New Roman" w:cs="Times New Roman" w:eastAsia="Times New Roman" w:hAnsi="Times New Roman"/>
          <w:color w:val="000000"/>
          <w:sz w:val="23"/>
          <w:szCs w:val="23"/>
        </w:rPr>
        <w:t xml:space="preserve"> y los códigos de verificación que devuelven fuentes como la Contraloría.</w:t>
      </w:r>
      <w:r>
        <w:rPr>
          <w:rStyle w:val="FootnoteReference"/>
        </w:rPr>
        <w:footnoteReference w:id="114"/>
      </w:r>
    </w:p>
    <w:p>
      <w:pPr>
        <w:spacing w:after="120" w:before="0" w:line="276"/>
        <w:jc w:val="both"/>
      </w:pPr>
      <w:r>
        <w:rPr>
          <w:rFonts w:ascii="Times New Roman" w:cs="Times New Roman" w:eastAsia="Times New Roman" w:hAnsi="Times New Roman"/>
          <w:color w:val="000000"/>
          <w:sz w:val="23"/>
          <w:szCs w:val="23"/>
        </w:rPr>
        <w:t xml:space="preserve">En las conexiones, el usuario declara con </w:t>
      </w:r>
      <w:r>
        <w:rPr>
          <w:rFonts w:ascii="Times New Roman" w:cs="Times New Roman" w:eastAsia="Times New Roman" w:hAnsi="Times New Roman"/>
          <w:i/>
          <w:iCs/>
          <w:color w:val="000000"/>
          <w:sz w:val="23"/>
          <w:szCs w:val="23"/>
        </w:rPr>
        <w:t xml:space="preserve">authorized: true</w:t>
      </w:r>
      <w:r>
        <w:rPr>
          <w:rFonts w:ascii="Times New Roman" w:cs="Times New Roman" w:eastAsia="Times New Roman" w:hAnsi="Times New Roman"/>
          <w:color w:val="000000"/>
          <w:sz w:val="23"/>
          <w:szCs w:val="23"/>
        </w:rPr>
        <w:t xml:space="preserve"> que es el titular de la cuenta o tiene su autorización; un producto que las ofrezca a terceros debe recabar y conservar esa autorización.</w:t>
      </w:r>
      <w:r>
        <w:rPr>
          <w:rStyle w:val="FootnoteReference"/>
        </w:rPr>
        <w:footnoteReference w:id="115"/>
      </w:r>
      <w:r>
        <w:rPr>
          <w:rFonts w:ascii="Times New Roman" w:cs="Times New Roman" w:eastAsia="Times New Roman" w:hAnsi="Times New Roman"/>
          <w:color w:val="000000"/>
          <w:sz w:val="23"/>
          <w:szCs w:val="23"/>
        </w:rPr>
        <w:t xml:space="preserve"> Finalmente, las decisiones automatizadas basadas en antecedentes, afiliaciones o clasificación socioeconómica requieren intervención humana y explicabilidad, porque los defectos de calidad descritos pueden producir falsos positivos.</w:t>
      </w: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VIII. PRODUCTOS QUE SE PUEDEN CONSTRUIR</w:t>
      </w:r>
    </w:p>
    <w:p>
      <w:pPr>
        <w:spacing w:after="120" w:before="0" w:line="276"/>
        <w:jc w:val="both"/>
      </w:pPr>
      <w:r>
        <w:rPr>
          <w:rFonts w:ascii="Times New Roman" w:cs="Times New Roman" w:eastAsia="Times New Roman" w:hAnsi="Times New Roman"/>
          <w:color w:val="000000"/>
          <w:sz w:val="23"/>
          <w:szCs w:val="23"/>
        </w:rPr>
        <w:t xml:space="preserve">Croma organiza su propia oferta por verticales —bancos y fintech, aseguradoras, estudios de abogados, cobranza, compras y proveedores, y sector público— y por soluciones —verificación de empresas, screening de contrapartes, monitoreo judicial, verificación vehicular, contratación pública y monitoreo regulatorio—.</w:t>
      </w:r>
      <w:r>
        <w:rPr>
          <w:rStyle w:val="FootnoteReference"/>
        </w:rPr>
        <w:footnoteReference w:id="116"/>
      </w:r>
      <w:r>
        <w:rPr>
          <w:rFonts w:ascii="Times New Roman" w:cs="Times New Roman" w:eastAsia="Times New Roman" w:hAnsi="Times New Roman"/>
          <w:color w:val="000000"/>
          <w:sz w:val="23"/>
          <w:szCs w:val="23"/>
        </w:rPr>
        <w:t xml:space="preserve"> A partir del inventario y de las pruebas, la Tabla siguiente propone catorce productos viables en Colombia.</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8.1 — Portafolio de productos</w:t>
      </w:r>
    </w:p>
    <w:p>
      <w:pPr>
        <w:keepNext/>
        <w:spacing w:after="80" w:before="200" w:line="240"/>
        <w:jc w:val="left"/>
      </w:pPr>
      <w:r>
        <w:rPr>
          <w:rFonts w:ascii="Times New Roman" w:cs="Times New Roman" w:eastAsia="Times New Roman" w:hAnsi="Times New Roman"/>
          <w:b/>
          <w:bCs/>
          <w:color w:val="000000"/>
          <w:sz w:val="20"/>
          <w:szCs w:val="20"/>
        </w:rPr>
        <w:t xml:space="preserve">Tabla 36. </w:t>
      </w:r>
      <w:r>
        <w:rPr>
          <w:rFonts w:ascii="Times New Roman" w:cs="Times New Roman" w:eastAsia="Times New Roman" w:hAnsi="Times New Roman"/>
          <w:i/>
          <w:iCs/>
          <w:color w:val="000000"/>
          <w:sz w:val="20"/>
          <w:szCs w:val="20"/>
        </w:rPr>
        <w:t xml:space="preserve">Portafolio de productos viables sobre Croma en Colombia</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4"/>
        <w:gridCol w:w="1626"/>
        <w:gridCol w:w="2497"/>
        <w:gridCol w:w="2206"/>
        <w:gridCol w:w="1103"/>
      </w:tblGrid>
      <w:tr>
        <w:trPr>
          <w:cantSplit/>
          <w:tblHeader/>
        </w:trPr>
        <w:tc>
          <w:tcPr>
            <w:tcW w:type="dxa" w:w="1974"/>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6"/>
                <w:szCs w:val="16"/>
              </w:rPr>
              <w:t xml:space="preserve">Producto</w:t>
            </w:r>
          </w:p>
        </w:tc>
        <w:tc>
          <w:tcPr>
            <w:tcW w:type="dxa" w:w="1626"/>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6"/>
                <w:szCs w:val="16"/>
              </w:rPr>
              <w:t xml:space="preserve">Usuario</w:t>
            </w:r>
          </w:p>
        </w:tc>
        <w:tc>
          <w:tcPr>
            <w:tcW w:type="dxa" w:w="249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6"/>
                <w:szCs w:val="16"/>
              </w:rPr>
              <w:t xml:space="preserve">Herramientas núcleo</w:t>
            </w:r>
          </w:p>
        </w:tc>
        <w:tc>
          <w:tcPr>
            <w:tcW w:type="dxa" w:w="2206"/>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6"/>
                <w:szCs w:val="16"/>
              </w:rPr>
              <w:t xml:space="preserve">Valor</w:t>
            </w:r>
          </w:p>
        </w:tc>
        <w:tc>
          <w:tcPr>
            <w:tcW w:type="dxa" w:w="1103"/>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6"/>
                <w:szCs w:val="16"/>
              </w:rPr>
              <w:t xml:space="preserve">Complejidad</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KYB/KYC express para originación</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Fintech, cooperativas, bancos</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RUES, Supersociedades, SIMEV, SECOP, SIC PI, Procuraduría, Contaduría, Rama Judicial</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Ficha de contraparte en minutos y con evidencia</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6"/>
                <w:szCs w:val="16"/>
              </w:rPr>
              <w:t xml:space="preserve">Media</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Vigilancia judicial de cartera</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Bancos, cobranza, aseguradoras</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Rama Judicial (lote), correos de despachos, Baranda, SICAAC</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Alertas de actuaciones y contacto del despacho</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6"/>
                <w:szCs w:val="16"/>
              </w:rPr>
              <w:t xml:space="preserve">Media</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Debida diligencia de contratistas</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Compras corporativas, auditoría</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SECOP (perfil, sanciones, oferentes), Procuraduría, Contraloría</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Riesgo de proveedor con historial estatal</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6"/>
                <w:szCs w:val="16"/>
              </w:rPr>
              <w:t xml:space="preserve">Baja</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Inteligencia de licitaciones</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Empresas que venden al Estado</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SECOP procesos, planes, adjudicaciones, oferentes</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Oportunidades y competencia antes de licitar</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6"/>
                <w:szCs w:val="16"/>
              </w:rPr>
              <w:t xml:space="preserve">Baja</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Observatorio anticorrupción</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Periodismo, veedurías, órganos de control</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SECOP modificaciones, oferentes, sanciones; Supersociedades vinculados</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Detección de adiciones atípicas y baja competencia</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6"/>
                <w:szCs w:val="16"/>
              </w:rPr>
              <w:t xml:space="preserve">Alta</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Due diligence inmobiliaria</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Notarías, constructoras, banca hipotecaria</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IGAC, SUIT (licencias), estadística municipal</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Avalúo catastral, suelo y estado de actualización</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6"/>
                <w:szCs w:val="16"/>
              </w:rPr>
              <w:t xml:space="preserve">Media</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Vigilancia marcaria</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Firmas de propiedad intelectual</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SIC Gaceta, marcas, resoluciones, portafolio por titular</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Oposiciones a tiempo y control de vencimientos</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6"/>
                <w:szCs w:val="16"/>
              </w:rPr>
              <w:t xml:space="preserve">Baja</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Asistente jurisprudencial con citas</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Abogados, academia</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Cortes, SAMAI, CNDJ, Relatoría Supersociedades, doctrina SFC</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Respuestas con fuentes verificables</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6"/>
                <w:szCs w:val="16"/>
              </w:rPr>
              <w:t xml:space="preserve">Media</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Monitor regulatorio sectorial</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Cumplimiento financiero, energético, consumo</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Superfinanciera, CREG, SIC, DIAN doctrina, Función Pública, Gaceta del Congreso</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Novedades normativas filtradas por relevancia</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6"/>
                <w:szCs w:val="16"/>
              </w:rPr>
              <w:t xml:space="preserve">Baja</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Suscripción y siniestros vehiculares</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Aseguradoras, financieras de vehículos</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RUNT (4), SIMIT</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Estado técnico, prendas y multas por placa</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6"/>
                <w:szCs w:val="16"/>
              </w:rPr>
              <w:t xml:space="preserve">Media</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Asistente ciudadano de trámites</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Entidades, ciudadanía</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SUIT, páginas de trámites, generación de JSON</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6"/>
                <w:szCs w:val="16"/>
              </w:rPr>
              <w:t xml:space="preserve">Requisitos, costos y pasos en lenguaje claro</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6"/>
                <w:szCs w:val="16"/>
              </w:rPr>
              <w:t xml:space="preserve">Baja</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Inteligencia territorial y ESG</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Planeación, inversión de impacto</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DANE, TerriData, ICFES, MinEducación, IGAC, SIATA</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Diagnóstico municipal comparable</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6"/>
                <w:szCs w:val="16"/>
              </w:rPr>
              <w:t xml:space="preserve">Media</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Cumplimiento farmacéutico</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Droguerías, distribuidores, EPS</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INVIMA registros y CUM</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Bloqueo de productos vencidos o inactivos</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6"/>
                <w:szCs w:val="16"/>
              </w:rPr>
              <w:t xml:space="preserve">Baja</w:t>
            </w:r>
          </w:p>
        </w:tc>
      </w:tr>
      <w:tr>
        <w:trPr>
          <w:cantSplit/>
        </w:trPr>
        <w:tc>
          <w:tcPr>
            <w:tcW w:type="dxa" w:w="197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Asistente tributario del contribuyente</w:t>
            </w:r>
          </w:p>
        </w:tc>
        <w:tc>
          <w:tcPr>
            <w:tcW w:type="dxa" w:w="16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Personas, contadores</w:t>
            </w:r>
          </w:p>
        </w:tc>
        <w:tc>
          <w:tcPr>
            <w:tcW w:type="dxa" w:w="249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DIAN MUISCA (facturas, exógena), Bancolombia, doctrina DIAN</w:t>
            </w:r>
          </w:p>
        </w:tc>
        <w:tc>
          <w:tcPr>
            <w:tcW w:type="dxa" w:w="22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6"/>
                <w:szCs w:val="16"/>
              </w:rPr>
              <w:t xml:space="preserve">Conciliación previa a la declaración de renta</w:t>
            </w:r>
          </w:p>
        </w:tc>
        <w:tc>
          <w:tcPr>
            <w:tcW w:type="dxa" w:w="110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6"/>
                <w:szCs w:val="16"/>
              </w:rPr>
              <w:t xml:space="preserve">Alta</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Complejidad estimada según número de fuentes, necesidad de control de calidad, sensibilidad de los datos y dependencia de funciones en beta o de conexiones.</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8.2 — Prototipo 1: KYB express para originación de crédito</w:t>
      </w:r>
    </w:p>
    <w:p>
      <w:pPr>
        <w:spacing w:after="120" w:before="0" w:line="276"/>
        <w:jc w:val="both"/>
      </w:pPr>
      <w:r>
        <w:rPr>
          <w:rFonts w:ascii="Times New Roman" w:cs="Times New Roman" w:eastAsia="Times New Roman" w:hAnsi="Times New Roman"/>
          <w:b/>
          <w:bCs/>
          <w:color w:val="000000"/>
          <w:sz w:val="23"/>
          <w:szCs w:val="23"/>
        </w:rPr>
        <w:t xml:space="preserve">Problema.</w:t>
      </w:r>
      <w:r>
        <w:rPr>
          <w:rFonts w:ascii="Times New Roman" w:cs="Times New Roman" w:eastAsia="Times New Roman" w:hAnsi="Times New Roman"/>
          <w:color w:val="000000"/>
          <w:sz w:val="23"/>
          <w:szCs w:val="23"/>
        </w:rPr>
        <w:t xml:space="preserve"> Un analista de crédito empresarial dedica horas a recorrer portales para conocer a una contraparte. </w:t>
      </w:r>
      <w:r>
        <w:rPr>
          <w:rFonts w:ascii="Times New Roman" w:cs="Times New Roman" w:eastAsia="Times New Roman" w:hAnsi="Times New Roman"/>
          <w:b/>
          <w:bCs/>
          <w:color w:val="000000"/>
          <w:sz w:val="23"/>
          <w:szCs w:val="23"/>
        </w:rPr>
        <w:t xml:space="preserve">Flujo.</w:t>
      </w:r>
      <w:r>
        <w:rPr>
          <w:rFonts w:ascii="Times New Roman" w:cs="Times New Roman" w:eastAsia="Times New Roman" w:hAnsi="Times New Roman"/>
          <w:color w:val="000000"/>
          <w:sz w:val="23"/>
          <w:szCs w:val="23"/>
        </w:rPr>
        <w:t xml:space="preserve"> Con el NIT, el agente ejecuta la cadena KYB de la sección 5.4, consolida una ficha con registro mercantil, finanzas, socios, contratación estatal, marcas, antecedentes y procesos, y marca inconsistencias y fechas de corte. </w:t>
      </w:r>
      <w:r>
        <w:rPr>
          <w:rFonts w:ascii="Times New Roman" w:cs="Times New Roman" w:eastAsia="Times New Roman" w:hAnsi="Times New Roman"/>
          <w:b/>
          <w:bCs/>
          <w:color w:val="000000"/>
          <w:sz w:val="23"/>
          <w:szCs w:val="23"/>
        </w:rPr>
        <w:t xml:space="preserve">Costo.</w:t>
      </w:r>
      <w:r>
        <w:rPr>
          <w:rFonts w:ascii="Times New Roman" w:cs="Times New Roman" w:eastAsia="Times New Roman" w:hAnsi="Times New Roman"/>
          <w:color w:val="000000"/>
          <w:sz w:val="23"/>
          <w:szCs w:val="23"/>
        </w:rPr>
        <w:t xml:space="preserve"> 54 créditos por empresa: con el plan Standard (100.000 créditos, 99 dólares) alcanza para unas 1.850 fichas al mes, alrededor de 0,05 dólares por ficha. </w:t>
      </w:r>
      <w:r>
        <w:rPr>
          <w:rFonts w:ascii="Times New Roman" w:cs="Times New Roman" w:eastAsia="Times New Roman" w:hAnsi="Times New Roman"/>
          <w:b/>
          <w:bCs/>
          <w:color w:val="000000"/>
          <w:sz w:val="23"/>
          <w:szCs w:val="23"/>
        </w:rPr>
        <w:t xml:space="preserve">Arquitectura.</w:t>
      </w:r>
      <w:r>
        <w:rPr>
          <w:rFonts w:ascii="Times New Roman" w:cs="Times New Roman" w:eastAsia="Times New Roman" w:hAnsi="Times New Roman"/>
          <w:color w:val="000000"/>
          <w:sz w:val="23"/>
          <w:szCs w:val="23"/>
        </w:rPr>
        <w:t xml:space="preserve"> Para analistas, Claude con el servidor MCP y una instrucción de sistema basada en la plantilla 6.2; para volumen, un servicio REST que guarde la evidencia y el </w:t>
      </w:r>
      <w:r>
        <w:rPr>
          <w:rFonts w:ascii="Times New Roman" w:cs="Times New Roman" w:eastAsia="Times New Roman" w:hAnsi="Times New Roman"/>
          <w:i/>
          <w:iCs/>
          <w:color w:val="000000"/>
          <w:sz w:val="23"/>
          <w:szCs w:val="23"/>
        </w:rPr>
        <w:t xml:space="preserve">X-Request-Id</w:t>
      </w:r>
      <w:r>
        <w:rPr>
          <w:rFonts w:ascii="Times New Roman" w:cs="Times New Roman" w:eastAsia="Times New Roman" w:hAnsi="Times New Roman"/>
          <w:color w:val="000000"/>
          <w:sz w:val="23"/>
          <w:szCs w:val="23"/>
        </w:rPr>
        <w:t xml:space="preserve"> de cada consulta. </w:t>
      </w:r>
      <w:r>
        <w:rPr>
          <w:rFonts w:ascii="Times New Roman" w:cs="Times New Roman" w:eastAsia="Times New Roman" w:hAnsi="Times New Roman"/>
          <w:b/>
          <w:bCs/>
          <w:color w:val="000000"/>
          <w:sz w:val="23"/>
          <w:szCs w:val="23"/>
        </w:rPr>
        <w:t xml:space="preserve">Riesgos.</w:t>
      </w:r>
      <w:r>
        <w:rPr>
          <w:rFonts w:ascii="Times New Roman" w:cs="Times New Roman" w:eastAsia="Times New Roman" w:hAnsi="Times New Roman"/>
          <w:color w:val="000000"/>
          <w:sz w:val="23"/>
          <w:szCs w:val="23"/>
        </w:rPr>
        <w:t xml:space="preserve"> Calidad de datos del RUES y de Supersociedades, y tratamiento de los datos de administradores y socios personas naturales.</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8.3 — Prototipo 2: Vigilancia judicial de cartera</w:t>
      </w:r>
    </w:p>
    <w:p>
      <w:pPr>
        <w:spacing w:after="120" w:before="0" w:line="276"/>
        <w:jc w:val="both"/>
      </w:pPr>
      <w:r>
        <w:rPr>
          <w:rFonts w:ascii="Times New Roman" w:cs="Times New Roman" w:eastAsia="Times New Roman" w:hAnsi="Times New Roman"/>
          <w:b/>
          <w:bCs/>
          <w:color w:val="000000"/>
          <w:sz w:val="23"/>
          <w:szCs w:val="23"/>
        </w:rPr>
        <w:t xml:space="preserve">Problema.</w:t>
      </w:r>
      <w:r>
        <w:rPr>
          <w:rFonts w:ascii="Times New Roman" w:cs="Times New Roman" w:eastAsia="Times New Roman" w:hAnsi="Times New Roman"/>
          <w:color w:val="000000"/>
          <w:sz w:val="23"/>
          <w:szCs w:val="23"/>
        </w:rPr>
        <w:t xml:space="preserve"> Una entidad de crédito necesita saber cuándo se mueve cada proceso de cobro. </w:t>
      </w:r>
      <w:r>
        <w:rPr>
          <w:rFonts w:ascii="Times New Roman" w:cs="Times New Roman" w:eastAsia="Times New Roman" w:hAnsi="Times New Roman"/>
          <w:b/>
          <w:bCs/>
          <w:color w:val="000000"/>
          <w:sz w:val="23"/>
          <w:szCs w:val="23"/>
        </w:rPr>
        <w:t xml:space="preserve">Flujo.</w:t>
      </w:r>
      <w:r>
        <w:rPr>
          <w:rFonts w:ascii="Times New Roman" w:cs="Times New Roman" w:eastAsia="Times New Roman" w:hAnsi="Times New Roman"/>
          <w:color w:val="000000"/>
          <w:sz w:val="23"/>
          <w:szCs w:val="23"/>
        </w:rPr>
        <w:t xml:space="preserve"> Los radicados de la cartera se consultan en lotes de 50; cada actuación nueva se compara con la última conocida y se notifica con el correo del despacho competente. </w:t>
      </w:r>
      <w:r>
        <w:rPr>
          <w:rFonts w:ascii="Times New Roman" w:cs="Times New Roman" w:eastAsia="Times New Roman" w:hAnsi="Times New Roman"/>
          <w:b/>
          <w:bCs/>
          <w:color w:val="000000"/>
          <w:sz w:val="23"/>
          <w:szCs w:val="23"/>
        </w:rPr>
        <w:t xml:space="preserve">Costo.</w:t>
      </w:r>
      <w:r>
        <w:rPr>
          <w:rFonts w:ascii="Times New Roman" w:cs="Times New Roman" w:eastAsia="Times New Roman" w:hAnsi="Times New Roman"/>
          <w:color w:val="000000"/>
          <w:sz w:val="23"/>
          <w:szCs w:val="23"/>
        </w:rPr>
        <w:t xml:space="preserve"> Una revisión diaria cuesta unos 300 créditos por radicado al mes: el plan Standard cubre unos 330 radicados en vigilancia diaria y el Scale, unos 3.300; con revisión semanal la capacidad se multiplica por cuatro. </w:t>
      </w:r>
      <w:r>
        <w:rPr>
          <w:rFonts w:ascii="Times New Roman" w:cs="Times New Roman" w:eastAsia="Times New Roman" w:hAnsi="Times New Roman"/>
          <w:b/>
          <w:bCs/>
          <w:color w:val="000000"/>
          <w:sz w:val="23"/>
          <w:szCs w:val="23"/>
        </w:rPr>
        <w:t xml:space="preserve">Arquitectura.</w:t>
      </w:r>
      <w:r>
        <w:rPr>
          <w:rFonts w:ascii="Times New Roman" w:cs="Times New Roman" w:eastAsia="Times New Roman" w:hAnsi="Times New Roman"/>
          <w:color w:val="000000"/>
          <w:sz w:val="23"/>
          <w:szCs w:val="23"/>
        </w:rPr>
        <w:t xml:space="preserve"> Planificador propio sobre la API (los monitores están en beta) y almacenamiento del historial de actuaciones. </w:t>
      </w:r>
      <w:r>
        <w:rPr>
          <w:rFonts w:ascii="Times New Roman" w:cs="Times New Roman" w:eastAsia="Times New Roman" w:hAnsi="Times New Roman"/>
          <w:b/>
          <w:bCs/>
          <w:color w:val="000000"/>
          <w:sz w:val="23"/>
          <w:szCs w:val="23"/>
        </w:rPr>
        <w:t xml:space="preserve">Riesgos.</w:t>
      </w:r>
      <w:r>
        <w:rPr>
          <w:rFonts w:ascii="Times New Roman" w:cs="Times New Roman" w:eastAsia="Times New Roman" w:hAnsi="Times New Roman"/>
          <w:color w:val="000000"/>
          <w:sz w:val="23"/>
          <w:szCs w:val="23"/>
        </w:rPr>
        <w:t xml:space="preserve"> Procesos reservados (</w:t>
      </w:r>
      <w:r>
        <w:rPr>
          <w:rFonts w:ascii="Times New Roman" w:cs="Times New Roman" w:eastAsia="Times New Roman" w:hAnsi="Times New Roman"/>
          <w:i/>
          <w:iCs/>
          <w:color w:val="000000"/>
          <w:sz w:val="23"/>
          <w:szCs w:val="23"/>
        </w:rPr>
        <w:t xml:space="preserve">private_only</w:t>
      </w:r>
      <w:r>
        <w:rPr>
          <w:rFonts w:ascii="Times New Roman" w:cs="Times New Roman" w:eastAsia="Times New Roman" w:hAnsi="Times New Roman"/>
          <w:color w:val="000000"/>
          <w:sz w:val="23"/>
          <w:szCs w:val="23"/>
        </w:rPr>
        <w:t xml:space="preserve">) y nombres de demandados como datos personales.</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8.4 — Prototipo 3: Inteligencia de contratación pública</w:t>
      </w:r>
    </w:p>
    <w:p>
      <w:pPr>
        <w:spacing w:after="120" w:before="0" w:line="276"/>
        <w:jc w:val="both"/>
      </w:pPr>
      <w:r>
        <w:rPr>
          <w:rFonts w:ascii="Times New Roman" w:cs="Times New Roman" w:eastAsia="Times New Roman" w:hAnsi="Times New Roman"/>
          <w:b/>
          <w:bCs/>
          <w:color w:val="000000"/>
          <w:sz w:val="23"/>
          <w:szCs w:val="23"/>
        </w:rPr>
        <w:t xml:space="preserve">Problema.</w:t>
      </w:r>
      <w:r>
        <w:rPr>
          <w:rFonts w:ascii="Times New Roman" w:cs="Times New Roman" w:eastAsia="Times New Roman" w:hAnsi="Times New Roman"/>
          <w:color w:val="000000"/>
          <w:sz w:val="23"/>
          <w:szCs w:val="23"/>
        </w:rPr>
        <w:t xml:space="preserve"> Las empresas que venden al Estado se enteran tarde de las oportunidades y no conocen a su competencia. </w:t>
      </w:r>
      <w:r>
        <w:rPr>
          <w:rFonts w:ascii="Times New Roman" w:cs="Times New Roman" w:eastAsia="Times New Roman" w:hAnsi="Times New Roman"/>
          <w:b/>
          <w:bCs/>
          <w:color w:val="000000"/>
          <w:sz w:val="23"/>
          <w:szCs w:val="23"/>
        </w:rPr>
        <w:t xml:space="preserve">Flujo.</w:t>
      </w:r>
      <w:r>
        <w:rPr>
          <w:rFonts w:ascii="Times New Roman" w:cs="Times New Roman" w:eastAsia="Times New Roman" w:hAnsi="Times New Roman"/>
          <w:color w:val="000000"/>
          <w:sz w:val="23"/>
          <w:szCs w:val="23"/>
        </w:rPr>
        <w:t xml:space="preserve"> Una búsqueda diaria de procesos por objeto, código UNSPSC y departamento detecta oportunidades abiertas; para cada una, el agente perfila a la entidad compradora y a los oferentes históricos, y revisa el plan anual de adquisiciones para anticipar compras. </w:t>
      </w:r>
      <w:r>
        <w:rPr>
          <w:rFonts w:ascii="Times New Roman" w:cs="Times New Roman" w:eastAsia="Times New Roman" w:hAnsi="Times New Roman"/>
          <w:b/>
          <w:bCs/>
          <w:color w:val="000000"/>
          <w:sz w:val="23"/>
          <w:szCs w:val="23"/>
        </w:rPr>
        <w:t xml:space="preserve">Costo.</w:t>
      </w:r>
      <w:r>
        <w:rPr>
          <w:rFonts w:ascii="Times New Roman" w:cs="Times New Roman" w:eastAsia="Times New Roman" w:hAnsi="Times New Roman"/>
          <w:color w:val="000000"/>
          <w:sz w:val="23"/>
          <w:szCs w:val="23"/>
        </w:rPr>
        <w:t xml:space="preserve"> Al tratarse de datasets, cada búsqueda cuesta un crédito: el seguimiento de cien criterios diarios consume unos 3.000 créditos al mes. </w:t>
      </w:r>
      <w:r>
        <w:rPr>
          <w:rFonts w:ascii="Times New Roman" w:cs="Times New Roman" w:eastAsia="Times New Roman" w:hAnsi="Times New Roman"/>
          <w:b/>
          <w:bCs/>
          <w:color w:val="000000"/>
          <w:sz w:val="23"/>
          <w:szCs w:val="23"/>
        </w:rPr>
        <w:t xml:space="preserve">Riesgos.</w:t>
      </w:r>
      <w:r>
        <w:rPr>
          <w:rFonts w:ascii="Times New Roman" w:cs="Times New Roman" w:eastAsia="Times New Roman" w:hAnsi="Times New Roman"/>
          <w:color w:val="000000"/>
          <w:sz w:val="23"/>
          <w:szCs w:val="23"/>
        </w:rPr>
        <w:t xml:space="preserve"> Rezagos en planes y modificaciones y registros de prueba en sanciones (sección 7.3).</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8.5 — Prototipo 4: Asistente jurisprudencial y regulatorio</w:t>
      </w:r>
    </w:p>
    <w:p>
      <w:pPr>
        <w:spacing w:after="120" w:before="0" w:line="276"/>
        <w:jc w:val="both"/>
      </w:pPr>
      <w:r>
        <w:rPr>
          <w:rFonts w:ascii="Times New Roman" w:cs="Times New Roman" w:eastAsia="Times New Roman" w:hAnsi="Times New Roman"/>
          <w:b/>
          <w:bCs/>
          <w:color w:val="000000"/>
          <w:sz w:val="23"/>
          <w:szCs w:val="23"/>
        </w:rPr>
        <w:t xml:space="preserve">Problema.</w:t>
      </w:r>
      <w:r>
        <w:rPr>
          <w:rFonts w:ascii="Times New Roman" w:cs="Times New Roman" w:eastAsia="Times New Roman" w:hAnsi="Times New Roman"/>
          <w:color w:val="000000"/>
          <w:sz w:val="23"/>
          <w:szCs w:val="23"/>
        </w:rPr>
        <w:t xml:space="preserve"> La investigación jurídica exige citas exactas y fuentes vigentes. </w:t>
      </w:r>
      <w:r>
        <w:rPr>
          <w:rFonts w:ascii="Times New Roman" w:cs="Times New Roman" w:eastAsia="Times New Roman" w:hAnsi="Times New Roman"/>
          <w:b/>
          <w:bCs/>
          <w:color w:val="000000"/>
          <w:sz w:val="23"/>
          <w:szCs w:val="23"/>
        </w:rPr>
        <w:t xml:space="preserve">Flujo.</w:t>
      </w:r>
      <w:r>
        <w:rPr>
          <w:rFonts w:ascii="Times New Roman" w:cs="Times New Roman" w:eastAsia="Times New Roman" w:hAnsi="Times New Roman"/>
          <w:color w:val="000000"/>
          <w:sz w:val="23"/>
          <w:szCs w:val="23"/>
        </w:rPr>
        <w:t xml:space="preserve"> El asistente busca con filtros en los corpus de la Corte Constitucional, la Corte Suprema, SAMAI y la Relatoría de Supersociedades; abre por rangos solo las providencias pertinentes; contrasta con la norma vigente del Gestor Normativo y con la doctrina de la Superfinanciera o de la DIAN, y responde con número, fecha, ponente y enlace oficial. </w:t>
      </w:r>
      <w:r>
        <w:rPr>
          <w:rFonts w:ascii="Times New Roman" w:cs="Times New Roman" w:eastAsia="Times New Roman" w:hAnsi="Times New Roman"/>
          <w:b/>
          <w:bCs/>
          <w:color w:val="000000"/>
          <w:sz w:val="23"/>
          <w:szCs w:val="23"/>
        </w:rPr>
        <w:t xml:space="preserve">Costo.</w:t>
      </w:r>
      <w:r>
        <w:rPr>
          <w:rFonts w:ascii="Times New Roman" w:cs="Times New Roman" w:eastAsia="Times New Roman" w:hAnsi="Times New Roman"/>
          <w:color w:val="000000"/>
          <w:sz w:val="23"/>
          <w:szCs w:val="23"/>
        </w:rPr>
        <w:t xml:space="preserve"> Unos 14 créditos por consulta compleja. </w:t>
      </w:r>
      <w:r>
        <w:rPr>
          <w:rFonts w:ascii="Times New Roman" w:cs="Times New Roman" w:eastAsia="Times New Roman" w:hAnsi="Times New Roman"/>
          <w:b/>
          <w:bCs/>
          <w:color w:val="000000"/>
          <w:sz w:val="23"/>
          <w:szCs w:val="23"/>
        </w:rPr>
        <w:t xml:space="preserve">Riesgos.</w:t>
      </w:r>
      <w:r>
        <w:rPr>
          <w:rFonts w:ascii="Times New Roman" w:cs="Times New Roman" w:eastAsia="Times New Roman" w:hAnsi="Times New Roman"/>
          <w:color w:val="000000"/>
          <w:sz w:val="23"/>
          <w:szCs w:val="23"/>
        </w:rPr>
        <w:t xml:space="preserve"> Ordenamiento por fecha y no por relevancia, textos truncados y saturación del contexto; se mitigan con filtros, re-ranking propio y lectura por partes.</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8.6 — Economía de créditos por plan</w:t>
      </w:r>
    </w:p>
    <w:p>
      <w:pPr>
        <w:keepNext/>
        <w:spacing w:after="80" w:before="200" w:line="240"/>
        <w:jc w:val="left"/>
      </w:pPr>
      <w:r>
        <w:rPr>
          <w:rFonts w:ascii="Times New Roman" w:cs="Times New Roman" w:eastAsia="Times New Roman" w:hAnsi="Times New Roman"/>
          <w:b/>
          <w:bCs/>
          <w:color w:val="000000"/>
          <w:sz w:val="20"/>
          <w:szCs w:val="20"/>
        </w:rPr>
        <w:t xml:space="preserve">Tabla 37. </w:t>
      </w:r>
      <w:r>
        <w:rPr>
          <w:rFonts w:ascii="Times New Roman" w:cs="Times New Roman" w:eastAsia="Times New Roman" w:hAnsi="Times New Roman"/>
          <w:i/>
          <w:iCs/>
          <w:color w:val="000000"/>
          <w:sz w:val="20"/>
          <w:szCs w:val="20"/>
        </w:rPr>
        <w:t xml:space="preserve">Capacidad mensual por plan para los prototipos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7"/>
        <w:gridCol w:w="1160"/>
        <w:gridCol w:w="1675"/>
        <w:gridCol w:w="1675"/>
        <w:gridCol w:w="1804"/>
        <w:gridCol w:w="1675"/>
      </w:tblGrid>
      <w:tr>
        <w:trPr>
          <w:cantSplit/>
          <w:tblHeader/>
        </w:trPr>
        <w:tc>
          <w:tcPr>
            <w:tcW w:type="dxa" w:w="141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Plan</w:t>
            </w:r>
          </w:p>
        </w:tc>
        <w:tc>
          <w:tcPr>
            <w:tcW w:type="dxa" w:w="116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USD / mes</w:t>
            </w:r>
          </w:p>
        </w:tc>
        <w:tc>
          <w:tcPr>
            <w:tcW w:type="dxa" w:w="167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Créditos</w:t>
            </w:r>
          </w:p>
        </w:tc>
        <w:tc>
          <w:tcPr>
            <w:tcW w:type="dxa" w:w="167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Fichas KYB (54)</w:t>
            </w:r>
          </w:p>
        </w:tc>
        <w:tc>
          <w:tcPr>
            <w:tcW w:type="dxa" w:w="1804"/>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Radicados diarios (300)</w:t>
            </w:r>
          </w:p>
        </w:tc>
        <w:tc>
          <w:tcPr>
            <w:tcW w:type="dxa" w:w="167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8"/>
                <w:szCs w:val="18"/>
              </w:rPr>
              <w:t xml:space="preserve">USD por ficha KYB</w:t>
            </w:r>
          </w:p>
        </w:tc>
      </w:tr>
      <w:tr>
        <w:trPr>
          <w:cantSplit/>
        </w:trPr>
        <w:tc>
          <w:tcPr>
            <w:tcW w:type="dxa" w:w="14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Free (desde 15-oct)</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1.500</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27</w:t>
            </w:r>
          </w:p>
        </w:tc>
        <w:tc>
          <w:tcPr>
            <w:tcW w:type="dxa" w:w="18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5</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w:t>
            </w:r>
          </w:p>
        </w:tc>
      </w:tr>
      <w:tr>
        <w:trPr>
          <w:cantSplit/>
        </w:trPr>
        <w:tc>
          <w:tcPr>
            <w:tcW w:type="dxa" w:w="14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Hobby</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20</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20.000</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370</w:t>
            </w:r>
          </w:p>
        </w:tc>
        <w:tc>
          <w:tcPr>
            <w:tcW w:type="dxa" w:w="18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66</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0,054</w:t>
            </w:r>
          </w:p>
        </w:tc>
      </w:tr>
      <w:tr>
        <w:trPr>
          <w:cantSplit/>
        </w:trPr>
        <w:tc>
          <w:tcPr>
            <w:tcW w:type="dxa" w:w="14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Standard</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99</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100.000</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1.851</w:t>
            </w:r>
          </w:p>
        </w:tc>
        <w:tc>
          <w:tcPr>
            <w:tcW w:type="dxa" w:w="18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333</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0,053</w:t>
            </w:r>
          </w:p>
        </w:tc>
      </w:tr>
      <w:tr>
        <w:trPr>
          <w:cantSplit/>
        </w:trPr>
        <w:tc>
          <w:tcPr>
            <w:tcW w:type="dxa" w:w="14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Pro</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299</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350.000</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6.481</w:t>
            </w:r>
          </w:p>
        </w:tc>
        <w:tc>
          <w:tcPr>
            <w:tcW w:type="dxa" w:w="18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1.166</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0,046</w:t>
            </w:r>
          </w:p>
        </w:tc>
      </w:tr>
      <w:tr>
        <w:trPr>
          <w:cantSplit/>
        </w:trPr>
        <w:tc>
          <w:tcPr>
            <w:tcW w:type="dxa" w:w="14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8"/>
                <w:szCs w:val="18"/>
              </w:rPr>
              <w:t xml:space="preserve">Scale</w:t>
            </w:r>
          </w:p>
        </w:tc>
        <w:tc>
          <w:tcPr>
            <w:tcW w:type="dxa" w:w="1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799</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1.000.000</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18.518</w:t>
            </w:r>
          </w:p>
        </w:tc>
        <w:tc>
          <w:tcPr>
            <w:tcW w:type="dxa" w:w="18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3.333</w:t>
            </w:r>
          </w:p>
        </w:tc>
        <w:tc>
          <w:tcPr>
            <w:tcW w:type="dxa" w:w="16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right"/>
            </w:pPr>
            <w:r>
              <w:rPr>
                <w:rFonts w:ascii="Times New Roman" w:cs="Times New Roman" w:eastAsia="Times New Roman" w:hAnsi="Times New Roman"/>
                <w:b w:val="false"/>
                <w:bCs w:val="false"/>
                <w:color w:val="000000"/>
                <w:sz w:val="18"/>
                <w:szCs w:val="18"/>
              </w:rPr>
              <w:t xml:space="preserve">0,043</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Cálculo propio con los precios publicados y los costos de la sección 5.4; no incluye el ahorro por caché ni los impuestos.</w:t>
      </w:r>
    </w:p>
    <w:p>
      <w:pPr>
        <w:pStyle w:val="Heading2"/>
        <w:keepNext/>
        <w:keepLines/>
        <w:spacing w:after="120" w:before="300" w:line="240"/>
        <w:jc w:val="left"/>
      </w:pPr>
      <w:r>
        <w:rPr>
          <w:rFonts w:ascii="Times New Roman" w:cs="Times New Roman" w:eastAsia="Times New Roman" w:hAnsi="Times New Roman"/>
          <w:b/>
          <w:bCs/>
          <w:color w:val="000000"/>
          <w:sz w:val="24"/>
          <w:szCs w:val="24"/>
        </w:rPr>
        <w:t xml:space="preserve">8.7 — Arquitectura de referencia para construir sobre Croma</w:t>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Orquestación.</w:t>
      </w:r>
      <w:r>
        <w:rPr>
          <w:rFonts w:ascii="Times New Roman" w:cs="Times New Roman" w:eastAsia="Times New Roman" w:hAnsi="Times New Roman"/>
          <w:color w:val="000000"/>
          <w:sz w:val="23"/>
          <w:szCs w:val="23"/>
        </w:rPr>
        <w:t xml:space="preserve"> Claude u otro cliente MCP para analistas y prototipos; un backend REST, n8n o Make para procesos programados y volumen.</w:t>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Persistencia propia.</w:t>
      </w:r>
      <w:r>
        <w:rPr>
          <w:rFonts w:ascii="Times New Roman" w:cs="Times New Roman" w:eastAsia="Times New Roman" w:hAnsi="Times New Roman"/>
          <w:color w:val="000000"/>
          <w:sz w:val="23"/>
          <w:szCs w:val="23"/>
        </w:rPr>
        <w:t xml:space="preserve"> Guardar cada respuesta con su </w:t>
      </w:r>
      <w:r>
        <w:rPr>
          <w:rFonts w:ascii="Times New Roman" w:cs="Times New Roman" w:eastAsia="Times New Roman" w:hAnsi="Times New Roman"/>
          <w:i/>
          <w:iCs/>
          <w:color w:val="000000"/>
          <w:sz w:val="23"/>
          <w:szCs w:val="23"/>
        </w:rPr>
        <w:t xml:space="preserve">as_of</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checked_at</w:t>
      </w:r>
      <w:r>
        <w:rPr>
          <w:rFonts w:ascii="Times New Roman" w:cs="Times New Roman" w:eastAsia="Times New Roman" w:hAnsi="Times New Roman"/>
          <w:color w:val="000000"/>
          <w:sz w:val="23"/>
          <w:szCs w:val="23"/>
        </w:rPr>
        <w:t xml:space="preserve">, </w:t>
      </w:r>
      <w:r>
        <w:rPr>
          <w:rFonts w:ascii="Times New Roman" w:cs="Times New Roman" w:eastAsia="Times New Roman" w:hAnsi="Times New Roman"/>
          <w:i/>
          <w:iCs/>
          <w:color w:val="000000"/>
          <w:sz w:val="23"/>
          <w:szCs w:val="23"/>
        </w:rPr>
        <w:t xml:space="preserve">X-Request-Id</w:t>
      </w:r>
      <w:r>
        <w:rPr>
          <w:rFonts w:ascii="Times New Roman" w:cs="Times New Roman" w:eastAsia="Times New Roman" w:hAnsi="Times New Roman"/>
          <w:color w:val="000000"/>
          <w:sz w:val="23"/>
          <w:szCs w:val="23"/>
        </w:rPr>
        <w:t xml:space="preserve"> y enlace oficial: es la evidencia de cumplimiento y evita repetir consultas.</w:t>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Capa de calidad.</w:t>
      </w:r>
      <w:r>
        <w:rPr>
          <w:rFonts w:ascii="Times New Roman" w:cs="Times New Roman" w:eastAsia="Times New Roman" w:hAnsi="Times New Roman"/>
          <w:color w:val="000000"/>
          <w:sz w:val="23"/>
          <w:szCs w:val="23"/>
        </w:rPr>
        <w:t xml:space="preserve"> Reglas de plausibilidad, listas de exclusión, normalización de NIT y texto, y descarte de valores centinela antes de cualquier decisión.</w:t>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Capa de cumplimiento.</w:t>
      </w:r>
      <w:r>
        <w:rPr>
          <w:rFonts w:ascii="Times New Roman" w:cs="Times New Roman" w:eastAsia="Times New Roman" w:hAnsi="Times New Roman"/>
          <w:color w:val="000000"/>
          <w:sz w:val="23"/>
          <w:szCs w:val="23"/>
        </w:rPr>
        <w:t xml:space="preserve"> Registro de finalidad, base legal y autorización por consulta sobre personas naturales, con minimización de la evidencia almacenada.</w:t>
      </w:r>
    </w:p>
    <w:p>
      <w:pPr>
        <w:pStyle w:val="ListParagraph"/>
        <w:numPr>
          <w:ilvl w:val="0"/>
          <w:numId w:val="20"/>
        </w:numPr>
        <w:spacing w:after="60" w:line="276"/>
        <w:jc w:val="both"/>
      </w:pPr>
      <w:r>
        <w:rPr>
          <w:rFonts w:ascii="Times New Roman" w:cs="Times New Roman" w:eastAsia="Times New Roman" w:hAnsi="Times New Roman"/>
          <w:b/>
          <w:bCs/>
          <w:color w:val="000000"/>
          <w:sz w:val="23"/>
          <w:szCs w:val="23"/>
        </w:rPr>
        <w:t xml:space="preserve">Resiliencia.</w:t>
      </w:r>
      <w:r>
        <w:rPr>
          <w:rFonts w:ascii="Times New Roman" w:cs="Times New Roman" w:eastAsia="Times New Roman" w:hAnsi="Times New Roman"/>
          <w:color w:val="000000"/>
          <w:sz w:val="23"/>
          <w:szCs w:val="23"/>
        </w:rPr>
        <w:t xml:space="preserve"> Manejo de 202, reintentos idempotentes, degradación elegante ante datasets no disponibles y vigilancia de los encabezados de deprecación.</w:t>
      </w: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IX. CONCLUSIONES</w:t>
      </w:r>
    </w:p>
    <w:p>
      <w:pPr>
        <w:pStyle w:val="ListParagraph"/>
        <w:numPr>
          <w:ilvl w:val="0"/>
          <w:numId w:val="22"/>
        </w:numPr>
        <w:spacing w:after="60" w:line="276"/>
        <w:jc w:val="both"/>
      </w:pPr>
      <w:r>
        <w:rPr>
          <w:rFonts w:ascii="Times New Roman" w:cs="Times New Roman" w:eastAsia="Times New Roman" w:hAnsi="Times New Roman"/>
          <w:b/>
          <w:bCs/>
          <w:color w:val="000000"/>
          <w:sz w:val="23"/>
          <w:szCs w:val="23"/>
        </w:rPr>
        <w:t xml:space="preserve">Croma es una capa de normalización, no solo un conector.</w:t>
      </w:r>
      <w:r>
        <w:rPr>
          <w:rFonts w:ascii="Times New Roman" w:cs="Times New Roman" w:eastAsia="Times New Roman" w:hAnsi="Times New Roman"/>
          <w:color w:val="000000"/>
          <w:sz w:val="23"/>
          <w:szCs w:val="23"/>
        </w:rPr>
        <w:t xml:space="preserve"> Su valor central es la forma común de respuesta, el contrato de errores y la exposición simultánea como API y como herramientas MCP, que convierten 172 endpoints colombianos en una sola superficie de integración.</w:t>
      </w:r>
    </w:p>
    <w:p>
      <w:pPr>
        <w:pStyle w:val="ListParagraph"/>
        <w:numPr>
          <w:ilvl w:val="0"/>
          <w:numId w:val="22"/>
        </w:numPr>
        <w:spacing w:after="60" w:line="276"/>
        <w:jc w:val="both"/>
      </w:pPr>
      <w:r>
        <w:rPr>
          <w:rFonts w:ascii="Times New Roman" w:cs="Times New Roman" w:eastAsia="Times New Roman" w:hAnsi="Times New Roman"/>
          <w:b/>
          <w:bCs/>
          <w:color w:val="000000"/>
          <w:sz w:val="23"/>
          <w:szCs w:val="23"/>
        </w:rPr>
        <w:t xml:space="preserve">El modo de respuesta es la variable que más pesa en el diseño.</w:t>
      </w:r>
      <w:r>
        <w:rPr>
          <w:rFonts w:ascii="Times New Roman" w:cs="Times New Roman" w:eastAsia="Times New Roman" w:hAnsi="Times New Roman"/>
          <w:color w:val="000000"/>
          <w:sz w:val="23"/>
          <w:szCs w:val="23"/>
        </w:rPr>
        <w:t xml:space="preserve"> Los 107 endpoints de dataset cuestan una décima parte, responden en milisegundos y toleran caídas de la fuente; los 59 en vivo dan la información del momento a mayor costo. Elegir bien entre ambos es el principal atajo económico.</w:t>
      </w:r>
    </w:p>
    <w:p>
      <w:pPr>
        <w:pStyle w:val="ListParagraph"/>
        <w:numPr>
          <w:ilvl w:val="0"/>
          <w:numId w:val="22"/>
        </w:numPr>
        <w:spacing w:after="60" w:line="276"/>
        <w:jc w:val="both"/>
      </w:pPr>
      <w:r>
        <w:rPr>
          <w:rFonts w:ascii="Times New Roman" w:cs="Times New Roman" w:eastAsia="Times New Roman" w:hAnsi="Times New Roman"/>
          <w:b/>
          <w:bCs/>
          <w:color w:val="000000"/>
          <w:sz w:val="23"/>
          <w:szCs w:val="23"/>
        </w:rPr>
        <w:t xml:space="preserve">La frescura debe gestionarse explícitamente.</w:t>
      </w:r>
      <w:r>
        <w:rPr>
          <w:rFonts w:ascii="Times New Roman" w:cs="Times New Roman" w:eastAsia="Times New Roman" w:hAnsi="Times New Roman"/>
          <w:color w:val="000000"/>
          <w:sz w:val="23"/>
          <w:szCs w:val="23"/>
        </w:rPr>
        <w:t xml:space="preserve"> La mayoría de los datasets estaba al día, pero cinco presentaban rezagos de 16 a 39 días; todo producto de alertas debe mostrar </w:t>
      </w:r>
      <w:r>
        <w:rPr>
          <w:rFonts w:ascii="Times New Roman" w:cs="Times New Roman" w:eastAsia="Times New Roman" w:hAnsi="Times New Roman"/>
          <w:i/>
          <w:iCs/>
          <w:color w:val="000000"/>
          <w:sz w:val="23"/>
          <w:szCs w:val="23"/>
        </w:rPr>
        <w:t xml:space="preserve">as_of</w:t>
      </w:r>
      <w:r>
        <w:rPr>
          <w:rFonts w:ascii="Times New Roman" w:cs="Times New Roman" w:eastAsia="Times New Roman" w:hAnsi="Times New Roman"/>
          <w:color w:val="000000"/>
          <w:sz w:val="23"/>
          <w:szCs w:val="23"/>
        </w:rPr>
        <w:t xml:space="preserve"> y advertir los retrasos.</w:t>
      </w:r>
    </w:p>
    <w:p>
      <w:pPr>
        <w:pStyle w:val="ListParagraph"/>
        <w:numPr>
          <w:ilvl w:val="0"/>
          <w:numId w:val="22"/>
        </w:numPr>
        <w:spacing w:after="60" w:line="276"/>
        <w:jc w:val="both"/>
      </w:pPr>
      <w:r>
        <w:rPr>
          <w:rFonts w:ascii="Times New Roman" w:cs="Times New Roman" w:eastAsia="Times New Roman" w:hAnsi="Times New Roman"/>
          <w:b/>
          <w:bCs/>
          <w:color w:val="000000"/>
          <w:sz w:val="23"/>
          <w:szCs w:val="23"/>
        </w:rPr>
        <w:t xml:space="preserve">La calidad de los datos es responsabilidad del producto.</w:t>
      </w:r>
      <w:r>
        <w:rPr>
          <w:rFonts w:ascii="Times New Roman" w:cs="Times New Roman" w:eastAsia="Times New Roman" w:hAnsi="Times New Roman"/>
          <w:color w:val="000000"/>
          <w:sz w:val="23"/>
          <w:szCs w:val="23"/>
        </w:rPr>
        <w:t xml:space="preserve"> Registros de prueba, valores imposibles, centinelas y textos truncados llegan tal como los publica la fuente; sin una capa de control, las conclusiones automáticas serán frágiles.</w:t>
      </w:r>
    </w:p>
    <w:p>
      <w:pPr>
        <w:pStyle w:val="ListParagraph"/>
        <w:numPr>
          <w:ilvl w:val="0"/>
          <w:numId w:val="22"/>
        </w:numPr>
        <w:spacing w:after="60" w:line="276"/>
        <w:jc w:val="both"/>
      </w:pPr>
      <w:r>
        <w:rPr>
          <w:rFonts w:ascii="Times New Roman" w:cs="Times New Roman" w:eastAsia="Times New Roman" w:hAnsi="Times New Roman"/>
          <w:b/>
          <w:bCs/>
          <w:color w:val="000000"/>
          <w:sz w:val="23"/>
          <w:szCs w:val="23"/>
        </w:rPr>
        <w:t xml:space="preserve">La pertinencia de las búsquedas se construye con filtros e identificadores.</w:t>
      </w:r>
      <w:r>
        <w:rPr>
          <w:rFonts w:ascii="Times New Roman" w:cs="Times New Roman" w:eastAsia="Times New Roman" w:hAnsi="Times New Roman"/>
          <w:color w:val="000000"/>
          <w:sz w:val="23"/>
          <w:szCs w:val="23"/>
        </w:rPr>
        <w:t xml:space="preserve"> El texto libre coincide de forma amplia y ordena por fecha; los identificadores exactos y los filtros estructurados son los atajos más eficaces.</w:t>
      </w:r>
    </w:p>
    <w:p>
      <w:pPr>
        <w:pStyle w:val="ListParagraph"/>
        <w:numPr>
          <w:ilvl w:val="0"/>
          <w:numId w:val="22"/>
        </w:numPr>
        <w:spacing w:after="60" w:line="276"/>
        <w:jc w:val="both"/>
      </w:pPr>
      <w:r>
        <w:rPr>
          <w:rFonts w:ascii="Times New Roman" w:cs="Times New Roman" w:eastAsia="Times New Roman" w:hAnsi="Times New Roman"/>
          <w:b/>
          <w:bCs/>
          <w:color w:val="000000"/>
          <w:sz w:val="23"/>
          <w:szCs w:val="23"/>
        </w:rPr>
        <w:t xml:space="preserve">Para agentes, el límite real es el contexto.</w:t>
      </w:r>
      <w:r>
        <w:rPr>
          <w:rFonts w:ascii="Times New Roman" w:cs="Times New Roman" w:eastAsia="Times New Roman" w:hAnsi="Times New Roman"/>
          <w:color w:val="000000"/>
          <w:sz w:val="23"/>
          <w:szCs w:val="23"/>
        </w:rPr>
        <w:t xml:space="preserve"> Paginación corta, lectura por rangos y separación entre búsqueda y lectura evitan que respuestas extensas desplacen el razonamiento.</w:t>
      </w:r>
    </w:p>
    <w:p>
      <w:pPr>
        <w:pStyle w:val="ListParagraph"/>
        <w:numPr>
          <w:ilvl w:val="0"/>
          <w:numId w:val="22"/>
        </w:numPr>
        <w:spacing w:after="60" w:line="276"/>
        <w:jc w:val="both"/>
      </w:pPr>
      <w:r>
        <w:rPr>
          <w:rFonts w:ascii="Times New Roman" w:cs="Times New Roman" w:eastAsia="Times New Roman" w:hAnsi="Times New Roman"/>
          <w:b/>
          <w:bCs/>
          <w:color w:val="000000"/>
          <w:sz w:val="23"/>
          <w:szCs w:val="23"/>
        </w:rPr>
        <w:t xml:space="preserve">La documentación es buena, pero no perfecta.</w:t>
      </w:r>
      <w:r>
        <w:rPr>
          <w:rFonts w:ascii="Times New Roman" w:cs="Times New Roman" w:eastAsia="Times New Roman" w:hAnsi="Times New Roman"/>
          <w:color w:val="000000"/>
          <w:sz w:val="23"/>
          <w:szCs w:val="23"/>
        </w:rPr>
        <w:t xml:space="preserve"> Hay contradicciones sobre topes horarios y cifras de cobertura, un dataset indisponible pese a la promesa de disponibilidad y monitores aún en beta privada; conviene diseñar con el escenario más estricto.</w:t>
      </w:r>
    </w:p>
    <w:p>
      <w:pPr>
        <w:pStyle w:val="ListParagraph"/>
        <w:numPr>
          <w:ilvl w:val="0"/>
          <w:numId w:val="22"/>
        </w:numPr>
        <w:spacing w:after="60" w:line="276"/>
        <w:jc w:val="both"/>
      </w:pPr>
      <w:r>
        <w:rPr>
          <w:rFonts w:ascii="Times New Roman" w:cs="Times New Roman" w:eastAsia="Times New Roman" w:hAnsi="Times New Roman"/>
          <w:b/>
          <w:bCs/>
          <w:color w:val="000000"/>
          <w:sz w:val="23"/>
          <w:szCs w:val="23"/>
        </w:rPr>
        <w:t xml:space="preserve">El portafolio viable es amplio y de bajo costo unitario.</w:t>
      </w:r>
      <w:r>
        <w:rPr>
          <w:rFonts w:ascii="Times New Roman" w:cs="Times New Roman" w:eastAsia="Times New Roman" w:hAnsi="Times New Roman"/>
          <w:color w:val="000000"/>
          <w:sz w:val="23"/>
          <w:szCs w:val="23"/>
        </w:rPr>
        <w:t xml:space="preserve"> Una ficha KYB completa cuesta unos 54 créditos (alrededor de 0,05 dólares) y la vigilancia diaria de un radicado unos 300 créditos al mes; la restricción no es económica sino de calidad, frescura y cumplimiento.</w:t>
      </w:r>
    </w:p>
    <w:p>
      <w:pPr>
        <w:pStyle w:val="ListParagraph"/>
        <w:numPr>
          <w:ilvl w:val="0"/>
          <w:numId w:val="22"/>
        </w:numPr>
        <w:spacing w:after="60" w:line="276"/>
        <w:jc w:val="both"/>
      </w:pPr>
      <w:r>
        <w:rPr>
          <w:rFonts w:ascii="Times New Roman" w:cs="Times New Roman" w:eastAsia="Times New Roman" w:hAnsi="Times New Roman"/>
          <w:b/>
          <w:bCs/>
          <w:color w:val="000000"/>
          <w:sz w:val="23"/>
          <w:szCs w:val="23"/>
        </w:rPr>
        <w:t xml:space="preserve">La base legal no se terceriza.</w:t>
      </w:r>
      <w:r>
        <w:rPr>
          <w:rFonts w:ascii="Times New Roman" w:cs="Times New Roman" w:eastAsia="Times New Roman" w:hAnsi="Times New Roman"/>
          <w:color w:val="000000"/>
          <w:sz w:val="23"/>
          <w:szCs w:val="23"/>
        </w:rPr>
        <w:t xml:space="preserve"> Croma consulta registros públicos y traslada al usuario la finalidad y la base legal; los productos sobre personas naturales deben documentar ambas y conservar evidencia auditable.</w:t>
      </w:r>
    </w:p>
    <w:p>
      <w:pPr>
        <w:spacing w:after="240" w:before="480"/>
        <w:jc w:val="center"/>
      </w:pPr>
      <w:r>
        <w:rPr>
          <w:rFonts w:ascii="Times New Roman" w:cs="Times New Roman" w:eastAsia="Times New Roman" w:hAnsi="Times New Roman"/>
          <w:color w:val="000000"/>
          <w:sz w:val="24"/>
          <w:szCs w:val="24"/>
        </w:rPr>
        <w:t xml:space="preserve">—Josué Ricardo Rojas Silva—</w:t>
      </w: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Referencias</w:t>
      </w:r>
    </w:p>
    <w:p>
      <w:pPr>
        <w:spacing w:after="100" w:line="276"/>
        <w:ind w:left="709" w:hanging="709"/>
        <w:jc w:val="left"/>
      </w:pPr>
      <w:r>
        <w:rPr>
          <w:rFonts w:ascii="Times New Roman" w:cs="Times New Roman" w:eastAsia="Times New Roman" w:hAnsi="Times New Roman"/>
          <w:color w:val="000000"/>
          <w:sz w:val="21"/>
          <w:szCs w:val="21"/>
        </w:rPr>
        <w:t xml:space="preserve">Congreso de la República de Colombia. (2012). </w:t>
      </w:r>
      <w:r>
        <w:rPr>
          <w:rFonts w:ascii="Times New Roman" w:cs="Times New Roman" w:eastAsia="Times New Roman" w:hAnsi="Times New Roman"/>
          <w:i/>
          <w:iCs/>
          <w:color w:val="000000"/>
          <w:sz w:val="21"/>
          <w:szCs w:val="21"/>
        </w:rPr>
        <w:t xml:space="preserve">Ley 1581 de 2012, por la cual se dictan disposiciones generales para la protección de datos personales</w:t>
      </w:r>
      <w:r>
        <w:rPr>
          <w:rFonts w:ascii="Times New Roman" w:cs="Times New Roman" w:eastAsia="Times New Roman" w:hAnsi="Times New Roman"/>
          <w:color w:val="000000"/>
          <w:sz w:val="21"/>
          <w:szCs w:val="21"/>
        </w:rPr>
        <w:t xml:space="preserve">. Diario Oficial 48587. Gestor Normativo de Función Pública. https://www.funcionpublica.gov.co/eva/gestornormativo/norma.php?i=49981</w:t>
      </w:r>
    </w:p>
    <w:p>
      <w:pPr>
        <w:spacing w:after="100" w:line="276"/>
        <w:ind w:left="709" w:hanging="709"/>
        <w:jc w:val="left"/>
      </w:pPr>
      <w:r>
        <w:rPr>
          <w:rFonts w:ascii="Times New Roman" w:cs="Times New Roman" w:eastAsia="Times New Roman" w:hAnsi="Times New Roman"/>
          <w:color w:val="000000"/>
          <w:sz w:val="21"/>
          <w:szCs w:val="21"/>
        </w:rPr>
        <w:t xml:space="preserve">Corte Constitucional de Colombia. (2022). </w:t>
      </w:r>
      <w:r>
        <w:rPr>
          <w:rFonts w:ascii="Times New Roman" w:cs="Times New Roman" w:eastAsia="Times New Roman" w:hAnsi="Times New Roman"/>
          <w:i/>
          <w:iCs/>
          <w:color w:val="000000"/>
          <w:sz w:val="21"/>
          <w:szCs w:val="21"/>
        </w:rPr>
        <w:t xml:space="preserve">Sentencia SU-424 de 2021</w:t>
      </w:r>
      <w:r>
        <w:rPr>
          <w:rFonts w:ascii="Times New Roman" w:cs="Times New Roman" w:eastAsia="Times New Roman" w:hAnsi="Times New Roman"/>
          <w:color w:val="000000"/>
          <w:sz w:val="21"/>
          <w:szCs w:val="21"/>
        </w:rPr>
        <w:t xml:space="preserve"> [Relatoría]. https://www.corteconstitucional.gov.co/relatoria/2021/SU424-21.htm</w:t>
      </w:r>
    </w:p>
    <w:p>
      <w:pPr>
        <w:spacing w:after="100" w:line="276"/>
        <w:ind w:left="709" w:hanging="709"/>
        <w:jc w:val="left"/>
      </w:pPr>
      <w:r>
        <w:rPr>
          <w:rFonts w:ascii="Times New Roman" w:cs="Times New Roman" w:eastAsia="Times New Roman" w:hAnsi="Times New Roman"/>
          <w:i/>
          <w:iCs/>
          <w:color w:val="000000"/>
          <w:sz w:val="21"/>
          <w:szCs w:val="21"/>
        </w:rPr>
        <w:t xml:space="preserve">Creador de flujos de trabajo: Arquitecto de diagramas de proyectos de IA, v1.0 Enterprise</w:t>
      </w:r>
      <w:r>
        <w:rPr>
          <w:rFonts w:ascii="Times New Roman" w:cs="Times New Roman" w:eastAsia="Times New Roman" w:hAnsi="Times New Roman"/>
          <w:color w:val="000000"/>
          <w:sz w:val="21"/>
          <w:szCs w:val="21"/>
        </w:rPr>
        <w:t xml:space="preserve">. (2026). [Especificación conductual en Markdown; documento de trabajo interno].</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About Croma: the API for government data</w:t>
      </w:r>
      <w:r>
        <w:rPr>
          <w:rFonts w:ascii="Times New Roman" w:cs="Times New Roman" w:eastAsia="Times New Roman" w:hAnsi="Times New Roman"/>
          <w:color w:val="000000"/>
          <w:sz w:val="21"/>
          <w:szCs w:val="21"/>
        </w:rPr>
        <w:t xml:space="preserve"> [Sitio web]. Croma. Recuperado el 12 de octubre de 2026, de https://usecroma.com/en/about</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ADRES (BDUA)</w:t>
      </w:r>
      <w:r>
        <w:rPr>
          <w:rFonts w:ascii="Times New Roman" w:cs="Times New Roman" w:eastAsia="Times New Roman" w:hAnsi="Times New Roman"/>
          <w:color w:val="000000"/>
          <w:sz w:val="21"/>
          <w:szCs w:val="21"/>
        </w:rPr>
        <w:t xml:space="preserve"> [Documentación técnica]. Croma API Docs. Recuperado el 12 de octubre de 2026, de https://docs.usecroma.com/es/guides/colombia/adres</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Autenticación</w:t>
      </w:r>
      <w:r>
        <w:rPr>
          <w:rFonts w:ascii="Times New Roman" w:cs="Times New Roman" w:eastAsia="Times New Roman" w:hAnsi="Times New Roman"/>
          <w:color w:val="000000"/>
          <w:sz w:val="21"/>
          <w:szCs w:val="21"/>
        </w:rPr>
        <w:t xml:space="preserve"> [Documentación técnica]. Croma API Docs. Recuperado el 12 de octubre de 2026, de https://docs.usecroma.com/es/authentication</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Consultas en vivo</w:t>
      </w:r>
      <w:r>
        <w:rPr>
          <w:rFonts w:ascii="Times New Roman" w:cs="Times New Roman" w:eastAsia="Times New Roman" w:hAnsi="Times New Roman"/>
          <w:color w:val="000000"/>
          <w:sz w:val="21"/>
          <w:szCs w:val="21"/>
        </w:rPr>
        <w:t xml:space="preserve"> [Documentación técnica]. Croma API Docs. Recuperado el 12 de octubre de 2026, de https://docs.usecroma.com/es/live-lookups</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Contaduría</w:t>
      </w:r>
      <w:r>
        <w:rPr>
          <w:rFonts w:ascii="Times New Roman" w:cs="Times New Roman" w:eastAsia="Times New Roman" w:hAnsi="Times New Roman"/>
          <w:color w:val="000000"/>
          <w:sz w:val="21"/>
          <w:szCs w:val="21"/>
        </w:rPr>
        <w:t xml:space="preserve"> [Documentación técnica]. Croma API Docs. Recuperado el 12 de octubre de 2026, de https://docs.usecroma.com/es/guides/colombia/contaduria</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Contraloría</w:t>
      </w:r>
      <w:r>
        <w:rPr>
          <w:rFonts w:ascii="Times New Roman" w:cs="Times New Roman" w:eastAsia="Times New Roman" w:hAnsi="Times New Roman"/>
          <w:color w:val="000000"/>
          <w:sz w:val="21"/>
          <w:szCs w:val="21"/>
        </w:rPr>
        <w:t xml:space="preserve"> [Documentación técnica]. Croma API Docs. Recuperado el 12 de octubre de 2026, de https://docs.usecroma.com/es/guides/colombia/contraloria</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Créditos</w:t>
      </w:r>
      <w:r>
        <w:rPr>
          <w:rFonts w:ascii="Times New Roman" w:cs="Times New Roman" w:eastAsia="Times New Roman" w:hAnsi="Times New Roman"/>
          <w:color w:val="000000"/>
          <w:sz w:val="21"/>
          <w:szCs w:val="21"/>
        </w:rPr>
        <w:t xml:space="preserve"> [Documentación técnica]. Croma API Docs. Recuperado el 12 de octubre de 2026, de https://docs.usecroma.com/es/credits</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Croma API: Agent Skill (SKILL.md)</w:t>
      </w:r>
      <w:r>
        <w:rPr>
          <w:rFonts w:ascii="Times New Roman" w:cs="Times New Roman" w:eastAsia="Times New Roman" w:hAnsi="Times New Roman"/>
          <w:color w:val="000000"/>
          <w:sz w:val="21"/>
          <w:szCs w:val="21"/>
        </w:rPr>
        <w:t xml:space="preserve"> [Sitio web]. Croma. Recuperado el 12 de octubre de 2026, de https://usecroma.com/.well-known/agent-skills/croma-api/SKILL.md</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Croma API: índice de documentación para modelos de lenguaje (llms.txt)</w:t>
      </w:r>
      <w:r>
        <w:rPr>
          <w:rFonts w:ascii="Times New Roman" w:cs="Times New Roman" w:eastAsia="Times New Roman" w:hAnsi="Times New Roman"/>
          <w:color w:val="000000"/>
          <w:sz w:val="21"/>
          <w:szCs w:val="21"/>
        </w:rPr>
        <w:t xml:space="preserve"> [Documentación técnica]. Croma API Docs. Recuperado el 12 de octubre de 2026, de https://docs.usecroma.com/llms.txt</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Datasets</w:t>
      </w:r>
      <w:r>
        <w:rPr>
          <w:rFonts w:ascii="Times New Roman" w:cs="Times New Roman" w:eastAsia="Times New Roman" w:hAnsi="Times New Roman"/>
          <w:color w:val="000000"/>
          <w:sz w:val="21"/>
          <w:szCs w:val="21"/>
        </w:rPr>
        <w:t xml:space="preserve"> [Documentación técnica]. Croma API Docs. Recuperado el 12 de octubre de 2026, de https://docs.usecroma.com/es/datasets</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Datos oficiales de Colombia por API</w:t>
      </w:r>
      <w:r>
        <w:rPr>
          <w:rFonts w:ascii="Times New Roman" w:cs="Times New Roman" w:eastAsia="Times New Roman" w:hAnsi="Times New Roman"/>
          <w:color w:val="000000"/>
          <w:sz w:val="21"/>
          <w:szCs w:val="21"/>
        </w:rPr>
        <w:t xml:space="preserve"> [Sitio web]. Croma. Recuperado el 12 de octubre de 2026, de https://usecroma.com/es/co</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Errores</w:t>
      </w:r>
      <w:r>
        <w:rPr>
          <w:rFonts w:ascii="Times New Roman" w:cs="Times New Roman" w:eastAsia="Times New Roman" w:hAnsi="Times New Roman"/>
          <w:color w:val="000000"/>
          <w:sz w:val="21"/>
          <w:szCs w:val="21"/>
        </w:rPr>
        <w:t xml:space="preserve"> [Documentación técnica]. Croma API Docs. Recuperado el 12 de octubre de 2026, de https://docs.usecroma.com/es/errors</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Fuentes monitoreables</w:t>
      </w:r>
      <w:r>
        <w:rPr>
          <w:rFonts w:ascii="Times New Roman" w:cs="Times New Roman" w:eastAsia="Times New Roman" w:hAnsi="Times New Roman"/>
          <w:color w:val="000000"/>
          <w:sz w:val="21"/>
          <w:szCs w:val="21"/>
        </w:rPr>
        <w:t xml:space="preserve"> [Documentación técnica]. Croma API Docs. Recuperado el 12 de octubre de 2026, de https://docs.usecroma.com/es/monitors-sources</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Industrias: datos oficiales para cada equipo</w:t>
      </w:r>
      <w:r>
        <w:rPr>
          <w:rFonts w:ascii="Times New Roman" w:cs="Times New Roman" w:eastAsia="Times New Roman" w:hAnsi="Times New Roman"/>
          <w:color w:val="000000"/>
          <w:sz w:val="21"/>
          <w:szCs w:val="21"/>
        </w:rPr>
        <w:t xml:space="preserve"> [Sitio web]. Croma. Recuperado el 12 de octubre de 2026, de https://usecroma.com/es/industries</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Inicio rápido</w:t>
      </w:r>
      <w:r>
        <w:rPr>
          <w:rFonts w:ascii="Times New Roman" w:cs="Times New Roman" w:eastAsia="Times New Roman" w:hAnsi="Times New Roman"/>
          <w:color w:val="000000"/>
          <w:sz w:val="21"/>
          <w:szCs w:val="21"/>
        </w:rPr>
        <w:t xml:space="preserve"> [Documentación técnica]. Croma API Docs. Recuperado el 12 de octubre de 2026, de https://docs.usecroma.com/es/quickstart</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Introducción</w:t>
      </w:r>
      <w:r>
        <w:rPr>
          <w:rFonts w:ascii="Times New Roman" w:cs="Times New Roman" w:eastAsia="Times New Roman" w:hAnsi="Times New Roman"/>
          <w:color w:val="000000"/>
          <w:sz w:val="21"/>
          <w:szCs w:val="21"/>
        </w:rPr>
        <w:t xml:space="preserve"> [Documentación técnica]. Croma API Docs. Recuperado el 12 de octubre de 2026, de https://docs.usecroma.com/es/introduction</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Límites de tasa</w:t>
      </w:r>
      <w:r>
        <w:rPr>
          <w:rFonts w:ascii="Times New Roman" w:cs="Times New Roman" w:eastAsia="Times New Roman" w:hAnsi="Times New Roman"/>
          <w:color w:val="000000"/>
          <w:sz w:val="21"/>
          <w:szCs w:val="21"/>
        </w:rPr>
        <w:t xml:space="preserve"> [Documentación técnica]. Croma API Docs. Recuperado el 12 de octubre de 2026, de https://docs.usecroma.com/es/rate-limits</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MCP</w:t>
      </w:r>
      <w:r>
        <w:rPr>
          <w:rFonts w:ascii="Times New Roman" w:cs="Times New Roman" w:eastAsia="Times New Roman" w:hAnsi="Times New Roman"/>
          <w:color w:val="000000"/>
          <w:sz w:val="21"/>
          <w:szCs w:val="21"/>
        </w:rPr>
        <w:t xml:space="preserve"> [Documentación técnica]. Croma API Docs. Recuperado el 12 de octubre de 2026, de https://docs.usecroma.com/es/mcp-server</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Mi cuenta DIAN</w:t>
      </w:r>
      <w:r>
        <w:rPr>
          <w:rFonts w:ascii="Times New Roman" w:cs="Times New Roman" w:eastAsia="Times New Roman" w:hAnsi="Times New Roman"/>
          <w:color w:val="000000"/>
          <w:sz w:val="21"/>
          <w:szCs w:val="21"/>
        </w:rPr>
        <w:t xml:space="preserve"> [Documentación técnica]. Croma API Docs. Recuperado el 12 de octubre de 2026, de https://docs.usecroma.com/es/guides/colombia/dian-muisca</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Mis cuentas Bancolombia</w:t>
      </w:r>
      <w:r>
        <w:rPr>
          <w:rFonts w:ascii="Times New Roman" w:cs="Times New Roman" w:eastAsia="Times New Roman" w:hAnsi="Times New Roman"/>
          <w:color w:val="000000"/>
          <w:sz w:val="21"/>
          <w:szCs w:val="21"/>
        </w:rPr>
        <w:t xml:space="preserve"> [Documentación técnica]. Croma API Docs. Recuperado el 12 de octubre de 2026, de https://docs.usecroma.com/es/guides/colombia/bancolombia</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Monitores</w:t>
      </w:r>
      <w:r>
        <w:rPr>
          <w:rFonts w:ascii="Times New Roman" w:cs="Times New Roman" w:eastAsia="Times New Roman" w:hAnsi="Times New Roman"/>
          <w:color w:val="000000"/>
          <w:sz w:val="21"/>
          <w:szCs w:val="21"/>
        </w:rPr>
        <w:t xml:space="preserve"> [Documentación técnica]. Croma API Docs. Recuperado el 12 de octubre de 2026, de https://docs.usecroma.com/es/monitors</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Monitores desde Claude</w:t>
      </w:r>
      <w:r>
        <w:rPr>
          <w:rFonts w:ascii="Times New Roman" w:cs="Times New Roman" w:eastAsia="Times New Roman" w:hAnsi="Times New Roman"/>
          <w:color w:val="000000"/>
          <w:sz w:val="21"/>
          <w:szCs w:val="21"/>
        </w:rPr>
        <w:t xml:space="preserve"> [Documentación técnica]. Croma API Docs. Recuperado el 12 de octubre de 2026, de https://docs.usecroma.com/es/monitors-mcp</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Policía Nacional</w:t>
      </w:r>
      <w:r>
        <w:rPr>
          <w:rFonts w:ascii="Times New Roman" w:cs="Times New Roman" w:eastAsia="Times New Roman" w:hAnsi="Times New Roman"/>
          <w:color w:val="000000"/>
          <w:sz w:val="21"/>
          <w:szCs w:val="21"/>
        </w:rPr>
        <w:t xml:space="preserve"> [Documentación técnica]. Croma API Docs. Recuperado el 12 de octubre de 2026, de https://docs.usecroma.com/es/guides/colombia/policia</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Precios: planes y créditos de la API de Croma</w:t>
      </w:r>
      <w:r>
        <w:rPr>
          <w:rFonts w:ascii="Times New Roman" w:cs="Times New Roman" w:eastAsia="Times New Roman" w:hAnsi="Times New Roman"/>
          <w:color w:val="000000"/>
          <w:sz w:val="21"/>
          <w:szCs w:val="21"/>
        </w:rPr>
        <w:t xml:space="preserve"> [Sitio web]. Croma. Recuperado el 12 de octubre de 2026, de https://usecroma.com/es/pricing</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Procuraduría</w:t>
      </w:r>
      <w:r>
        <w:rPr>
          <w:rFonts w:ascii="Times New Roman" w:cs="Times New Roman" w:eastAsia="Times New Roman" w:hAnsi="Times New Roman"/>
          <w:color w:val="000000"/>
          <w:sz w:val="21"/>
          <w:szCs w:val="21"/>
        </w:rPr>
        <w:t xml:space="preserve"> [Documentación técnica]. Croma API Docs. Recuperado el 12 de octubre de 2026, de https://docs.usecroma.com/es/guides/colombia/procuraduria</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Registraduría</w:t>
      </w:r>
      <w:r>
        <w:rPr>
          <w:rFonts w:ascii="Times New Roman" w:cs="Times New Roman" w:eastAsia="Times New Roman" w:hAnsi="Times New Roman"/>
          <w:color w:val="000000"/>
          <w:sz w:val="21"/>
          <w:szCs w:val="21"/>
        </w:rPr>
        <w:t xml:space="preserve"> [Documentación técnica]. Croma API Docs. Recuperado el 12 de octubre de 2026, de https://docs.usecroma.com/es/guides/colombia/registraduria</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RUAF</w:t>
      </w:r>
      <w:r>
        <w:rPr>
          <w:rFonts w:ascii="Times New Roman" w:cs="Times New Roman" w:eastAsia="Times New Roman" w:hAnsi="Times New Roman"/>
          <w:color w:val="000000"/>
          <w:sz w:val="21"/>
          <w:szCs w:val="21"/>
        </w:rPr>
        <w:t xml:space="preserve"> [Documentación técnica]. Croma API Docs. Recuperado el 12 de octubre de 2026, de https://docs.usecroma.com/es/guides/colombia/ruaf</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RUNT</w:t>
      </w:r>
      <w:r>
        <w:rPr>
          <w:rFonts w:ascii="Times New Roman" w:cs="Times New Roman" w:eastAsia="Times New Roman" w:hAnsi="Times New Roman"/>
          <w:color w:val="000000"/>
          <w:sz w:val="21"/>
          <w:szCs w:val="21"/>
        </w:rPr>
        <w:t xml:space="preserve"> [Documentación técnica]. Croma API Docs. Recuperado el 12 de octubre de 2026, de https://docs.usecroma.com/es/guides/colombia/runt</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Servidor MCP de Croma: datos de gobierno en tu asistente</w:t>
      </w:r>
      <w:r>
        <w:rPr>
          <w:rFonts w:ascii="Times New Roman" w:cs="Times New Roman" w:eastAsia="Times New Roman" w:hAnsi="Times New Roman"/>
          <w:color w:val="000000"/>
          <w:sz w:val="21"/>
          <w:szCs w:val="21"/>
        </w:rPr>
        <w:t xml:space="preserve"> [Sitio web]. Croma. Recuperado el 12 de octubre de 2026, de https://usecroma.com/es/mcp</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SIMIT</w:t>
      </w:r>
      <w:r>
        <w:rPr>
          <w:rFonts w:ascii="Times New Roman" w:cs="Times New Roman" w:eastAsia="Times New Roman" w:hAnsi="Times New Roman"/>
          <w:color w:val="000000"/>
          <w:sz w:val="21"/>
          <w:szCs w:val="21"/>
        </w:rPr>
        <w:t xml:space="preserve"> [Documentación técnica]. Croma API Docs. Recuperado el 12 de octubre de 2026, de https://docs.usecroma.com/es/guides/colombia/simit</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Solicitudes en lote</w:t>
      </w:r>
      <w:r>
        <w:rPr>
          <w:rFonts w:ascii="Times New Roman" w:cs="Times New Roman" w:eastAsia="Times New Roman" w:hAnsi="Times New Roman"/>
          <w:color w:val="000000"/>
          <w:sz w:val="21"/>
          <w:szCs w:val="21"/>
        </w:rPr>
        <w:t xml:space="preserve"> [Documentación técnica]. Croma API Docs. Recuperado el 12 de octubre de 2026, de https://docs.usecroma.com/es/batch</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Trabajos asíncronos</w:t>
      </w:r>
      <w:r>
        <w:rPr>
          <w:rFonts w:ascii="Times New Roman" w:cs="Times New Roman" w:eastAsia="Times New Roman" w:hAnsi="Times New Roman"/>
          <w:color w:val="000000"/>
          <w:sz w:val="21"/>
          <w:szCs w:val="21"/>
        </w:rPr>
        <w:t xml:space="preserve"> [Documentación técnica]. Croma API Docs. Recuperado el 12 de octubre de 2026, de https://docs.usecroma.com/es/async-jobs</w:t>
      </w:r>
    </w:p>
    <w:p>
      <w:pPr>
        <w:spacing w:after="100" w:line="276"/>
        <w:ind w:left="709" w:hanging="709"/>
        <w:jc w:val="left"/>
      </w:pPr>
      <w:r>
        <w:rPr>
          <w:rFonts w:ascii="Times New Roman" w:cs="Times New Roman" w:eastAsia="Times New Roman" w:hAnsi="Times New Roman"/>
          <w:color w:val="000000"/>
          <w:sz w:val="21"/>
          <w:szCs w:val="21"/>
        </w:rPr>
        <w:t xml:space="preserve">Croma. (2026). </w:t>
      </w:r>
      <w:r>
        <w:rPr>
          <w:rFonts w:ascii="Times New Roman" w:cs="Times New Roman" w:eastAsia="Times New Roman" w:hAnsi="Times New Roman"/>
          <w:i/>
          <w:iCs/>
          <w:color w:val="000000"/>
          <w:sz w:val="21"/>
          <w:szCs w:val="21"/>
        </w:rPr>
        <w:t xml:space="preserve">Versionado y deprecación</w:t>
      </w:r>
      <w:r>
        <w:rPr>
          <w:rFonts w:ascii="Times New Roman" w:cs="Times New Roman" w:eastAsia="Times New Roman" w:hAnsi="Times New Roman"/>
          <w:color w:val="000000"/>
          <w:sz w:val="21"/>
          <w:szCs w:val="21"/>
        </w:rPr>
        <w:t xml:space="preserve"> [Documentación técnica]. Croma API Docs. Recuperado el 12 de octubre de 2026, de https://docs.usecroma.com/es/versioning</w:t>
      </w:r>
    </w:p>
    <w:p>
      <w:pPr>
        <w:spacing w:after="100" w:line="276"/>
        <w:ind w:left="709" w:hanging="709"/>
        <w:jc w:val="left"/>
      </w:pPr>
      <w:r>
        <w:rPr>
          <w:rFonts w:ascii="Times New Roman" w:cs="Times New Roman" w:eastAsia="Times New Roman" w:hAnsi="Times New Roman"/>
          <w:color w:val="000000"/>
          <w:sz w:val="21"/>
          <w:szCs w:val="21"/>
        </w:rPr>
        <w:t xml:space="preserve">Departamento Administrativo Nacional de Estadística. (2026). </w:t>
      </w:r>
      <w:r>
        <w:rPr>
          <w:rFonts w:ascii="Times New Roman" w:cs="Times New Roman" w:eastAsia="Times New Roman" w:hAnsi="Times New Roman"/>
          <w:i/>
          <w:iCs/>
          <w:color w:val="000000"/>
          <w:sz w:val="21"/>
          <w:szCs w:val="21"/>
        </w:rPr>
        <w:t xml:space="preserve">Pobreza monetaria: anexo departamental 2025</w:t>
      </w:r>
      <w:r>
        <w:rPr>
          <w:rFonts w:ascii="Times New Roman" w:cs="Times New Roman" w:eastAsia="Times New Roman" w:hAnsi="Times New Roman"/>
          <w:color w:val="000000"/>
          <w:sz w:val="21"/>
          <w:szCs w:val="21"/>
        </w:rPr>
        <w:t xml:space="preserve"> [Conjunto de datos]. https://www.dane.gov.co/files/operaciones/PM/anex-PMDepartamental-2025.xlsx</w:t>
      </w:r>
    </w:p>
    <w:p>
      <w:pPr>
        <w:spacing w:after="100" w:line="276"/>
        <w:ind w:left="709" w:hanging="709"/>
        <w:jc w:val="left"/>
      </w:pPr>
      <w:r>
        <w:rPr>
          <w:rFonts w:ascii="Times New Roman" w:cs="Times New Roman" w:eastAsia="Times New Roman" w:hAnsi="Times New Roman"/>
          <w:color w:val="000000"/>
          <w:sz w:val="21"/>
          <w:szCs w:val="21"/>
        </w:rPr>
        <w:t xml:space="preserve">Ministerio de Relaciones Exteriores de Colombia. (2026). </w:t>
      </w:r>
      <w:r>
        <w:rPr>
          <w:rFonts w:ascii="Times New Roman" w:cs="Times New Roman" w:eastAsia="Times New Roman" w:hAnsi="Times New Roman"/>
          <w:i/>
          <w:iCs/>
          <w:color w:val="000000"/>
          <w:sz w:val="21"/>
          <w:szCs w:val="21"/>
        </w:rPr>
        <w:t xml:space="preserve">Pasos para hacer su trámite: apostilla y legalización en línea</w:t>
      </w:r>
      <w:r>
        <w:rPr>
          <w:rFonts w:ascii="Times New Roman" w:cs="Times New Roman" w:eastAsia="Times New Roman" w:hAnsi="Times New Roman"/>
          <w:color w:val="000000"/>
          <w:sz w:val="21"/>
          <w:szCs w:val="21"/>
        </w:rPr>
        <w:t xml:space="preserve"> [Sitio web]. https://www.cancilleria.gov.co/atencion-y-servicio-al-ciudadano/tramites-y-servicios/apostilla-y-legalizacion-en-linea/pasos-para-hacer-su-tramite</w:t>
      </w: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ANEXO A. ESPECIFICACIONES DE FORMA DEL DOCUMENTO</w:t>
      </w:r>
    </w:p>
    <w:p>
      <w:pPr>
        <w:spacing w:after="120" w:before="0" w:line="276"/>
        <w:jc w:val="both"/>
      </w:pPr>
      <w:r>
        <w:rPr>
          <w:rFonts w:ascii="Times New Roman" w:cs="Times New Roman" w:eastAsia="Times New Roman" w:hAnsi="Times New Roman"/>
          <w:color w:val="000000"/>
          <w:sz w:val="23"/>
          <w:szCs w:val="23"/>
        </w:rPr>
        <w:t xml:space="preserve">Este anexo documenta la estructura formal con la que se compuso el informe, en el formato de especificación solicitado, para que pueda recrearse en otros documentos. No se recibió un PDF adicional para analizar; por ello se describe la estructura de este mismo documento, construida a partir de la especificación entregada.</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8C8C8C" w:sz="4"/>
              <w:left w:val="single" w:color="8C8C8C" w:sz="4"/>
              <w:bottom w:val="single" w:color="8C8C8C" w:sz="4"/>
              <w:right w:val="single" w:color="8C8C8C" w:sz="4"/>
            </w:tcBorders>
            <w:shd w:fill="F4F4F4" w:color="auto" w:val="clear"/>
            <w:tcMar>
              <w:top w:type="dxa" w:w="120"/>
              <w:left w:type="dxa" w:w="200"/>
              <w:bottom w:type="dxa" w:w="120"/>
              <w:right w:type="dxa" w:w="200"/>
            </w:tcMar>
          </w:tcPr>
          <w:p>
            <w:pPr>
              <w:spacing w:after="60" w:line="252"/>
              <w:jc w:val="left"/>
            </w:pPr>
            <w:r>
              <w:rPr>
                <w:rFonts w:ascii="Times New Roman" w:cs="Times New Roman" w:eastAsia="Times New Roman" w:hAnsi="Times New Roman"/>
                <w:color w:val="000000"/>
                <w:sz w:val="21"/>
                <w:szCs w:val="21"/>
              </w:rPr>
              <w:t xml:space="preserve">especificaciones_docx = {</w:t>
            </w:r>
          </w:p>
          <w:p>
            <w:pPr>
              <w:spacing w:after="60" w:line="252"/>
              <w:jc w:val="left"/>
            </w:pPr>
            <w:r>
              <w:rPr>
                <w:rFonts w:ascii="Times New Roman" w:cs="Times New Roman" w:eastAsia="Times New Roman" w:hAnsi="Times New Roman"/>
                <w:color w:val="000000"/>
                <w:sz w:val="21"/>
                <w:szCs w:val="21"/>
              </w:rPr>
              <w:t xml:space="preserve">  "fuente": "Times New Roman — en todo el documento (incluidos diagramas, tablas y notas)",</w:t>
            </w:r>
          </w:p>
          <w:p>
            <w:pPr>
              <w:spacing w:after="60" w:line="252"/>
              <w:jc w:val="left"/>
            </w:pPr>
            <w:r>
              <w:rPr>
                <w:rFonts w:ascii="Times New Roman" w:cs="Times New Roman" w:eastAsia="Times New Roman" w:hAnsi="Times New Roman"/>
                <w:color w:val="000000"/>
                <w:sz w:val="21"/>
                <w:szCs w:val="21"/>
              </w:rPr>
              <w:t xml:space="preserve">  "tamano_fuente": { "titulo_principal": "17 pt", "autor": "12 pt", "subtitulo_inicial": "12 pt", "encabezado_seccion": "13 pt", "subseccion": "12 pt", "cuerpo": "11,5 pt", "tablas": "8 a 9 pt", "leyendas_figuras_tablas": "10 pt", "citas_destacadas": "11,5 pt", "referencias": "10,5 pt", "notas_al_pie": "9 pt", "encabezado_y_pie": "9 pt" },</w:t>
            </w:r>
          </w:p>
          <w:p>
            <w:pPr>
              <w:spacing w:after="60" w:line="252"/>
              <w:jc w:val="left"/>
            </w:pPr>
            <w:r>
              <w:rPr>
                <w:rFonts w:ascii="Times New Roman" w:cs="Times New Roman" w:eastAsia="Times New Roman" w:hAnsi="Times New Roman"/>
                <w:color w:val="000000"/>
                <w:sz w:val="21"/>
                <w:szCs w:val="21"/>
              </w:rPr>
              <w:t xml:space="preserve">  "color_fuente": "Negro — #000000 (el color se reserva a la semántica de los diagramas)",</w:t>
            </w:r>
          </w:p>
          <w:p>
            <w:pPr>
              <w:spacing w:after="60" w:line="252"/>
              <w:jc w:val="left"/>
            </w:pPr>
            <w:r>
              <w:rPr>
                <w:rFonts w:ascii="Times New Roman" w:cs="Times New Roman" w:eastAsia="Times New Roman" w:hAnsi="Times New Roman"/>
                <w:color w:val="000000"/>
                <w:sz w:val="21"/>
                <w:szCs w:val="21"/>
              </w:rPr>
              <w:t xml:space="preserve">  "estilo_titulo_principal": "Negrita | Mayúsculas y minúsculas | Centrado | Espaciado superior amplio",</w:t>
            </w:r>
          </w:p>
          <w:p>
            <w:pPr>
              <w:spacing w:after="60" w:line="252"/>
              <w:jc w:val="left"/>
            </w:pPr>
            <w:r>
              <w:rPr>
                <w:rFonts w:ascii="Times New Roman" w:cs="Times New Roman" w:eastAsia="Times New Roman" w:hAnsi="Times New Roman"/>
                <w:color w:val="000000"/>
                <w:sz w:val="21"/>
                <w:szCs w:val="21"/>
              </w:rPr>
              <w:t xml:space="preserve">  "estilo_autor": "Regular | Centrado | Espaciado inferior medio",</w:t>
            </w:r>
          </w:p>
          <w:p>
            <w:pPr>
              <w:spacing w:after="60" w:line="252"/>
              <w:jc w:val="left"/>
            </w:pPr>
            <w:r>
              <w:rPr>
                <w:rFonts w:ascii="Times New Roman" w:cs="Times New Roman" w:eastAsia="Times New Roman" w:hAnsi="Times New Roman"/>
                <w:color w:val="000000"/>
                <w:sz w:val="21"/>
                <w:szCs w:val="21"/>
              </w:rPr>
              <w:t xml:space="preserve">  "estilo_subtitulo_inicial": "Cursiva | Centrado",</w:t>
            </w:r>
          </w:p>
          <w:p>
            <w:pPr>
              <w:spacing w:after="60" w:line="252"/>
              <w:jc w:val="left"/>
            </w:pPr>
            <w:r>
              <w:rPr>
                <w:rFonts w:ascii="Times New Roman" w:cs="Times New Roman" w:eastAsia="Times New Roman" w:hAnsi="Times New Roman"/>
                <w:color w:val="000000"/>
                <w:sz w:val="21"/>
                <w:szCs w:val="21"/>
              </w:rPr>
              <w:t xml:space="preserve">  "estilo_encabezados_seccion": "Negrita | Numeración romana con punto (I., II., …) | Mayúsculas sostenidas | Izquierda | Nueva página",</w:t>
            </w:r>
          </w:p>
          <w:p>
            <w:pPr>
              <w:spacing w:after="60" w:line="252"/>
              <w:jc w:val="left"/>
            </w:pPr>
            <w:r>
              <w:rPr>
                <w:rFonts w:ascii="Times New Roman" w:cs="Times New Roman" w:eastAsia="Times New Roman" w:hAnsi="Times New Roman"/>
                <w:color w:val="000000"/>
                <w:sz w:val="21"/>
                <w:szCs w:val="21"/>
              </w:rPr>
              <w:t xml:space="preserve">  "estilo_subsecciones": "Negrita | Formato «2.1 — Título» | Izquierda",</w:t>
            </w:r>
          </w:p>
          <w:p>
            <w:pPr>
              <w:spacing w:after="60" w:line="252"/>
              <w:jc w:val="left"/>
            </w:pPr>
            <w:r>
              <w:rPr>
                <w:rFonts w:ascii="Times New Roman" w:cs="Times New Roman" w:eastAsia="Times New Roman" w:hAnsi="Times New Roman"/>
                <w:color w:val="000000"/>
                <w:sz w:val="21"/>
                <w:szCs w:val="21"/>
              </w:rPr>
              <w:t xml:space="preserve">  "estilo_cuerpo": "Regular | Justificado | Interlineado 1,15 | 6 pt después de cada párrafo | Sin sangría de primera línea",</w:t>
            </w:r>
          </w:p>
          <w:p>
            <w:pPr>
              <w:spacing w:after="60" w:line="252"/>
              <w:jc w:val="left"/>
            </w:pPr>
            <w:r>
              <w:rPr>
                <w:rFonts w:ascii="Times New Roman" w:cs="Times New Roman" w:eastAsia="Times New Roman" w:hAnsi="Times New Roman"/>
                <w:color w:val="000000"/>
                <w:sz w:val="21"/>
                <w:szCs w:val="21"/>
              </w:rPr>
              <w:t xml:space="preserve">  "citas_destacadas": "Centradas | Sangría de 1,5 cm a ambos lados | Entre comillas angulares | Cursiva | 14 pt antes y después | Referencia APA debajo: (Autor, año, «encabezado»). Enlace",</w:t>
            </w:r>
          </w:p>
          <w:p>
            <w:pPr>
              <w:spacing w:after="60" w:line="252"/>
              <w:jc w:val="left"/>
            </w:pPr>
            <w:r>
              <w:rPr>
                <w:rFonts w:ascii="Times New Roman" w:cs="Times New Roman" w:eastAsia="Times New Roman" w:hAnsi="Times New Roman"/>
                <w:color w:val="000000"/>
                <w:sz w:val="21"/>
                <w:szCs w:val="21"/>
              </w:rPr>
              <w:t xml:space="preserve">  "notas_al_pie": "Una por afirmación sustantiva: fuente exacta (página y sección) o prueba en vivo (Anexo C)",</w:t>
            </w:r>
          </w:p>
          <w:p>
            <w:pPr>
              <w:spacing w:after="60" w:line="252"/>
              <w:jc w:val="left"/>
            </w:pPr>
            <w:r>
              <w:rPr>
                <w:rFonts w:ascii="Times New Roman" w:cs="Times New Roman" w:eastAsia="Times New Roman" w:hAnsi="Times New Roman"/>
                <w:color w:val="000000"/>
                <w:sz w:val="21"/>
                <w:szCs w:val="21"/>
              </w:rPr>
              <w:t xml:space="preserve">  "figuras": "Rótulo «Figura N.» en negrita y título en cursiva arriba | Diagrama vectorial SVG con respaldo PNG | Nota de fuente debajo",</w:t>
            </w:r>
          </w:p>
          <w:p>
            <w:pPr>
              <w:spacing w:after="60" w:line="252"/>
              <w:jc w:val="left"/>
            </w:pPr>
            <w:r>
              <w:rPr>
                <w:rFonts w:ascii="Times New Roman" w:cs="Times New Roman" w:eastAsia="Times New Roman" w:hAnsi="Times New Roman"/>
                <w:color w:val="000000"/>
                <w:sz w:val="21"/>
                <w:szCs w:val="21"/>
              </w:rPr>
              <w:t xml:space="preserve">  "tablas": "Rótulo «Tabla N.» arriba | Encabezado con fondo gris claro y fila repetida | Bordes finos grises | Nota debajo",</w:t>
            </w:r>
          </w:p>
          <w:p>
            <w:pPr>
              <w:spacing w:after="60" w:line="252"/>
              <w:jc w:val="left"/>
            </w:pPr>
            <w:r>
              <w:rPr>
                <w:rFonts w:ascii="Times New Roman" w:cs="Times New Roman" w:eastAsia="Times New Roman" w:hAnsi="Times New Roman"/>
                <w:color w:val="000000"/>
                <w:sz w:val="21"/>
                <w:szCs w:val="21"/>
              </w:rPr>
              <w:t xml:space="preserve">  "referencias": { "titulo": "«Referencias» en negrita, izquierda", "formato": "APA simplificado", "sangria": "francesa de 1,25 cm", "interlineado": "1,15", "alineacion": "izquierda" },</w:t>
            </w:r>
          </w:p>
          <w:p>
            <w:pPr>
              <w:spacing w:after="60" w:line="252"/>
              <w:jc w:val="left"/>
            </w:pPr>
            <w:r>
              <w:rPr>
                <w:rFonts w:ascii="Times New Roman" w:cs="Times New Roman" w:eastAsia="Times New Roman" w:hAnsi="Times New Roman"/>
                <w:color w:val="000000"/>
                <w:sz w:val="21"/>
                <w:szCs w:val="21"/>
              </w:rPr>
              <w:t xml:space="preserve">  "margenes": "2,5 cm en los cuatro lados", "pagina": "Carta — 21,59 × 27,94 cm",</w:t>
            </w:r>
          </w:p>
          <w:p>
            <w:pPr>
              <w:spacing w:after="60" w:line="252"/>
              <w:jc w:val="left"/>
            </w:pPr>
            <w:r>
              <w:rPr>
                <w:rFonts w:ascii="Times New Roman" w:cs="Times New Roman" w:eastAsia="Times New Roman" w:hAnsi="Times New Roman"/>
                <w:color w:val="000000"/>
                <w:sz w:val="21"/>
                <w:szCs w:val="21"/>
              </w:rPr>
              <w:t xml:space="preserve">  "encabezado": "Cuadernos LegalTech Colombia · Informe técnico · categoría · fecha (9 pt, centrado)",</w:t>
            </w:r>
          </w:p>
          <w:p>
            <w:pPr>
              <w:spacing w:after="60" w:line="252"/>
              <w:jc w:val="left"/>
            </w:pPr>
            <w:r>
              <w:rPr>
                <w:rFonts w:ascii="Times New Roman" w:cs="Times New Roman" w:eastAsia="Times New Roman" w:hAnsi="Times New Roman"/>
                <w:color w:val="000000"/>
                <w:sz w:val="21"/>
                <w:szCs w:val="21"/>
              </w:rPr>
              <w:t xml:space="preserve">  "numeracion_paginas": "Inferior centrada — «Página X de Y»", "pie_pagina": "Sin otro texto",</w:t>
            </w:r>
          </w:p>
          <w:p>
            <w:pPr>
              <w:spacing w:after="60" w:line="252"/>
              <w:jc w:val="left"/>
            </w:pPr>
            <w:r>
              <w:rPr>
                <w:rFonts w:ascii="Times New Roman" w:cs="Times New Roman" w:eastAsia="Times New Roman" w:hAnsi="Times New Roman"/>
                <w:color w:val="000000"/>
                <w:sz w:val="21"/>
                <w:szCs w:val="21"/>
              </w:rPr>
              <w:t xml:space="preserve">  "estructura": ["Encabezado editorial", "Título", "Autor", "Subtítulo", "Abstract y palabras clave", "Tabla de contenido con páginas", "Introducción sin numeración", "Secciones I a IX", "Subsecciones 1.1 …", "Citas destacadas", "Conclusiones", "Firma —Nombre—", "Referencias", "Anexos A a D"],</w:t>
            </w:r>
          </w:p>
          <w:p>
            <w:pPr>
              <w:spacing w:after="60" w:line="252"/>
              <w:jc w:val="left"/>
            </w:pPr>
            <w:r>
              <w:rPr>
                <w:rFonts w:ascii="Times New Roman" w:cs="Times New Roman" w:eastAsia="Times New Roman" w:hAnsi="Times New Roman"/>
                <w:color w:val="000000"/>
                <w:sz w:val="21"/>
                <w:szCs w:val="21"/>
              </w:rPr>
              <w:t xml:space="preserve">  "espaciado": { "entre_titulo_y_autor": "medio", "entre_secciones": "amplio (nueva página)", "entre_parrafos": "moderado", "antes_citas": "amplio", "antes_referencias": "amplio" },</w:t>
            </w:r>
          </w:p>
          <w:p>
            <w:pPr>
              <w:spacing w:after="60" w:line="252"/>
              <w:jc w:val="left"/>
            </w:pPr>
            <w:r>
              <w:rPr>
                <w:rFonts w:ascii="Times New Roman" w:cs="Times New Roman" w:eastAsia="Times New Roman" w:hAnsi="Times New Roman"/>
                <w:color w:val="000000"/>
                <w:sz w:val="21"/>
                <w:szCs w:val="21"/>
              </w:rPr>
              <w:t xml:space="preserve">  "elementos_especiales": ["Mayúsculas sostenidas en encabezados conceptuales", "Separadores mediante espacio, sin líneas", "Firma final centrada entre guiones largos"]</w:t>
            </w:r>
          </w:p>
          <w:p>
            <w:pPr>
              <w:spacing w:after="60" w:line="252"/>
              <w:jc w:val="left"/>
            </w:pPr>
            <w:r>
              <w:rPr>
                <w:rFonts w:ascii="Times New Roman" w:cs="Times New Roman" w:eastAsia="Times New Roman" w:hAnsi="Times New Roman"/>
                <w:color w:val="000000"/>
                <w:sz w:val="21"/>
                <w:szCs w:val="21"/>
              </w:rPr>
              <w:t xml:space="preserve">}</w:t>
            </w:r>
          </w:p>
        </w:tc>
      </w:tr>
    </w:tbl>
    <w:p>
      <w:pPr>
        <w:spacing w:after="160"/>
      </w:pP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ANEXO B. REPORTE DE VALIDACIÓN DE LOS DIAGRAMAS</w:t>
      </w:r>
    </w:p>
    <w:p>
      <w:pPr>
        <w:spacing w:after="120" w:before="0" w:line="276"/>
        <w:jc w:val="both"/>
      </w:pPr>
      <w:r>
        <w:rPr>
          <w:rFonts w:ascii="Times New Roman" w:cs="Times New Roman" w:eastAsia="Times New Roman" w:hAnsi="Times New Roman"/>
          <w:color w:val="000000"/>
          <w:sz w:val="23"/>
          <w:szCs w:val="23"/>
        </w:rPr>
        <w:t xml:space="preserve">Cada diagrama se modeló como grafo y se validó con el motor del §9 antes de renderizarse (REGLA_02). La Tabla siguiente resume los chequeos; la columna de contraste refleja la verificación AA con el color de texto elegido para cada categoría, y la letra efectiva es el tamaño de la letra del diagrama una vez ajustado a la página.</w:t>
      </w:r>
    </w:p>
    <w:p>
      <w:pPr>
        <w:keepNext/>
        <w:spacing w:after="80" w:before="200" w:line="240"/>
        <w:jc w:val="left"/>
      </w:pPr>
      <w:r>
        <w:rPr>
          <w:rFonts w:ascii="Times New Roman" w:cs="Times New Roman" w:eastAsia="Times New Roman" w:hAnsi="Times New Roman"/>
          <w:b/>
          <w:bCs/>
          <w:color w:val="000000"/>
          <w:sz w:val="20"/>
          <w:szCs w:val="20"/>
        </w:rPr>
        <w:t xml:space="preserve">Tabla 38. </w:t>
      </w:r>
      <w:r>
        <w:rPr>
          <w:rFonts w:ascii="Times New Roman" w:cs="Times New Roman" w:eastAsia="Times New Roman" w:hAnsi="Times New Roman"/>
          <w:i/>
          <w:iCs/>
          <w:color w:val="000000"/>
          <w:sz w:val="20"/>
          <w:szCs w:val="20"/>
        </w:rPr>
        <w:t xml:space="preserve">Validación §9 de los 17 diagramas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
        <w:gridCol w:w="1957"/>
        <w:gridCol w:w="625"/>
        <w:gridCol w:w="680"/>
        <w:gridCol w:w="924"/>
        <w:gridCol w:w="680"/>
        <w:gridCol w:w="544"/>
        <w:gridCol w:w="924"/>
        <w:gridCol w:w="625"/>
        <w:gridCol w:w="1958"/>
      </w:tblGrid>
      <w:tr>
        <w:trPr>
          <w:cantSplit/>
          <w:tblHeader/>
        </w:trPr>
        <w:tc>
          <w:tcPr>
            <w:tcW w:type="dxa" w:w="48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Id</w:t>
            </w:r>
          </w:p>
        </w:tc>
        <w:tc>
          <w:tcPr>
            <w:tcW w:type="dxa" w:w="195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Diagrama</w:t>
            </w:r>
          </w:p>
        </w:tc>
        <w:tc>
          <w:tcPr>
            <w:tcW w:type="dxa" w:w="62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Nodos</w:t>
            </w:r>
          </w:p>
        </w:tc>
        <w:tc>
          <w:tcPr>
            <w:tcW w:type="dxa" w:w="68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Aristas</w:t>
            </w:r>
          </w:p>
        </w:tc>
        <w:tc>
          <w:tcPr>
            <w:tcW w:type="dxa" w:w="924"/>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Decisiones</w:t>
            </w:r>
          </w:p>
        </w:tc>
        <w:tc>
          <w:tcPr>
            <w:tcW w:type="dxa" w:w="68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Errores</w:t>
            </w:r>
          </w:p>
        </w:tc>
        <w:tc>
          <w:tcPr>
            <w:tcW w:type="dxa" w:w="544"/>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DAG</w:t>
            </w:r>
          </w:p>
        </w:tc>
        <w:tc>
          <w:tcPr>
            <w:tcW w:type="dxa" w:w="924"/>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Huérfanos</w:t>
            </w:r>
          </w:p>
        </w:tc>
        <w:tc>
          <w:tcPr>
            <w:tcW w:type="dxa" w:w="62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Letra (pt)</w:t>
            </w:r>
          </w:p>
        </w:tc>
        <w:tc>
          <w:tcPr>
            <w:tcW w:type="dxa" w:w="195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Veredicto</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D00</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Arquitectura general de Croma</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20</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29</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2</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2</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No</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7</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D01</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Ciclo de vida de una solicitud</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19</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28</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9</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3</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No</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5,9</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D02</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Rama Judicial: procesos, lotes y correos</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20</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25</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4</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3</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7,3</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D03</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Jurisprudencia de altas cortes y disciplina judicial</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16</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20</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3</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7,3</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D04</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Empresas: RUES, Supersociedades, SIMEV y DIAN</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17</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20</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4</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6,3</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D05</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 insolvencia, Baranda y Relatoría</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14</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17</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6,1</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D06</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Contratación pública: SECOP I y II y ANCP-CCE</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15</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20</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3</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7,5</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D07</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Verificación de personas naturales</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18</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24</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3</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7,1</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D08</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Vehículos y tránsito: RUNT y SIMIT</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17</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22</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3</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7,1</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D09</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Fuentes con sesión del titular y factura electrónica</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14</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16</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4</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7,6</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D10</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Normativa y regulación</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16</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23</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3</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No</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7,2</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D11</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Superintendencia de Industria y Comercio</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16</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21</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3</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6,8</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D12</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Catastro nacional del IGAC</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14</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16</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3</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7,7</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D13</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Estadística oficial: DANE, BanRep, DNP, ICFES, MinEducación</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12</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16</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2</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1</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7,9</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D14</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Fuentes sectoriales: INVIMA, ANM y SIATA</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13</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16</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3</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2</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7</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D15</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Trámites del Estado y herramientas web</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10</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13</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2</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1</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8,9</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r>
        <w:trPr>
          <w:cantSplit/>
        </w:trPr>
        <w:tc>
          <w:tcPr>
            <w:tcW w:type="dxa" w:w="48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D16</w:t>
            </w:r>
          </w:p>
        </w:tc>
        <w:tc>
          <w:tcPr>
            <w:tcW w:type="dxa" w:w="195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Monitores: alertas programadas por correo</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17</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21</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4</w:t>
            </w:r>
          </w:p>
        </w:tc>
        <w:tc>
          <w:tcPr>
            <w:tcW w:type="dxa" w:w="68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3</w:t>
            </w:r>
          </w:p>
        </w:tc>
        <w:tc>
          <w:tcPr>
            <w:tcW w:type="dxa" w:w="5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Sí</w:t>
            </w:r>
          </w:p>
        </w:tc>
        <w:tc>
          <w:tcPr>
            <w:tcW w:type="dxa" w:w="92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0</w:t>
            </w:r>
          </w:p>
        </w:tc>
        <w:tc>
          <w:tcPr>
            <w:tcW w:type="dxa" w:w="62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6,6</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APROBADO_RENDER</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En los 17 diagramas: cero nodos no alcanzables, cero nodos sin terminal, cero decisiones incompletas, cero aristas colgantes, cero nodos aislados, cero recursos faltantes y cero violaciones de la regla de dependencia. Los diagramas no DAG (D00, D01, D10) contienen ciclos intencionales de reintento o polling.</w:t>
      </w:r>
    </w:p>
    <w:p>
      <w:pPr>
        <w:keepNext/>
        <w:spacing w:after="80" w:before="200" w:line="240"/>
        <w:jc w:val="left"/>
      </w:pPr>
      <w:r>
        <w:rPr>
          <w:rFonts w:ascii="Times New Roman" w:cs="Times New Roman" w:eastAsia="Times New Roman" w:hAnsi="Times New Roman"/>
          <w:b/>
          <w:bCs/>
          <w:color w:val="000000"/>
          <w:sz w:val="20"/>
          <w:szCs w:val="20"/>
        </w:rPr>
        <w:t xml:space="preserve">Tabla 39. </w:t>
      </w:r>
      <w:r>
        <w:rPr>
          <w:rFonts w:ascii="Times New Roman" w:cs="Times New Roman" w:eastAsia="Times New Roman" w:hAnsi="Times New Roman"/>
          <w:i/>
          <w:iCs/>
          <w:color w:val="000000"/>
          <w:sz w:val="20"/>
          <w:szCs w:val="20"/>
        </w:rPr>
        <w:t xml:space="preserve">Checklist bloqueante del §14</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5"/>
        <w:gridCol w:w="5106"/>
        <w:gridCol w:w="1075"/>
        <w:gridCol w:w="2150"/>
      </w:tblGrid>
      <w:tr>
        <w:trPr>
          <w:cantSplit/>
          <w:tblHeader/>
        </w:trPr>
        <w:tc>
          <w:tcPr>
            <w:tcW w:type="dxa" w:w="107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Chequeo</w:t>
            </w:r>
          </w:p>
        </w:tc>
        <w:tc>
          <w:tcPr>
            <w:tcW w:type="dxa" w:w="5106"/>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Criterio</w:t>
            </w:r>
          </w:p>
        </w:tc>
        <w:tc>
          <w:tcPr>
            <w:tcW w:type="dxa" w:w="107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Estado</w:t>
            </w:r>
          </w:p>
        </w:tc>
        <w:tc>
          <w:tcPr>
            <w:tcW w:type="dxa" w:w="2150"/>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Detalle</w:t>
            </w:r>
          </w:p>
        </w:tc>
      </w:tr>
      <w:tr>
        <w:trPr>
          <w:cantSplit/>
        </w:trPr>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CHECK_01</w:t>
            </w:r>
          </w:p>
        </w:tc>
        <w:tc>
          <w:tcPr>
            <w:tcW w:type="dxa" w:w="51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Todo nodo alcanzable y con salida a terminal</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Cumple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17/17 diagramas</w:t>
            </w:r>
          </w:p>
        </w:tc>
      </w:tr>
      <w:tr>
        <w:trPr>
          <w:cantSplit/>
        </w:trPr>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CHECK_02</w:t>
            </w:r>
          </w:p>
        </w:tc>
        <w:tc>
          <w:tcPr>
            <w:tcW w:type="dxa" w:w="51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Toda decisión con ramas etiquetadas completas</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Cumple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 2 ramas por rombo</w:t>
            </w:r>
          </w:p>
        </w:tc>
      </w:tr>
      <w:tr>
        <w:trPr>
          <w:cantSplit/>
        </w:trPr>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CHECK_03</w:t>
            </w:r>
          </w:p>
        </w:tc>
        <w:tc>
          <w:tcPr>
            <w:tcW w:type="dxa" w:w="51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Cero aristas colgantes y nodos aislados</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Cumple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Validado por §9</w:t>
            </w:r>
          </w:p>
        </w:tc>
      </w:tr>
      <w:tr>
        <w:trPr>
          <w:cantSplit/>
        </w:trPr>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CHECK_04</w:t>
            </w:r>
          </w:p>
        </w:tc>
        <w:tc>
          <w:tcPr>
            <w:tcW w:type="dxa" w:w="51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Todo recurso referenciado existe; huérfanos reportados</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Cumple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0 faltantes, 0 huérfanos</w:t>
            </w:r>
          </w:p>
        </w:tc>
      </w:tr>
      <w:tr>
        <w:trPr>
          <w:cantSplit/>
        </w:trPr>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CHECK_05</w:t>
            </w:r>
          </w:p>
        </w:tc>
        <w:tc>
          <w:tcPr>
            <w:tcW w:type="dxa" w:w="51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Regla de dependencia de Clean Architecture</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Cumple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Sin violaciones</w:t>
            </w:r>
          </w:p>
        </w:tc>
      </w:tr>
      <w:tr>
        <w:trPr>
          <w:cantSplit/>
        </w:trPr>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CHECK_06</w:t>
            </w:r>
          </w:p>
        </w:tc>
        <w:tc>
          <w:tcPr>
            <w:tcW w:type="dxa" w:w="51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Rutas de error presentes</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Cumple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Entre 1 y 5 por diagrama</w:t>
            </w:r>
          </w:p>
        </w:tc>
      </w:tr>
      <w:tr>
        <w:trPr>
          <w:cantSplit/>
        </w:trPr>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CHECK_07</w:t>
            </w:r>
          </w:p>
        </w:tc>
        <w:tc>
          <w:tcPr>
            <w:tcW w:type="dxa" w:w="51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Leyenda completa y contraste AA</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Cumple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Texto blanco o negro según fondo</w:t>
            </w:r>
          </w:p>
        </w:tc>
      </w:tr>
      <w:tr>
        <w:trPr>
          <w:cantSplit/>
        </w:trPr>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CHECK_08</w:t>
            </w:r>
          </w:p>
        </w:tc>
        <w:tc>
          <w:tcPr>
            <w:tcW w:type="dxa" w:w="51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Render vectorial, retícula y proporción</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Cumple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SVG con respaldo PNG</w:t>
            </w:r>
          </w:p>
        </w:tc>
      </w:tr>
      <w:tr>
        <w:trPr>
          <w:cantSplit/>
        </w:trPr>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CHECK_09</w:t>
            </w:r>
          </w:p>
        </w:tc>
        <w:tc>
          <w:tcPr>
            <w:tcW w:type="dxa" w:w="51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Tabla de recursos con remisiones</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Cumple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Una por diagrama</w:t>
            </w:r>
          </w:p>
        </w:tc>
      </w:tr>
      <w:tr>
        <w:trPr>
          <w:cantSplit/>
        </w:trPr>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CHECK_10</w:t>
            </w:r>
          </w:p>
        </w:tc>
        <w:tc>
          <w:tcPr>
            <w:tcW w:type="dxa" w:w="51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Sección de objetivos y explicación</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Cumple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Debajo de cada diagrama</w:t>
            </w:r>
          </w:p>
        </w:tc>
      </w:tr>
      <w:tr>
        <w:trPr>
          <w:cantSplit/>
        </w:trPr>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CHECK_11</w:t>
            </w:r>
          </w:p>
        </w:tc>
        <w:tc>
          <w:tcPr>
            <w:tcW w:type="dxa" w:w="51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Ningún componente inventado; supuestos declarados</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Cumple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Supuestos en «Riesgos y supuestos»</w:t>
            </w:r>
          </w:p>
        </w:tc>
      </w:tr>
      <w:tr>
        <w:trPr>
          <w:cantSplit/>
        </w:trPr>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CHECK_12</w:t>
            </w:r>
          </w:p>
        </w:tc>
        <w:tc>
          <w:tcPr>
            <w:tcW w:type="dxa" w:w="51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Veredicto APROBADO_RENDER antes de emitir</w:t>
            </w:r>
          </w:p>
        </w:tc>
        <w:tc>
          <w:tcPr>
            <w:tcW w:type="dxa" w:w="10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Cumple</w:t>
            </w:r>
          </w:p>
        </w:tc>
        <w:tc>
          <w:tcPr>
            <w:tcW w:type="dxa" w:w="2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17/17</w:t>
            </w:r>
          </w:p>
        </w:tc>
      </w:tr>
    </w:tbl>
    <w:p>
      <w:pPr>
        <w:spacing w:after="200" w:before="60" w:line="240"/>
        <w:jc w:val="left"/>
      </w:pPr>
    </w:p>
    <w:p>
      <w:pPr>
        <w:keepNext/>
        <w:spacing w:after="80" w:before="200" w:line="240"/>
        <w:jc w:val="left"/>
      </w:pPr>
      <w:r>
        <w:rPr>
          <w:rFonts w:ascii="Times New Roman" w:cs="Times New Roman" w:eastAsia="Times New Roman" w:hAnsi="Times New Roman"/>
          <w:b/>
          <w:bCs/>
          <w:color w:val="000000"/>
          <w:sz w:val="20"/>
          <w:szCs w:val="20"/>
        </w:rPr>
        <w:t xml:space="preserve">Tabla 40. </w:t>
      </w:r>
      <w:r>
        <w:rPr>
          <w:rFonts w:ascii="Times New Roman" w:cs="Times New Roman" w:eastAsia="Times New Roman" w:hAnsi="Times New Roman"/>
          <w:i/>
          <w:iCs/>
          <w:color w:val="000000"/>
          <w:sz w:val="20"/>
          <w:szCs w:val="20"/>
        </w:rPr>
        <w:t xml:space="preserve">Contraste de la paleta semántica con el color de texto elegido</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6"/>
        <w:gridCol w:w="1612"/>
        <w:gridCol w:w="1612"/>
        <w:gridCol w:w="1612"/>
        <w:gridCol w:w="1614"/>
      </w:tblGrid>
      <w:tr>
        <w:trPr>
          <w:cantSplit/>
          <w:tblHeader/>
        </w:trPr>
        <w:tc>
          <w:tcPr>
            <w:tcW w:type="dxa" w:w="2956"/>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Categoría</w:t>
            </w:r>
          </w:p>
        </w:tc>
        <w:tc>
          <w:tcPr>
            <w:tcW w:type="dxa" w:w="1612"/>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Fondo</w:t>
            </w:r>
          </w:p>
        </w:tc>
        <w:tc>
          <w:tcPr>
            <w:tcW w:type="dxa" w:w="1612"/>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Texto</w:t>
            </w:r>
          </w:p>
        </w:tc>
        <w:tc>
          <w:tcPr>
            <w:tcW w:type="dxa" w:w="1612"/>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Razón de contraste</w:t>
            </w:r>
          </w:p>
        </w:tc>
        <w:tc>
          <w:tcPr>
            <w:tcW w:type="dxa" w:w="1614"/>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7"/>
                <w:szCs w:val="17"/>
              </w:rPr>
              <w:t xml:space="preserve">AA (≥ 4,5)</w:t>
            </w:r>
          </w:p>
        </w:tc>
      </w:tr>
      <w:tr>
        <w:trPr>
          <w:cantSplit/>
        </w:trPr>
        <w:tc>
          <w:tcPr>
            <w:tcW w:type="dxa" w:w="295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control orquestacion</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#332288</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#FFFFFF</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12,17</w:t>
            </w:r>
          </w:p>
        </w:tc>
        <w:tc>
          <w:tcPr>
            <w:tcW w:type="dxa" w:w="16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Cumple</w:t>
            </w:r>
          </w:p>
        </w:tc>
      </w:tr>
      <w:tr>
        <w:trPr>
          <w:cantSplit/>
        </w:trPr>
        <w:tc>
          <w:tcPr>
            <w:tcW w:type="dxa" w:w="295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datos almacen</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#56B4E9</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#000000</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9,1</w:t>
            </w:r>
          </w:p>
        </w:tc>
        <w:tc>
          <w:tcPr>
            <w:tcW w:type="dxa" w:w="16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Cumple</w:t>
            </w:r>
          </w:p>
        </w:tc>
      </w:tr>
      <w:tr>
        <w:trPr>
          <w:cantSplit/>
        </w:trPr>
        <w:tc>
          <w:tcPr>
            <w:tcW w:type="dxa" w:w="295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decision</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#E69F00</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#000000</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9,32</w:t>
            </w:r>
          </w:p>
        </w:tc>
        <w:tc>
          <w:tcPr>
            <w:tcW w:type="dxa" w:w="16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Cumple</w:t>
            </w:r>
          </w:p>
        </w:tc>
      </w:tr>
      <w:tr>
        <w:trPr>
          <w:cantSplit/>
        </w:trPr>
        <w:tc>
          <w:tcPr>
            <w:tcW w:type="dxa" w:w="295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entrada salida</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#0072B2</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#FFFFFF</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5,19</w:t>
            </w:r>
          </w:p>
        </w:tc>
        <w:tc>
          <w:tcPr>
            <w:tcW w:type="dxa" w:w="16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Cumple</w:t>
            </w:r>
          </w:p>
        </w:tc>
      </w:tr>
      <w:tr>
        <w:trPr>
          <w:cantSplit/>
        </w:trPr>
        <w:tc>
          <w:tcPr>
            <w:tcW w:type="dxa" w:w="295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error fallback</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#D55E00</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#000000</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5,43</w:t>
            </w:r>
          </w:p>
        </w:tc>
        <w:tc>
          <w:tcPr>
            <w:tcW w:type="dxa" w:w="16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Cumple</w:t>
            </w:r>
          </w:p>
        </w:tc>
      </w:tr>
      <w:tr>
        <w:trPr>
          <w:cantSplit/>
        </w:trPr>
        <w:tc>
          <w:tcPr>
            <w:tcW w:type="dxa" w:w="295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7"/>
                <w:szCs w:val="17"/>
              </w:rPr>
              <w:t xml:space="preserve">modelo ia</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#CC79A7</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#000000</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6,86</w:t>
            </w:r>
          </w:p>
        </w:tc>
        <w:tc>
          <w:tcPr>
            <w:tcW w:type="dxa" w:w="16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7"/>
                <w:szCs w:val="17"/>
              </w:rPr>
              <w:t xml:space="preserve">Cumple</w:t>
            </w:r>
          </w:p>
        </w:tc>
      </w:tr>
      <w:tr>
        <w:trPr>
          <w:cantSplit/>
        </w:trPr>
        <w:tc>
          <w:tcPr>
            <w:tcW w:type="dxa" w:w="295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proceso</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#009E73</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#000000</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6,14</w:t>
            </w:r>
          </w:p>
        </w:tc>
        <w:tc>
          <w:tcPr>
            <w:tcW w:type="dxa" w:w="16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Cumple</w:t>
            </w:r>
          </w:p>
        </w:tc>
      </w:tr>
      <w:tr>
        <w:trPr>
          <w:cantSplit/>
        </w:trPr>
        <w:tc>
          <w:tcPr>
            <w:tcW w:type="dxa" w:w="295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recurso infra</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#117733</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#FFFFFF</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5,66</w:t>
            </w:r>
          </w:p>
        </w:tc>
        <w:tc>
          <w:tcPr>
            <w:tcW w:type="dxa" w:w="16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Cumple</w:t>
            </w:r>
          </w:p>
        </w:tc>
      </w:tr>
      <w:tr>
        <w:trPr>
          <w:cantSplit/>
        </w:trPr>
        <w:tc>
          <w:tcPr>
            <w:tcW w:type="dxa" w:w="295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7"/>
                <w:szCs w:val="17"/>
              </w:rPr>
              <w:t xml:space="preserve">servicio externo</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#8C6D31</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#FFFFFF</w:t>
            </w:r>
          </w:p>
        </w:tc>
        <w:tc>
          <w:tcPr>
            <w:tcW w:type="dxa" w:w="161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4,83</w:t>
            </w:r>
          </w:p>
        </w:tc>
        <w:tc>
          <w:tcPr>
            <w:tcW w:type="dxa" w:w="16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7"/>
                <w:szCs w:val="17"/>
              </w:rPr>
              <w:t xml:space="preserve">Cumple</w:t>
            </w: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 chequeo original del §9 evalúa texto blanco y marca como advertencia las categorías claras; la selección automática del color de texto resuelve la advertencia sin alterar la paleta.</w:t>
      </w: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ANEXO C. REGISTRO DE PRUEBAS EN VIVO</w:t>
      </w:r>
    </w:p>
    <w:p>
      <w:pPr>
        <w:spacing w:after="120" w:before="0" w:line="276"/>
        <w:jc w:val="both"/>
      </w:pPr>
      <w:r>
        <w:rPr>
          <w:rFonts w:ascii="Times New Roman" w:cs="Times New Roman" w:eastAsia="Times New Roman" w:hAnsi="Times New Roman"/>
          <w:color w:val="000000"/>
          <w:sz w:val="23"/>
          <w:szCs w:val="23"/>
        </w:rPr>
        <w:t xml:space="preserve">Pruebas ejecutadas el 12 de octubre de 2026 mediante el servidor MCP de Croma. Las entradas que identificarían a personas naturales se omiten; los resultados se resumen sin reproducir datos personales.</w:t>
      </w:r>
    </w:p>
    <w:p>
      <w:pPr>
        <w:keepNext/>
        <w:spacing w:after="80" w:before="200" w:line="240"/>
        <w:jc w:val="left"/>
      </w:pPr>
      <w:r>
        <w:rPr>
          <w:rFonts w:ascii="Times New Roman" w:cs="Times New Roman" w:eastAsia="Times New Roman" w:hAnsi="Times New Roman"/>
          <w:b/>
          <w:bCs/>
          <w:color w:val="000000"/>
          <w:sz w:val="20"/>
          <w:szCs w:val="20"/>
        </w:rPr>
        <w:t xml:space="preserve">Tabla 41. </w:t>
      </w:r>
      <w:r>
        <w:rPr>
          <w:rFonts w:ascii="Times New Roman" w:cs="Times New Roman" w:eastAsia="Times New Roman" w:hAnsi="Times New Roman"/>
          <w:i/>
          <w:iCs/>
          <w:color w:val="000000"/>
          <w:sz w:val="20"/>
          <w:szCs w:val="20"/>
        </w:rPr>
        <w:t xml:space="preserve">Registro de las 61 pruebas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9"/>
        <w:gridCol w:w="2998"/>
        <w:gridCol w:w="2234"/>
        <w:gridCol w:w="3645"/>
      </w:tblGrid>
      <w:tr>
        <w:trPr>
          <w:cantSplit/>
          <w:tblHeader/>
        </w:trPr>
        <w:tc>
          <w:tcPr>
            <w:tcW w:type="dxa" w:w="52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Id</w:t>
            </w:r>
          </w:p>
        </w:tc>
        <w:tc>
          <w:tcPr>
            <w:tcW w:type="dxa" w:w="299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Herramienta</w:t>
            </w:r>
          </w:p>
        </w:tc>
        <w:tc>
          <w:tcPr>
            <w:tcW w:type="dxa" w:w="2234"/>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Entrada</w:t>
            </w:r>
          </w:p>
        </w:tc>
        <w:tc>
          <w:tcPr>
            <w:tcW w:type="dxa" w:w="3645"/>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Resultado</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T01</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5"/>
                <w:szCs w:val="15"/>
              </w:rPr>
              <w:t xml:space="preserve">rama_judicial_cases_by_entity</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RAPPI · jurídica · active_only</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Error «Too many matches»; sugiere nombre más específico o actividad de 30 días.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T02</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5"/>
                <w:szCs w:val="15"/>
              </w:rPr>
              <w:t xml:space="preserve">corte_constitucional_rulings_search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habeas data · T · 2025 · 3</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91 resultados; orden por fecha; cada resultado trae la parte resolutiva completa.</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T03</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corte_suprema_rulings_search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responsabilidad contractual · civil · 2026</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59 resultados ligeros; </w:t>
            </w:r>
            <w:r>
              <w:rPr>
                <w:rFonts w:ascii="Times New Roman" w:cs="Times New Roman" w:eastAsia="Times New Roman" w:hAnsi="Times New Roman"/>
                <w:b w:val="false"/>
                <w:bCs w:val="false"/>
                <w:i/>
                <w:iCs/>
                <w:color w:val="000000"/>
                <w:sz w:val="15"/>
                <w:szCs w:val="15"/>
              </w:rPr>
              <w:t xml:space="preserve">registration_digits</w:t>
            </w:r>
            <w:r>
              <w:rPr>
                <w:rFonts w:ascii="Times New Roman" w:cs="Times New Roman" w:eastAsia="Times New Roman" w:hAnsi="Times New Roman"/>
                <w:b w:val="false"/>
                <w:bCs w:val="false"/>
                <w:color w:val="000000"/>
                <w:sz w:val="15"/>
                <w:szCs w:val="15"/>
              </w:rPr>
              <w:t xml:space="preserve"> normalizado; </w:t>
            </w:r>
            <w:r>
              <w:rPr>
                <w:rFonts w:ascii="Times New Roman" w:cs="Times New Roman" w:eastAsia="Times New Roman" w:hAnsi="Times New Roman"/>
                <w:b w:val="false"/>
                <w:bCs w:val="false"/>
                <w:i/>
                <w:iCs/>
                <w:color w:val="000000"/>
                <w:sz w:val="15"/>
                <w:szCs w:val="15"/>
              </w:rPr>
              <w:t xml:space="preserve">as_of</w:t>
            </w:r>
            <w:r>
              <w:rPr>
                <w:rFonts w:ascii="Times New Roman" w:cs="Times New Roman" w:eastAsia="Times New Roman" w:hAnsi="Times New Roman"/>
                <w:b w:val="false"/>
                <w:bCs w:val="false"/>
                <w:color w:val="000000"/>
                <w:sz w:val="15"/>
                <w:szCs w:val="15"/>
              </w:rPr>
              <w:t xml:space="preserve"> 2026-10-11.</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T04</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samai_rulings_search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reparación directa · 2026</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Total aproximado con tope de 1.000; fichas con tesis; </w:t>
            </w:r>
            <w:r>
              <w:rPr>
                <w:rFonts w:ascii="Times New Roman" w:cs="Times New Roman" w:eastAsia="Times New Roman" w:hAnsi="Times New Roman"/>
                <w:b w:val="false"/>
                <w:bCs w:val="false"/>
                <w:i/>
                <w:iCs/>
                <w:color w:val="000000"/>
                <w:sz w:val="15"/>
                <w:szCs w:val="15"/>
              </w:rPr>
              <w:t xml:space="preserve">as_of</w:t>
            </w:r>
            <w:r>
              <w:rPr>
                <w:rFonts w:ascii="Times New Roman" w:cs="Times New Roman" w:eastAsia="Times New Roman" w:hAnsi="Times New Roman"/>
                <w:b w:val="false"/>
                <w:bCs w:val="false"/>
                <w:color w:val="000000"/>
                <w:sz w:val="15"/>
                <w:szCs w:val="15"/>
              </w:rPr>
              <w:t xml:space="preserve"> 2026-09-18.</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T05</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rama_judicial_cases_by_entity</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Razón social exacta · active_only</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RAPPI S.A.S.: 0 activos (sin filtro, exceso); Banco Finandina S.A.: 6 procesos.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T06</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cndj_rulings_search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apropiación de dineros del cliente</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219 resultados en vivo; claves en español; paginación por </w:t>
            </w:r>
            <w:r>
              <w:rPr>
                <w:rFonts w:ascii="Times New Roman" w:cs="Times New Roman" w:eastAsia="Times New Roman" w:hAnsi="Times New Roman"/>
                <w:b w:val="false"/>
                <w:bCs w:val="false"/>
                <w:i/>
                <w:iCs/>
                <w:color w:val="000000"/>
                <w:sz w:val="15"/>
                <w:szCs w:val="15"/>
              </w:rPr>
              <w:t xml:space="preserve">limit</w:t>
            </w:r>
            <w:r>
              <w:rPr>
                <w:rFonts w:ascii="Times New Roman" w:cs="Times New Roman" w:eastAsia="Times New Roman" w:hAnsi="Times New Roman"/>
                <w:b w:val="false"/>
                <w:bCs w:val="false"/>
                <w:color w:val="000000"/>
                <w:sz w:val="15"/>
                <w:szCs w:val="15"/>
              </w:rPr>
              <w:t xml:space="preserve">.</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T07</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consejo_estado_search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statute; luego demandado SIC + fechas</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0 con solo </w:t>
            </w:r>
            <w:r>
              <w:rPr>
                <w:rFonts w:ascii="Times New Roman" w:cs="Times New Roman" w:eastAsia="Times New Roman" w:hAnsi="Times New Roman"/>
                <w:b w:val="false"/>
                <w:bCs w:val="false"/>
                <w:i/>
                <w:iCs/>
                <w:color w:val="000000"/>
                <w:sz w:val="15"/>
                <w:szCs w:val="15"/>
              </w:rPr>
              <w:t xml:space="preserve">statute</w:t>
            </w:r>
            <w:r>
              <w:rPr>
                <w:rFonts w:ascii="Times New Roman" w:cs="Times New Roman" w:eastAsia="Times New Roman" w:hAnsi="Times New Roman"/>
                <w:b w:val="false"/>
                <w:bCs w:val="false"/>
                <w:color w:val="000000"/>
                <w:sz w:val="15"/>
                <w:szCs w:val="15"/>
              </w:rPr>
              <w:t xml:space="preserve">; 37 con filtros combinados; claves en español.</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T08</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rama_judicial_emails_by_court</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radicado de 23 dígitos</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Buzón del Juzgado 01 Civil del Circuito de Bogotá; </w:t>
            </w:r>
            <w:r>
              <w:rPr>
                <w:rFonts w:ascii="Times New Roman" w:cs="Times New Roman" w:eastAsia="Times New Roman" w:hAnsi="Times New Roman"/>
                <w:b w:val="false"/>
                <w:bCs w:val="false"/>
                <w:i/>
                <w:iCs/>
                <w:color w:val="000000"/>
                <w:sz w:val="15"/>
                <w:szCs w:val="15"/>
              </w:rPr>
              <w:t xml:space="preserve">as_of</w:t>
            </w:r>
            <w:r>
              <w:rPr>
                <w:rFonts w:ascii="Times New Roman" w:cs="Times New Roman" w:eastAsia="Times New Roman" w:hAnsi="Times New Roman"/>
                <w:b w:val="false"/>
                <w:bCs w:val="false"/>
                <w:color w:val="000000"/>
                <w:sz w:val="15"/>
                <w:szCs w:val="15"/>
              </w:rPr>
              <w:t xml:space="preserve"> 2026-10-05.</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T09</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rama_judicial_cases_by_radicado_batch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1 radicado real + 1 inexistente</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200; un ítem con 6 actuaciones y otro con </w:t>
            </w:r>
            <w:r>
              <w:rPr>
                <w:rFonts w:ascii="Times New Roman" w:cs="Times New Roman" w:eastAsia="Times New Roman" w:hAnsi="Times New Roman"/>
                <w:b w:val="false"/>
                <w:bCs w:val="false"/>
                <w:i/>
                <w:iCs/>
                <w:color w:val="000000"/>
                <w:sz w:val="15"/>
                <w:szCs w:val="15"/>
              </w:rPr>
              <w:t xml:space="preserve">found: false</w:t>
            </w:r>
            <w:r>
              <w:rPr>
                <w:rFonts w:ascii="Times New Roman" w:cs="Times New Roman" w:eastAsia="Times New Roman" w:hAnsi="Times New Roman"/>
                <w:b w:val="false"/>
                <w:bCs w:val="false"/>
                <w:color w:val="000000"/>
                <w:sz w:val="15"/>
                <w:szCs w:val="15"/>
              </w:rPr>
              <w:t xml:space="preserve">; resumen 2/2.</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T10</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rama_judicial_emails_search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Ibagué · civil · despacho</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23 buzones.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T11</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rues_entity_by_nit</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860051894</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Matrícula activa desde 1977; EEFF 2013–2026 con valores atípicos; direcciones nulas.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T12</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supersociedades_largest_companies_search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sin filtros · 5</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Año fiscal 2025; Ecopetrol primero con ingresos de 100,59 billones.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T13</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simev_shareholders</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860051894</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5 accionistas al corte 2026-06-30; 19 cortes desde 2017; </w:t>
            </w:r>
            <w:r>
              <w:rPr>
                <w:rFonts w:ascii="Times New Roman" w:cs="Times New Roman" w:eastAsia="Times New Roman" w:hAnsi="Times New Roman"/>
                <w:b w:val="false"/>
                <w:bCs w:val="false"/>
                <w:i/>
                <w:iCs/>
                <w:color w:val="000000"/>
                <w:sz w:val="15"/>
                <w:szCs w:val="15"/>
              </w:rPr>
              <w:t xml:space="preserve">as_of</w:t>
            </w:r>
            <w:r>
              <w:rPr>
                <w:rFonts w:ascii="Times New Roman" w:cs="Times New Roman" w:eastAsia="Times New Roman" w:hAnsi="Times New Roman"/>
                <w:b w:val="false"/>
                <w:bCs w:val="false"/>
                <w:color w:val="000000"/>
                <w:sz w:val="15"/>
                <w:szCs w:val="15"/>
              </w:rPr>
              <w:t xml:space="preserve"> 2026-09-21.</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T14</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dian_trade_profile</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899999068</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Importador y exportador número 1 de 2017 a 2026.</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T15</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supersociedades_filing_ownership</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900276962</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Tres accionistas, una subordinada, administradores con documento.</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T16</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supersociedades_baranda_decisions_search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«desestimación de la personalidad jurídica»</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226 resultados encabezados por autos de inadmisión.</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T17</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supersociedades_insolvency_processes_search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reorganización con y sin fechas</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0 con fechas de admisión; «temporarily unavailable» sin fechas.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T18</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superfinanciera_regulations_search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SARLAFT · circular externa</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6 circulares; entidades HTML en descripciones.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T19</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dian_doctrina_search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factura electrónica requisitos · Conceptos</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153 resultados en vivo; </w:t>
            </w:r>
            <w:r>
              <w:rPr>
                <w:rFonts w:ascii="Times New Roman" w:cs="Times New Roman" w:eastAsia="Times New Roman" w:hAnsi="Times New Roman"/>
                <w:b w:val="false"/>
                <w:bCs w:val="false"/>
                <w:i/>
                <w:iCs/>
                <w:color w:val="000000"/>
                <w:sz w:val="15"/>
                <w:szCs w:val="15"/>
              </w:rPr>
              <w:t xml:space="preserve">capped: false</w:t>
            </w:r>
            <w:r>
              <w:rPr>
                <w:rFonts w:ascii="Times New Roman" w:cs="Times New Roman" w:eastAsia="Times New Roman" w:hAnsi="Times New Roman"/>
                <w:b w:val="false"/>
                <w:bCs w:val="false"/>
                <w:color w:val="000000"/>
                <w:sz w:val="15"/>
                <w:szCs w:val="15"/>
              </w:rPr>
              <w:t xml:space="preserve">.</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T20</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superfinanciera_doctrine_search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seguros no autorizados en tarjeta · fallos</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466 fallos jurisdiccionales.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T21</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supersociedades_companies_search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construcción · Antioquia</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461 sociedades con razones financieras; empleados en cero.</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T22</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supersociedades_relatoria_documents_search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acción social de responsabilidad · sentencias</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672 resultados; partes con documento «0000».</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T23</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secop_profile</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860051894</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Proveedor registrado sin contratos; datos de contacto incoherentes.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T24</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secop_modifications_search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2026 · value_desc</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as_of</w:t>
            </w:r>
            <w:r>
              <w:rPr>
                <w:rFonts w:ascii="Times New Roman" w:cs="Times New Roman" w:eastAsia="Times New Roman" w:hAnsi="Times New Roman"/>
                <w:b w:val="false"/>
                <w:bCs w:val="false"/>
                <w:color w:val="000000"/>
                <w:sz w:val="15"/>
                <w:szCs w:val="15"/>
              </w:rPr>
              <w:t xml:space="preserve"> 2026-09-03; adiciones de 2,88 × 10¹⁷ pesos.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T25</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secop_processes_search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software e IA · no adjudicados · desde sept.</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5 procesos abiertos, uno para suscribir una herramienta de IA.</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T26</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secop_contracts_search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NIT de entidad con y sin DV; texto</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0 y 0 por NIT; 6 por texto (entidad como contratista).</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T27</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secop_sanctions_search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2026</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12 registros, varios de prueba de la plataforma.</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T28</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secop_plans_search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inteligencia artificial · 2026</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13 planes; </w:t>
            </w:r>
            <w:r>
              <w:rPr>
                <w:rFonts w:ascii="Times New Roman" w:cs="Times New Roman" w:eastAsia="Times New Roman" w:hAnsi="Times New Roman"/>
                <w:b w:val="false"/>
                <w:bCs w:val="false"/>
                <w:i/>
                <w:iCs/>
                <w:color w:val="000000"/>
                <w:sz w:val="15"/>
                <w:szCs w:val="15"/>
              </w:rPr>
              <w:t xml:space="preserve">as_of</w:t>
            </w:r>
            <w:r>
              <w:rPr>
                <w:rFonts w:ascii="Times New Roman" w:cs="Times New Roman" w:eastAsia="Times New Roman" w:hAnsi="Times New Roman"/>
                <w:b w:val="false"/>
                <w:bCs w:val="false"/>
                <w:color w:val="000000"/>
                <w:sz w:val="15"/>
                <w:szCs w:val="15"/>
              </w:rPr>
              <w:t xml:space="preserve"> 2026-09-07; caracteres perdidos.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T29</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igac_cadastral_managers</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Villa de Leyva</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Gestor IGAC.</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T30</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igac_property_by_point</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Plaza principal de Villa de Leyva</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found: false</w:t>
            </w:r>
            <w:r>
              <w:rPr>
                <w:rFonts w:ascii="Times New Roman" w:cs="Times New Roman" w:eastAsia="Times New Roman" w:hAnsi="Times New Roman"/>
                <w:b w:val="false"/>
                <w:bCs w:val="false"/>
                <w:color w:val="000000"/>
                <w:sz w:val="15"/>
                <w:szCs w:val="15"/>
              </w:rPr>
              <w:t xml:space="preserve"> (espacio público).</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T31</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igac_municipal_statistics</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15407 · urbano</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9 años; catastro desactualizado desde 2013.</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T32</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invima_medicines_search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ACETAMINOFEN · activo</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Tope de 1.000 presentaciones.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T33</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igac_properties_search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15407 · comercial · urbano</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139 predios con áreas y construcciones.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T34</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igac_property</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número predial de 30 dígitos</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Lookup </w:t>
            </w:r>
            <w:r>
              <w:rPr>
                <w:rFonts w:ascii="Times New Roman" w:cs="Times New Roman" w:eastAsia="Times New Roman" w:hAnsi="Times New Roman"/>
                <w:b w:val="false"/>
                <w:bCs w:val="false"/>
                <w:i/>
                <w:iCs/>
                <w:color w:val="000000"/>
                <w:sz w:val="15"/>
                <w:szCs w:val="15"/>
              </w:rPr>
              <w:t xml:space="preserve">upstream</w:t>
            </w:r>
            <w:r>
              <w:rPr>
                <w:rFonts w:ascii="Times New Roman" w:cs="Times New Roman" w:eastAsia="Times New Roman" w:hAnsi="Times New Roman"/>
                <w:b w:val="false"/>
                <w:bCs w:val="false"/>
                <w:color w:val="000000"/>
                <w:sz w:val="15"/>
                <w:szCs w:val="15"/>
              </w:rPr>
              <w:t xml:space="preserve">; avalúo de 133.255.000 pesos; polígono.</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T35</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funcion_publica_norms_search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Ley 1581 de 2012</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Norma 49981 con tres decretos reglamentarios enlazados.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T36</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banrep_series</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serie 1 (TRM) desde 2026-10-01</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13 observaciones; valores repetidos en días no hábiles.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T37</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anm_notices_search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aviso · Medellín · 2026</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236 avisos con placas mineras.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T38</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imprenta_gaceta_documents_search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inteligencia artificial · proyecto</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23 documentos; el primero sobre presupuesto de regalías.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T39</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suit_procedures_search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licencia de construcción · 15407</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5 trámites con enlace a gov.co.</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T40</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creg_acts_search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comunidades energéticas · resolución</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574 resultados por coincidencia amplia.</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T41</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sic_ip_trademarks_search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RAPPI · Registrada</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15 marcas.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T42</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sic_sanctions_sanctions_search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comercio electrónico</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345 multas; la más reciente de mayo de 2026.</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T43</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sic_actos_acts_search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varias palabras vs. dos palabras</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0 frente a 306 resultados en la misma ventana.</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T44</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secop_contract y secop_contract_record</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contrato firmado el 2026-09-30</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Vista viva </w:t>
            </w:r>
            <w:r>
              <w:rPr>
                <w:rFonts w:ascii="Times New Roman" w:cs="Times New Roman" w:eastAsia="Times New Roman" w:hAnsi="Times New Roman"/>
                <w:b w:val="false"/>
                <w:bCs w:val="false"/>
                <w:i/>
                <w:iCs/>
                <w:color w:val="000000"/>
                <w:sz w:val="15"/>
                <w:szCs w:val="15"/>
              </w:rPr>
              <w:t xml:space="preserve">found: false</w:t>
            </w:r>
            <w:r>
              <w:rPr>
                <w:rFonts w:ascii="Times New Roman" w:cs="Times New Roman" w:eastAsia="Times New Roman" w:hAnsi="Times New Roman"/>
                <w:b w:val="false"/>
                <w:bCs w:val="false"/>
                <w:color w:val="000000"/>
                <w:sz w:val="15"/>
                <w:szCs w:val="15"/>
              </w:rPr>
              <w:t xml:space="preserve">; copia </w:t>
            </w:r>
            <w:r>
              <w:rPr>
                <w:rFonts w:ascii="Times New Roman" w:cs="Times New Roman" w:eastAsia="Times New Roman" w:hAnsi="Times New Roman"/>
                <w:b w:val="false"/>
                <w:bCs w:val="false"/>
                <w:i/>
                <w:iCs/>
                <w:color w:val="000000"/>
                <w:sz w:val="15"/>
                <w:szCs w:val="15"/>
              </w:rPr>
              <w:t xml:space="preserve">found: true</w:t>
            </w:r>
            <w:r>
              <w:rPr>
                <w:rFonts w:ascii="Times New Roman" w:cs="Times New Roman" w:eastAsia="Times New Roman" w:hAnsi="Times New Roman"/>
                <w:b w:val="false"/>
                <w:bCs w:val="false"/>
                <w:color w:val="000000"/>
                <w:sz w:val="15"/>
                <w:szCs w:val="15"/>
              </w:rPr>
              <w:t xml:space="preserve">.</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T45</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dian_muisca_list_connections</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Sin conexiones.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T46</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list_monitors</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monitors_not_enabled</w:t>
            </w:r>
            <w:r>
              <w:rPr>
                <w:rFonts w:ascii="Times New Roman" w:cs="Times New Roman" w:eastAsia="Times New Roman" w:hAnsi="Times New Roman"/>
                <w:b w:val="false"/>
                <w:bCs w:val="false"/>
                <w:color w:val="000000"/>
                <w:sz w:val="15"/>
                <w:szCs w:val="15"/>
              </w:rPr>
              <w:t xml:space="preserve"> (beta privada).</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T47</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dane_poverty</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pobreza monetaria · nacional</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28,0 % en 2025.</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T48</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terridata_indicators_search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índice de desempeño fiscal</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14 indicadores; índice antiguo hasta 2020 y nuevo desde 2020.</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T49</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siata_geoportal_air_quality</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Medellín</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15 estaciones; un valor centinela −999 clasificado como «Buena».</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T50</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gov_pages_search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apostilla en línea · Cancillería</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5 páginas.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T51</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rues_entity_by_nit</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1234</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found: false</w:t>
            </w:r>
            <w:r>
              <w:rPr>
                <w:rFonts w:ascii="Times New Roman" w:cs="Times New Roman" w:eastAsia="Times New Roman" w:hAnsi="Times New Roman"/>
                <w:b w:val="false"/>
                <w:bCs w:val="false"/>
                <w:color w:val="000000"/>
                <w:sz w:val="15"/>
                <w:szCs w:val="15"/>
              </w:rPr>
              <w:t xml:space="preserve"> con listas vacías.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T52</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generate_json y extract_json</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ficha T81620 de gov.co</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Esquema con unión de tipos rechazado; error interno con esquema simple y con esfuerzo máximo.</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T53</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generate_json</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pasos de apostilla en línea (Cancillería)</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Seis pasos y tarifas extraídos correctamente.</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T54</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research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¿qué es Croma y cuánto cuesta?</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Informe con ocho fuentes citadas, verificado contra la página de precios.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T55</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rama_judicial_cases_by_radicado</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«123»</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Error MCP −32602 antes de consultar la fuente.</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T56</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sic_ip_trademarks_by_owner</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860051894</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43 marcas, resuelto en línea pese a ser asíncrono.</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T57</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corte_constitucional_ruling</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SU-424/21 · limit 1.500</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337.817 caracteres totales; texto inicial truncado.</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T58</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supersociedades_insolvency_processes_search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reintento</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Persistió «temporarily unavailable».</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T59</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5"/>
                <w:szCs w:val="15"/>
              </w:rPr>
              <w:t xml:space="preserve">icfes_saber11_schools_search</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05001 · 2022-2 · oficial</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221 colegios ordenados por puntaje.</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T60</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5"/>
                <w:szCs w:val="15"/>
              </w:rPr>
              <w:t xml:space="preserve">siata_geoportal_alerts</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Sin alertas activas.</w:t>
            </w:r>
          </w:p>
        </w:tc>
      </w:tr>
      <w:tr>
        <w:trPr>
          <w:cantSplit/>
        </w:trPr>
        <w:tc>
          <w:tcPr>
            <w:tcW w:type="dxa" w:w="5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T61</w:t>
            </w:r>
          </w:p>
        </w:tc>
        <w:tc>
          <w:tcPr>
            <w:tcW w:type="dxa" w:w="29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consejo_estado_providencia</w:t>
            </w:r>
          </w:p>
        </w:tc>
        <w:tc>
          <w:tcPr>
            <w:tcW w:type="dxa" w:w="22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permalink de la relatoría</w:t>
            </w:r>
          </w:p>
        </w:tc>
        <w:tc>
          <w:tcPr>
            <w:tcW w:type="dxa" w:w="364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71.816 caracteres sin paginar; metadatos nulos.</w:t>
            </w:r>
          </w:p>
        </w:tc>
      </w:tr>
    </w:tbl>
    <w:p>
      <w:pPr>
        <w:spacing w:after="200" w:before="60" w:line="240"/>
        <w:jc w:val="left"/>
      </w:pPr>
    </w:p>
    <w:p>
      <w:pPr>
        <w:pStyle w:val="Heading1"/>
        <w:keepNext/>
        <w:keepLines/>
        <w:pageBreakBefore/>
        <w:spacing w:after="160" w:before="0" w:line="240"/>
        <w:jc w:val="left"/>
      </w:pPr>
      <w:r>
        <w:rPr>
          <w:rFonts w:ascii="Times New Roman" w:cs="Times New Roman" w:eastAsia="Times New Roman" w:hAnsi="Times New Roman"/>
          <w:b/>
          <w:bCs/>
          <w:color w:val="000000"/>
          <w:sz w:val="26"/>
          <w:szCs w:val="26"/>
        </w:rPr>
        <w:t xml:space="preserve">ANEXO D. CATÁLOGO DE LOS 172 ENDPOINTS DE COLOMBIA</w:t>
      </w:r>
    </w:p>
    <w:p>
      <w:pPr>
        <w:spacing w:after="120" w:before="0" w:line="276"/>
        <w:jc w:val="both"/>
      </w:pPr>
      <w:r>
        <w:rPr>
          <w:rFonts w:ascii="Times New Roman" w:cs="Times New Roman" w:eastAsia="Times New Roman" w:hAnsi="Times New Roman"/>
          <w:color w:val="000000"/>
          <w:sz w:val="23"/>
          <w:szCs w:val="23"/>
        </w:rPr>
        <w:t xml:space="preserve">Listado completo de las herramientas MCP colombianas, agrupadas por dominio, con su modo de respuesta y si son asíncronas. La ruta REST de cada herramienta es </w:t>
      </w:r>
      <w:r>
        <w:rPr>
          <w:rFonts w:ascii="Times New Roman" w:cs="Times New Roman" w:eastAsia="Times New Roman" w:hAnsi="Times New Roman"/>
          <w:i/>
          <w:iCs/>
          <w:color w:val="000000"/>
          <w:sz w:val="23"/>
          <w:szCs w:val="23"/>
        </w:rPr>
        <w:t xml:space="preserve">/co/{familia}/{endpoint}/v1</w:t>
      </w:r>
      <w:r>
        <w:rPr>
          <w:rFonts w:ascii="Times New Roman" w:cs="Times New Roman" w:eastAsia="Times New Roman" w:hAnsi="Times New Roman"/>
          <w:color w:val="000000"/>
          <w:sz w:val="23"/>
          <w:szCs w:val="23"/>
        </w:rPr>
        <w:t xml:space="preserve">.</w:t>
      </w:r>
    </w:p>
    <w:p>
      <w:pPr>
        <w:keepNext/>
        <w:spacing w:after="80" w:before="200" w:line="240"/>
        <w:jc w:val="left"/>
      </w:pPr>
      <w:r>
        <w:rPr>
          <w:rFonts w:ascii="Times New Roman" w:cs="Times New Roman" w:eastAsia="Times New Roman" w:hAnsi="Times New Roman"/>
          <w:b/>
          <w:bCs/>
          <w:color w:val="000000"/>
          <w:sz w:val="20"/>
          <w:szCs w:val="20"/>
        </w:rPr>
        <w:t xml:space="preserve">Tabla 42. </w:t>
      </w:r>
      <w:r>
        <w:rPr>
          <w:rFonts w:ascii="Times New Roman" w:cs="Times New Roman" w:eastAsia="Times New Roman" w:hAnsi="Times New Roman"/>
          <w:i/>
          <w:iCs/>
          <w:color w:val="000000"/>
          <w:sz w:val="20"/>
          <w:szCs w:val="20"/>
        </w:rPr>
        <w:t xml:space="preserve">Catálogo de endpoints colombianos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42"/>
        <w:gridCol w:w="2199"/>
        <w:gridCol w:w="1588"/>
        <w:gridCol w:w="977"/>
      </w:tblGrid>
      <w:tr>
        <w:trPr>
          <w:cantSplit/>
          <w:tblHeader/>
        </w:trPr>
        <w:tc>
          <w:tcPr>
            <w:tcW w:type="dxa" w:w="4642"/>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Herramienta MCP</w:t>
            </w:r>
          </w:p>
        </w:tc>
        <w:tc>
          <w:tcPr>
            <w:tcW w:type="dxa" w:w="2199"/>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Familia</w:t>
            </w:r>
          </w:p>
        </w:tc>
        <w:tc>
          <w:tcPr>
            <w:tcW w:type="dxa" w:w="1588"/>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Modo</w:t>
            </w:r>
          </w:p>
        </w:tc>
        <w:tc>
          <w:tcPr>
            <w:tcW w:type="dxa" w:w="977"/>
            <w:tcBorders>
              <w:top w:val="single" w:color="8C8C8C" w:sz="4"/>
              <w:left w:val="single" w:color="8C8C8C" w:sz="4"/>
              <w:bottom w:val="single" w:color="8C8C8C" w:sz="4"/>
              <w:right w:val="single" w:color="8C8C8C" w:sz="4"/>
            </w:tcBorders>
            <w:shd w:fill="E6E6E6" w:color="auto" w:val="clear"/>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Asíncrono</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bCs/>
                <w:color w:val="000000"/>
                <w:sz w:val="15"/>
                <w:szCs w:val="15"/>
              </w:rPr>
              <w:t xml:space="preserve">Justicia y jurisprudencia · 20 endpoints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5"/>
                <w:szCs w:val="15"/>
              </w:rPr>
              <w:t xml:space="preserve">rama_judicial_cases_by_entity</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rama-judicial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rama_judicial_cases_by_radicado</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rama-judicial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rama_judicial_cases_by_radicado_batch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rama-judicial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lote</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rama_judicial_emails_search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rama-judicial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rama_judicial_emails_by_court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rama-judicial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cndj_rulings_search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cndj</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cndj_ruling</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cndj</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fiscalia_case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fiscalia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samai_processes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samai</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samai_corporaciones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samai</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samai_secciones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samai</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samai_rulings_search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samai-rulings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samai_rulings_ruling</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samai-rulings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consejo_estado_search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consejo-estado</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consejo_estado_providencia</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consejo-estado</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corte_constitucional_rulings_search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corte-constitucional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corte_constitucional_ruling</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corte-constitucional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corte_suprema_rulings_search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corte-suprema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corte_suprema_ruling</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corte-suprema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sicaac_insolvency_cases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sicaac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bCs/>
                <w:color w:val="000000"/>
                <w:sz w:val="15"/>
                <w:szCs w:val="15"/>
              </w:rPr>
              <w:t xml:space="preserve">Empresas y mercado de valores · 30 endpoints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rues_entities_by_name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rues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rues_entity_by_nit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rues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supersociedades_shareholders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supersociedades_financial_statements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supersociedades_companies_search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supersociedades_company</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supersociedades_filing_statements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supersociedades_ownership_search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supersociedades_filing_ownership</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supersociedades_filing_disclosures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supersociedades_insolvency_processes_search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supersociedades_largest_companies_search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supersociedades_supervised_entities_search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supersociedades_baranda_publications_search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supersociedades-baranda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supersociedades_baranda_publication</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supersociedades-baranda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supersociedades_baranda_decisions_search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supersociedades-baranda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supersociedades_baranda_decision</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supersociedades-baranda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supersociedades_baranda_company_file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supersociedades-baranda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supersociedades_baranda_company_search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supersociedades-baranda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supersociedades_baranda_filing</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supersociedades-baranda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supersociedades_relatoria_documents_search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supersociedades-relatoria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supersociedades_relatoria_document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supersociedades-relatoria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supersociedades_relatoria_historical_rulings_search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supersociedades-relatoria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supersociedades_relatoria_opinion_files_search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supersociedades-relatoria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supersociedades_relatoria_bulletins_search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supersociedades-relatoria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supersociedades_relatoria_notices_search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supersociedades-relatoria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supersociedades_relatoria_notice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supersociedades-relatoria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simev_shareholders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simev</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dian_trade_directory_search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dian-trade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dian_trade_profile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dian-trade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bCs/>
                <w:color w:val="000000"/>
                <w:sz w:val="15"/>
                <w:szCs w:val="15"/>
              </w:rPr>
              <w:t xml:space="preserve">Contratación pública · 18 endpoints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secop_process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secop_contracts_by_provider</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 (deprecado)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secop_processes_by_entity</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 (deprecado)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secop_contract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secop_sanctions_by_provider</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 (deprecado)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secop_processes_search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secop_contracts_search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secop_modifications_search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secop_suppliers_search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secop_bidders_search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secop_sanctions_search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secop_plans_search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secop_profile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secop_awards_search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secop_process_record</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secop_contract_record</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secop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ancp_cce_conceptos_search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ancp-cce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ancp_cce_concepto</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ancp-cce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bCs/>
                <w:color w:val="000000"/>
                <w:sz w:val="15"/>
                <w:szCs w:val="15"/>
              </w:rPr>
              <w:t xml:space="preserve">Verificación de personas · 10 endpoints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registraduria_vital_status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registraduria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registro_civil_birth_record</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registro-civil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ruaf_affiliations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ruaf</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policia_criminal_records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policia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procuraduria_disciplinary_records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procuraduria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contraloria_fiscal_records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contraloria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contaduria_state_delinquent_debtors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contaduria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adres_affiliation_status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adres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dnp_social_classification</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dnp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dnp_sisben_offices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dnp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bCs/>
                <w:color w:val="000000"/>
                <w:sz w:val="15"/>
                <w:szCs w:val="15"/>
              </w:rPr>
              <w:t xml:space="preserve">Vehículos y tránsito · 5 endpoints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runt_vehicle_by_plate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runt</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runt_vehicle_history_by_plate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runt</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runt_citizen_by_document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runt</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runt_citizen_by_plate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runt</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simit_account_status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simit</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bCs/>
                <w:color w:val="000000"/>
                <w:sz w:val="15"/>
                <w:szCs w:val="15"/>
              </w:rPr>
              <w:t xml:space="preserve">Tributario y finanzas del titular · 7 endpoints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dian_doctrina_search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dian</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dian_doctrina_document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dian</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dian_electronic_document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dian</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dian_muisca_electronic_invoices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dian-muisca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dian_muisca_third_party_reports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dian-muisca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bancolombia_accounts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bancolombia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bancolombia_transactions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bancolombia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bCs/>
                <w:color w:val="000000"/>
                <w:sz w:val="15"/>
                <w:szCs w:val="15"/>
              </w:rPr>
              <w:t xml:space="preserve">Regulación y normativa · 17 endpoints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funcion_publica_norms_search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funcion-publica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funcion_publica_norm</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funcion-publica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imprenta_gaceta_documents_search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imprenta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imprenta_gaceta_document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imprenta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imprenta_gacetas_search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imprenta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imprenta_diarios_search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imprenta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superfinanciera_regulations_search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superfinanciera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superfinanciera_regulation</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superfinanciera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superfinanciera_complaints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superfinanciera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superfinanciera_doctrine_search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superfinanciera-doctrine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superfinanciera_doctrine_entry</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superfinanciera-doctrine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creg_acts_search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creg</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creg_act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creg</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sic_normativa_regulations_search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sic-normativa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sic_normativa_regulation</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sic-normativa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sic_normativa_bulletins_search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sic-normativa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sic_normativa_bulletin</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sic-normativa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bCs/>
                <w:color w:val="000000"/>
                <w:sz w:val="15"/>
                <w:szCs w:val="15"/>
              </w:rPr>
              <w:t xml:space="preserve">SIC: consumidor y propiedad industrial · 15 endpoints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sic_sanctions_sanctions_search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sic-sanctions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sic_actos_acts_search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sic-actos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sic_actos_act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sic-actos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sic_tramites_case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sic-tramites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sic_gazette_entries_search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sic-gazette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sic_gazette_issues_search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sic-gazette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sic_gazette_issue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sic-gazette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sic_ip_trademarks_search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sic-ip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sic_ip_patents_search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sic-ip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sic_ip_designs_search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sic-ip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sic_ip_resolutions_search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sic-ip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sic_ip_trademark</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sic-ip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lookup</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sic_ip_patent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sic-ip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lookup</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sic_ip_design</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sic-ip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lookup</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sic_ip_trademarks_by_owner</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sic-ip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Sí</w:t>
            </w: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bCs/>
                <w:color w:val="000000"/>
                <w:sz w:val="15"/>
                <w:szCs w:val="15"/>
              </w:rPr>
              <w:t xml:space="preserve">Territorio y catastro (IGAC) · 15 endpoints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igac_properties_search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igac_property</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lookup</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igac_property_by_point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lookup</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igac_parcel</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igac_parcels_search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igac_buildings_by_property</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igac_blocks_search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igac_rural_districts_search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igac_sectors_search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igac_economic_zones_search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igac_physical_zones_search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igac_municipal_statistics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igac_cadastral_managers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igac_address_plates_by_property</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igac_street_names_search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igac</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bCs/>
                <w:color w:val="000000"/>
                <w:sz w:val="15"/>
                <w:szCs w:val="15"/>
              </w:rPr>
              <w:t xml:space="preserve">Estadística y macroeconomía · 14 endpoints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dane_labour_market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dane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dane_poverty</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dane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dane_municipal_ipm</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dane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dane_census_municipalities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dane</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banrep_series_search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banrep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banrep_series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banrep</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banrep_research_publications_search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banrep-research</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banrep_research_publication</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banrep-research</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terridata_indicators_search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terridata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terridata_series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terridata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terridata_ranking</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terridata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icfes_saber11_schools_search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icfes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icfes_saber11_strata_search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icfes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mineducacion_indicators_search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mineducacion</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bCs/>
                <w:color w:val="000000"/>
                <w:sz w:val="15"/>
                <w:szCs w:val="15"/>
              </w:rPr>
              <w:t xml:space="preserve">Sectoriales: salud, minería y ambiente · 17 endpoints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invima_registrations_search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invima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invima_registration</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invima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invima_medicines_search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invima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invima_medicine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invima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anm_notices_search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anm</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anm_notice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anm</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siata_conditions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siata</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 (deprecado)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siata_geoportal_weather</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siata-geoportal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siata_geoportal_weather_series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siata-geoportal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siata_geoportal_river_levels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siata-geoportal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siata_geoportal_rainfall</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siata-geoportal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siata_geoportal_air_quality</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siata-geoportal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siata_geoportal_citizen_sensors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siata-geoportal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siata_geoportal_forecast</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siata-geoportal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siata_geoportal_alerts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siata-geoportal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siata_geoportal_seismic_events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siata-geoportal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siata_geoportal_cameras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siata-geoportal</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vivo</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bCs/>
                <w:color w:val="000000"/>
                <w:sz w:val="15"/>
                <w:szCs w:val="15"/>
              </w:rPr>
              <w:t xml:space="preserve">Trámites del Estado · 4 endpoints</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i/>
                <w:iCs/>
                <w:color w:val="000000"/>
                <w:sz w:val="15"/>
                <w:szCs w:val="15"/>
              </w:rPr>
              <w:t xml:space="preserve">suit_procedures_search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left"/>
            </w:pPr>
            <w:r>
              <w:rPr>
                <w:rFonts w:ascii="Times New Roman" w:cs="Times New Roman" w:eastAsia="Times New Roman" w:hAnsi="Times New Roman"/>
                <w:b w:val="false"/>
                <w:bCs w:val="false"/>
                <w:color w:val="000000"/>
                <w:sz w:val="15"/>
                <w:szCs w:val="15"/>
              </w:rPr>
              <w:t xml:space="preserve">suit</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val="false"/>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5"/>
                <w:szCs w:val="15"/>
              </w:rPr>
              <w:t xml:space="preserve">suit_procedure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suit</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5"/>
                <w:szCs w:val="15"/>
              </w:rPr>
              <w:t xml:space="preserve">gov_pages_search</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gov-pages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p>
        </w:tc>
      </w:tr>
      <w:tr>
        <w:trPr>
          <w:cantSplit/>
        </w:trPr>
        <w:tc>
          <w:tcPr>
            <w:tcW w:type="dxa" w:w="46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i/>
                <w:iCs/>
                <w:color w:val="000000"/>
                <w:sz w:val="15"/>
                <w:szCs w:val="15"/>
              </w:rPr>
              <w:t xml:space="preserve">gov_pages_page</w:t>
            </w:r>
          </w:p>
        </w:tc>
        <w:tc>
          <w:tcPr>
            <w:tcW w:type="dxa" w:w="219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left"/>
            </w:pPr>
            <w:r>
              <w:rPr>
                <w:rFonts w:ascii="Times New Roman" w:cs="Times New Roman" w:eastAsia="Times New Roman" w:hAnsi="Times New Roman"/>
                <w:b w:val="false"/>
                <w:bCs w:val="false"/>
                <w:color w:val="000000"/>
                <w:sz w:val="15"/>
                <w:szCs w:val="15"/>
              </w:rPr>
              <w:t xml:space="preserve">gov-pages</w:t>
            </w:r>
          </w:p>
        </w:tc>
        <w:tc>
          <w:tcPr>
            <w:tcW w:type="dxa" w:w="158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r>
              <w:rPr>
                <w:rFonts w:ascii="Times New Roman" w:cs="Times New Roman" w:eastAsia="Times New Roman" w:hAnsi="Times New Roman"/>
                <w:b w:val="false"/>
                <w:bCs w:val="false"/>
                <w:color w:val="000000"/>
                <w:sz w:val="15"/>
                <w:szCs w:val="15"/>
              </w:rPr>
              <w:t xml:space="preserve">dataset</w:t>
            </w:r>
          </w:p>
        </w:tc>
        <w:tc>
          <w:tcPr>
            <w:tcW w:type="dxa" w:w="9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keepNext/>
              <w:keepLines/>
              <w:spacing w:after="0" w:line="240"/>
              <w:jc w:val="center"/>
            </w:pPr>
          </w:p>
        </w:tc>
      </w:tr>
    </w:tbl>
    <w:p>
      <w:pPr>
        <w:spacing w:after="200" w:before="60" w:line="240"/>
        <w:jc w:val="left"/>
      </w:pPr>
      <w:r>
        <w:rPr>
          <w:rFonts w:ascii="Times New Roman" w:cs="Times New Roman" w:eastAsia="Times New Roman" w:hAnsi="Times New Roman"/>
          <w:i/>
          <w:iCs/>
          <w:color w:val="000000"/>
          <w:sz w:val="18"/>
          <w:szCs w:val="18"/>
        </w:rPr>
        <w:t xml:space="preserve">Nota.</w:t>
      </w:r>
      <w:r>
        <w:rPr>
          <w:rFonts w:ascii="Times New Roman" w:cs="Times New Roman" w:eastAsia="Times New Roman" w:hAnsi="Times New Roman"/>
          <w:color w:val="000000"/>
          <w:sz w:val="18"/>
          <w:szCs w:val="18"/>
        </w:rPr>
        <w:t xml:space="preserve"> Elaboración propia a partir de la Agent Skill oficial y de la tabla de fuentes servidas desde dataset. Los endpoints de Supersociedades que la página de fuentes monitoreables trata como consulta en vivo (estados financieros, vinculados y notas) se clasifican aquí como dataset, según la página de datasets.</w:t>
      </w:r>
    </w:p>
    <w:sectPr>
      <w:headerReference w:type="default" r:id="rId7"/>
      <w:footerReference w:type="default" r:id="rId8"/>
      <w:pgSz w:w="12240" w:h="15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Pagina"/>
      <w:jc w:val="center"/>
    </w:pPr>
    <w:r>
      <w:rPr>
        <w:rFonts w:ascii="Times New Roman" w:cs="Times New Roman" w:eastAsia="Times New Roman" w:hAnsi="Times New Roman"/>
        <w:color w:val="000000"/>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Introducción</w:t>
      </w:r>
      <w:r>
        <w:rPr>
          <w:rFonts w:ascii="Times New Roman" w:cs="Times New Roman" w:eastAsia="Times New Roman" w:hAnsi="Times New Roman"/>
          <w:color w:val="000000"/>
          <w:sz w:val="18"/>
          <w:szCs w:val="18"/>
        </w:rPr>
        <w:t xml:space="preserve">, párrafo inicial. https://docs.usecroma.com/es/introduction</w:t>
      </w:r>
    </w:p>
  </w:footnote>
  <w:footnote w:id="2">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sección «Endpoint catalog › Colombia». https://usecroma.com/.well-known/agent-skills/croma-api/SKILL.md</w:t>
      </w:r>
    </w:p>
  </w:footnote>
  <w:footnote w:id="3">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Datos oficiales de Colombia por API</w:t>
      </w:r>
      <w:r>
        <w:rPr>
          <w:rFonts w:ascii="Times New Roman" w:cs="Times New Roman" w:eastAsia="Times New Roman" w:hAnsi="Times New Roman"/>
          <w:color w:val="000000"/>
          <w:sz w:val="18"/>
          <w:szCs w:val="18"/>
        </w:rPr>
        <w:t xml:space="preserve">, sección «Ley 1581 de 2012 y datos públicos». https://usecroma.com/es/co</w:t>
      </w:r>
    </w:p>
  </w:footnote>
  <w:footnote w:id="4">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About Croma: the API for government data</w:t>
      </w:r>
      <w:r>
        <w:rPr>
          <w:rFonts w:ascii="Times New Roman" w:cs="Times New Roman" w:eastAsia="Times New Roman" w:hAnsi="Times New Roman"/>
          <w:color w:val="000000"/>
          <w:sz w:val="18"/>
          <w:szCs w:val="18"/>
        </w:rPr>
        <w:t xml:space="preserve">, sección «What Croma is». https://usecroma.com/en/about</w:t>
      </w:r>
    </w:p>
  </w:footnote>
  <w:footnote w:id="5">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About Croma: the API for government data</w:t>
      </w:r>
      <w:r>
        <w:rPr>
          <w:rFonts w:ascii="Times New Roman" w:cs="Times New Roman" w:eastAsia="Times New Roman" w:hAnsi="Times New Roman"/>
          <w:color w:val="000000"/>
          <w:sz w:val="18"/>
          <w:szCs w:val="18"/>
        </w:rPr>
        <w:t xml:space="preserve">, secciones «How we treat the data» y «Who builds it». https://usecroma.com/en/about</w:t>
      </w:r>
    </w:p>
  </w:footnote>
  <w:footnote w:id="6">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Introducción</w:t>
      </w:r>
      <w:r>
        <w:rPr>
          <w:rFonts w:ascii="Times New Roman" w:cs="Times New Roman" w:eastAsia="Times New Roman" w:hAnsi="Times New Roman"/>
          <w:color w:val="000000"/>
          <w:sz w:val="18"/>
          <w:szCs w:val="18"/>
        </w:rPr>
        <w:t xml:space="preserve">, sección «Qué puedes consultar». https://docs.usecroma.com/es/introduction</w:t>
      </w:r>
    </w:p>
  </w:footnote>
  <w:footnote w:id="7">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Servidor MCP de Croma: datos de gobierno en tu asistente</w:t>
      </w:r>
      <w:r>
        <w:rPr>
          <w:rFonts w:ascii="Times New Roman" w:cs="Times New Roman" w:eastAsia="Times New Roman" w:hAnsi="Times New Roman"/>
          <w:color w:val="000000"/>
          <w:sz w:val="18"/>
          <w:szCs w:val="18"/>
        </w:rPr>
        <w:t xml:space="preserve">, encabezado. https://usecroma.com/es/mcp</w:t>
      </w:r>
    </w:p>
  </w:footnote>
  <w:footnote w:id="8">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MCP</w:t>
      </w:r>
      <w:r>
        <w:rPr>
          <w:rFonts w:ascii="Times New Roman" w:cs="Times New Roman" w:eastAsia="Times New Roman" w:hAnsi="Times New Roman"/>
          <w:color w:val="000000"/>
          <w:sz w:val="18"/>
          <w:szCs w:val="18"/>
        </w:rPr>
        <w:t xml:space="preserve">, sección «Nombres de las herramientas». https://docs.usecroma.com/es/mcp-server</w:t>
      </w:r>
    </w:p>
  </w:footnote>
  <w:footnote w:id="9">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Autenticación</w:t>
      </w:r>
      <w:r>
        <w:rPr>
          <w:rFonts w:ascii="Times New Roman" w:cs="Times New Roman" w:eastAsia="Times New Roman" w:hAnsi="Times New Roman"/>
          <w:color w:val="000000"/>
          <w:sz w:val="18"/>
          <w:szCs w:val="18"/>
        </w:rPr>
        <w:t xml:space="preserve">, sección «Las llaves pertenecen a una organización». https://docs.usecroma.com/es/authentication</w:t>
      </w:r>
    </w:p>
  </w:footnote>
  <w:footnote w:id="10">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Límites de tasa</w:t>
      </w:r>
      <w:r>
        <w:rPr>
          <w:rFonts w:ascii="Times New Roman" w:cs="Times New Roman" w:eastAsia="Times New Roman" w:hAnsi="Times New Roman"/>
          <w:color w:val="000000"/>
          <w:sz w:val="18"/>
          <w:szCs w:val="18"/>
        </w:rPr>
        <w:t xml:space="preserve">, sección «Un cupo por organización». https://docs.usecroma.com/es/rate-limits</w:t>
      </w:r>
    </w:p>
  </w:footnote>
  <w:footnote w:id="11">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Datasets</w:t>
      </w:r>
      <w:r>
        <w:rPr>
          <w:rFonts w:ascii="Times New Roman" w:cs="Times New Roman" w:eastAsia="Times New Roman" w:hAnsi="Times New Roman"/>
          <w:color w:val="000000"/>
          <w:sz w:val="18"/>
          <w:szCs w:val="18"/>
        </w:rPr>
        <w:t xml:space="preserve">, sección «as_of». https://docs.usecroma.com/es/datasets</w:t>
      </w:r>
    </w:p>
  </w:footnote>
  <w:footnote w:id="12">
    <w:p>
      <w:pPr>
        <w:spacing w:after="40" w:line="240"/>
      </w:pPr>
      <w:r>
        <w:rPr>
          <w:rStyle w:val="FootnoteReference"/>
        </w:rPr>
        <w:footnoteRef/>
      </w:r>
      <w:r>
        <w:rPr>
          <w:rFonts w:ascii="Times New Roman" w:cs="Times New Roman" w:eastAsia="Times New Roman" w:hAnsi="Times New Roman"/>
          <w:color w:val="000000"/>
          <w:sz w:val="18"/>
          <w:szCs w:val="18"/>
        </w:rPr>
        <w:t xml:space="preserve">Pruebas T17, T58 ejecutadas por el autor el 12 de octubre de 2026 mediante el servidor MCP de Croma (registro completo en el Anexo C): </w:t>
      </w:r>
      <w:r>
        <w:rPr>
          <w:rFonts w:ascii="Times New Roman" w:cs="Times New Roman" w:eastAsia="Times New Roman" w:hAnsi="Times New Roman"/>
          <w:i/>
          <w:iCs/>
          <w:color w:val="000000"/>
          <w:sz w:val="18"/>
          <w:szCs w:val="18"/>
        </w:rPr>
        <w:t xml:space="preserve">supersociedades_insolvency_processes_search</w:t>
      </w:r>
      <w:r>
        <w:rPr>
          <w:rFonts w:ascii="Times New Roman" w:cs="Times New Roman" w:eastAsia="Times New Roman" w:hAnsi="Times New Roman"/>
          <w:color w:val="000000"/>
          <w:sz w:val="18"/>
          <w:szCs w:val="18"/>
        </w:rPr>
        <w:t xml:space="preserve"> respondió «Supersociedades is temporarily unavailable right now».</w:t>
      </w:r>
    </w:p>
  </w:footnote>
  <w:footnote w:id="13">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Datasets</w:t>
      </w:r>
      <w:r>
        <w:rPr>
          <w:rFonts w:ascii="Times New Roman" w:cs="Times New Roman" w:eastAsia="Times New Roman" w:hAnsi="Times New Roman"/>
          <w:color w:val="000000"/>
          <w:sz w:val="18"/>
          <w:szCs w:val="18"/>
        </w:rPr>
        <w:t xml:space="preserve">, sección «Lookups». https://docs.usecroma.com/es/datasets</w:t>
      </w:r>
    </w:p>
  </w:footnote>
  <w:footnote w:id="14">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Inicio rápido</w:t>
      </w:r>
      <w:r>
        <w:rPr>
          <w:rFonts w:ascii="Times New Roman" w:cs="Times New Roman" w:eastAsia="Times New Roman" w:hAnsi="Times New Roman"/>
          <w:color w:val="000000"/>
          <w:sz w:val="18"/>
          <w:szCs w:val="18"/>
        </w:rPr>
        <w:t xml:space="preserve">, sección «Lee la respuesta». https://docs.usecroma.com/es/quickstart</w:t>
      </w:r>
    </w:p>
  </w:footnote>
  <w:footnote w:id="15">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Errores</w:t>
      </w:r>
      <w:r>
        <w:rPr>
          <w:rFonts w:ascii="Times New Roman" w:cs="Times New Roman" w:eastAsia="Times New Roman" w:hAnsi="Times New Roman"/>
          <w:color w:val="000000"/>
          <w:sz w:val="18"/>
          <w:szCs w:val="18"/>
        </w:rPr>
        <w:t xml:space="preserve">, sección «Sobre». https://docs.usecroma.com/es/errors</w:t>
      </w:r>
    </w:p>
  </w:footnote>
  <w:footnote w:id="16">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Trabajos asíncronos</w:t>
      </w:r>
      <w:r>
        <w:rPr>
          <w:rFonts w:ascii="Times New Roman" w:cs="Times New Roman" w:eastAsia="Times New Roman" w:hAnsi="Times New Roman"/>
          <w:color w:val="000000"/>
          <w:sz w:val="18"/>
          <w:szCs w:val="18"/>
        </w:rPr>
        <w:t xml:space="preserve">, sección «¿Qué endpoints son asíncronos?». https://docs.usecroma.com/es/async-jobs</w:t>
      </w:r>
    </w:p>
  </w:footnote>
  <w:footnote w:id="17">
    <w:p>
      <w:pPr>
        <w:spacing w:after="40" w:line="240"/>
      </w:pPr>
      <w:r>
        <w:rPr>
          <w:rStyle w:val="FootnoteReference"/>
        </w:rPr>
        <w:footnoteRef/>
      </w:r>
      <w:r>
        <w:rPr>
          <w:rFonts w:ascii="Times New Roman" w:cs="Times New Roman" w:eastAsia="Times New Roman" w:hAnsi="Times New Roman"/>
          <w:color w:val="000000"/>
          <w:sz w:val="18"/>
          <w:szCs w:val="18"/>
        </w:rPr>
        <w:t xml:space="preserve">Pruebas T56, T61 ejecutadas por el autor el 12 de octubre de 2026 mediante el servidor MCP de Croma (registro completo en el Anexo C): ambas herramientas asíncronas devolvieron el resultado completo sin estado intermedio.</w:t>
      </w:r>
    </w:p>
  </w:footnote>
  <w:footnote w:id="18">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Solicitudes en lote</w:t>
      </w:r>
      <w:r>
        <w:rPr>
          <w:rFonts w:ascii="Times New Roman" w:cs="Times New Roman" w:eastAsia="Times New Roman" w:hAnsi="Times New Roman"/>
          <w:color w:val="000000"/>
          <w:sz w:val="18"/>
          <w:szCs w:val="18"/>
        </w:rPr>
        <w:t xml:space="preserve">, secciones «Fallas parciales» y «Límites y comportamiento». https://docs.usecroma.com/es/batch</w:t>
      </w:r>
    </w:p>
  </w:footnote>
  <w:footnote w:id="19">
    <w:p>
      <w:pPr>
        <w:spacing w:after="40" w:line="240"/>
      </w:pPr>
      <w:r>
        <w:rPr>
          <w:rStyle w:val="FootnoteReference"/>
        </w:rPr>
        <w:footnoteRef/>
      </w:r>
      <w:r>
        <w:rPr>
          <w:rFonts w:ascii="Times New Roman" w:cs="Times New Roman" w:eastAsia="Times New Roman" w:hAnsi="Times New Roman"/>
          <w:color w:val="000000"/>
          <w:sz w:val="18"/>
          <w:szCs w:val="18"/>
        </w:rPr>
        <w:t xml:space="preserve">Prueba T09 ejecutada por el autor el 12 de octubre de 2026 mediante el servidor MCP de Croma (registro completo en el Anexo C): lote con un radicado existente y uno inexistente: ambos ítems «completed», el segundo con </w:t>
      </w:r>
      <w:r>
        <w:rPr>
          <w:rFonts w:ascii="Times New Roman" w:cs="Times New Roman" w:eastAsia="Times New Roman" w:hAnsi="Times New Roman"/>
          <w:i/>
          <w:iCs/>
          <w:color w:val="000000"/>
          <w:sz w:val="18"/>
          <w:szCs w:val="18"/>
        </w:rPr>
        <w:t xml:space="preserve">found: false</w:t>
      </w:r>
      <w:r>
        <w:rPr>
          <w:rFonts w:ascii="Times New Roman" w:cs="Times New Roman" w:eastAsia="Times New Roman" w:hAnsi="Times New Roman"/>
          <w:color w:val="000000"/>
          <w:sz w:val="18"/>
          <w:szCs w:val="18"/>
        </w:rPr>
        <w:t xml:space="preserve">.</w:t>
      </w:r>
    </w:p>
  </w:footnote>
  <w:footnote w:id="20">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Consultas en vivo</w:t>
      </w:r>
      <w:r>
        <w:rPr>
          <w:rFonts w:ascii="Times New Roman" w:cs="Times New Roman" w:eastAsia="Times New Roman" w:hAnsi="Times New Roman"/>
          <w:color w:val="000000"/>
          <w:sz w:val="18"/>
          <w:szCs w:val="18"/>
        </w:rPr>
        <w:t xml:space="preserve">, sección «Latencia». https://docs.usecroma.com/es/live-lookups</w:t>
      </w:r>
    </w:p>
  </w:footnote>
  <w:footnote w:id="21">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Créditos</w:t>
      </w:r>
      <w:r>
        <w:rPr>
          <w:rFonts w:ascii="Times New Roman" w:cs="Times New Roman" w:eastAsia="Times New Roman" w:hAnsi="Times New Roman"/>
          <w:color w:val="000000"/>
          <w:sz w:val="18"/>
          <w:szCs w:val="18"/>
        </w:rPr>
        <w:t xml:space="preserve">, tabla «Solicitud | Créditos» y sección «Qué no consume nada». https://docs.usecroma.com/es/credits</w:t>
      </w:r>
    </w:p>
  </w:footnote>
  <w:footnote w:id="22">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Precios: planes y créditos de la API de Croma</w:t>
      </w:r>
      <w:r>
        <w:rPr>
          <w:rFonts w:ascii="Times New Roman" w:cs="Times New Roman" w:eastAsia="Times New Roman" w:hAnsi="Times New Roman"/>
          <w:color w:val="000000"/>
          <w:sz w:val="18"/>
          <w:szCs w:val="18"/>
        </w:rPr>
        <w:t xml:space="preserve">, sección «Cómo funcionan los créditos». https://usecroma.com/es/pricing</w:t>
      </w:r>
    </w:p>
  </w:footnote>
  <w:footnote w:id="23">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Límites de tasa</w:t>
      </w:r>
      <w:r>
        <w:rPr>
          <w:rFonts w:ascii="Times New Roman" w:cs="Times New Roman" w:eastAsia="Times New Roman" w:hAnsi="Times New Roman"/>
          <w:color w:val="000000"/>
          <w:sz w:val="18"/>
          <w:szCs w:val="18"/>
        </w:rPr>
        <w:t xml:space="preserve">, tabla «Topes por hora». https://docs.usecroma.com/es/rate-limits</w:t>
      </w:r>
    </w:p>
  </w:footnote>
  <w:footnote w:id="24">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Precios: planes y créditos de la API de Croma</w:t>
      </w:r>
      <w:r>
        <w:rPr>
          <w:rFonts w:ascii="Times New Roman" w:cs="Times New Roman" w:eastAsia="Times New Roman" w:hAnsi="Times New Roman"/>
          <w:color w:val="000000"/>
          <w:sz w:val="18"/>
          <w:szCs w:val="18"/>
        </w:rPr>
        <w:t xml:space="preserve">, pregunta «¿Hay límites además de los créditos?». https://usecroma.com/es/pricing</w:t>
      </w:r>
    </w:p>
  </w:footnote>
  <w:footnote w:id="25">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Precios: planes y créditos de la API de Croma</w:t>
      </w:r>
      <w:r>
        <w:rPr>
          <w:rFonts w:ascii="Times New Roman" w:cs="Times New Roman" w:eastAsia="Times New Roman" w:hAnsi="Times New Roman"/>
          <w:color w:val="000000"/>
          <w:sz w:val="18"/>
          <w:szCs w:val="18"/>
        </w:rPr>
        <w:t xml:space="preserve">, aviso inicial. https://usecroma.com/es/pricing</w:t>
      </w:r>
    </w:p>
  </w:footnote>
  <w:footnote w:id="26">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Límites de tasa</w:t>
      </w:r>
      <w:r>
        <w:rPr>
          <w:rFonts w:ascii="Times New Roman" w:cs="Times New Roman" w:eastAsia="Times New Roman" w:hAnsi="Times New Roman"/>
          <w:color w:val="000000"/>
          <w:sz w:val="18"/>
          <w:szCs w:val="18"/>
        </w:rPr>
        <w:t xml:space="preserve">, sección «Cuando excedes un tope». https://docs.usecroma.com/es/rate-limits</w:t>
      </w:r>
    </w:p>
  </w:footnote>
  <w:footnote w:id="27">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Versionado y deprecación</w:t>
      </w:r>
      <w:r>
        <w:rPr>
          <w:rFonts w:ascii="Times New Roman" w:cs="Times New Roman" w:eastAsia="Times New Roman" w:hAnsi="Times New Roman"/>
          <w:color w:val="000000"/>
          <w:sz w:val="18"/>
          <w:szCs w:val="18"/>
        </w:rPr>
        <w:t xml:space="preserve">, secciones «Versionado» y «Deprecación». https://docs.usecroma.com/es/versioning</w:t>
      </w:r>
    </w:p>
  </w:footnote>
  <w:footnote w:id="28">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Monitores</w:t>
      </w:r>
      <w:r>
        <w:rPr>
          <w:rFonts w:ascii="Times New Roman" w:cs="Times New Roman" w:eastAsia="Times New Roman" w:hAnsi="Times New Roman"/>
          <w:color w:val="000000"/>
          <w:sz w:val="18"/>
          <w:szCs w:val="18"/>
        </w:rPr>
        <w:t xml:space="preserve">, secciones «¿Qué endpoints se pueden monitorear?», «Frecuencias», «El filtro de relevancia» y «Créditos y límites». https://docs.usecroma.com/es/monitors</w:t>
      </w:r>
    </w:p>
  </w:footnote>
  <w:footnote w:id="29">
    <w:p>
      <w:pPr>
        <w:spacing w:after="40" w:line="240"/>
      </w:pPr>
      <w:r>
        <w:rPr>
          <w:rStyle w:val="FootnoteReference"/>
        </w:rPr>
        <w:footnoteRef/>
      </w:r>
      <w:r>
        <w:rPr>
          <w:rFonts w:ascii="Times New Roman" w:cs="Times New Roman" w:eastAsia="Times New Roman" w:hAnsi="Times New Roman"/>
          <w:color w:val="000000"/>
          <w:sz w:val="18"/>
          <w:szCs w:val="18"/>
        </w:rPr>
        <w:t xml:space="preserve">Prueba T46 ejecutada por el autor el 12 de octubre de 2026 mediante el servidor MCP de Croma (registro completo en el Anexo C): </w:t>
      </w:r>
      <w:r>
        <w:rPr>
          <w:rFonts w:ascii="Times New Roman" w:cs="Times New Roman" w:eastAsia="Times New Roman" w:hAnsi="Times New Roman"/>
          <w:i/>
          <w:iCs/>
          <w:color w:val="000000"/>
          <w:sz w:val="18"/>
          <w:szCs w:val="18"/>
        </w:rPr>
        <w:t xml:space="preserve">list_monitors</w:t>
      </w:r>
      <w:r>
        <w:rPr>
          <w:rFonts w:ascii="Times New Roman" w:cs="Times New Roman" w:eastAsia="Times New Roman" w:hAnsi="Times New Roman"/>
          <w:color w:val="000000"/>
          <w:sz w:val="18"/>
          <w:szCs w:val="18"/>
        </w:rPr>
        <w:t xml:space="preserve"> respondió «monitors_not_enabled: Monitors are in private beta and not enabled for this organization yet».</w:t>
      </w:r>
    </w:p>
  </w:footnote>
  <w:footnote w:id="30">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MCP</w:t>
      </w:r>
      <w:r>
        <w:rPr>
          <w:rFonts w:ascii="Times New Roman" w:cs="Times New Roman" w:eastAsia="Times New Roman" w:hAnsi="Times New Roman"/>
          <w:color w:val="000000"/>
          <w:sz w:val="18"/>
          <w:szCs w:val="18"/>
        </w:rPr>
        <w:t xml:space="preserve">, párrafo sobre herramientas de conexión. https://docs.usecroma.com/es/mcp-server</w:t>
      </w:r>
    </w:p>
  </w:footnote>
  <w:footnote w:id="31">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Mi cuenta DIAN</w:t>
      </w:r>
      <w:r>
        <w:rPr>
          <w:rFonts w:ascii="Times New Roman" w:cs="Times New Roman" w:eastAsia="Times New Roman" w:hAnsi="Times New Roman"/>
          <w:color w:val="000000"/>
          <w:sz w:val="18"/>
          <w:szCs w:val="18"/>
        </w:rPr>
        <w:t xml:space="preserve">, sección «Conecta tu cuenta». https://docs.usecroma.com/es/guides/colombia/dian-muisca</w:t>
      </w:r>
    </w:p>
  </w:footnote>
  <w:footnote w:id="32">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MCP</w:t>
      </w:r>
      <w:r>
        <w:rPr>
          <w:rFonts w:ascii="Times New Roman" w:cs="Times New Roman" w:eastAsia="Times New Roman" w:hAnsi="Times New Roman"/>
          <w:color w:val="000000"/>
          <w:sz w:val="18"/>
          <w:szCs w:val="18"/>
        </w:rPr>
        <w:t xml:space="preserve">, misma sección. https://docs.usecroma.com/es/mcp-server</w:t>
      </w:r>
    </w:p>
  </w:footnote>
  <w:footnote w:id="33">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Fuentes monitoreables</w:t>
      </w:r>
      <w:r>
        <w:rPr>
          <w:rFonts w:ascii="Times New Roman" w:cs="Times New Roman" w:eastAsia="Times New Roman" w:hAnsi="Times New Roman"/>
          <w:color w:val="000000"/>
          <w:sz w:val="18"/>
          <w:szCs w:val="18"/>
        </w:rPr>
        <w:t xml:space="preserve">, tabla de Colombia, columna «Revisión». https://docs.usecroma.com/es/monitors-sources</w:t>
      </w:r>
    </w:p>
  </w:footnote>
  <w:footnote w:id="34">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entradas </w:t>
      </w:r>
      <w:r>
        <w:rPr>
          <w:rFonts w:ascii="Times New Roman" w:cs="Times New Roman" w:eastAsia="Times New Roman" w:hAnsi="Times New Roman"/>
          <w:i/>
          <w:iCs/>
          <w:color w:val="000000"/>
          <w:sz w:val="18"/>
          <w:szCs w:val="18"/>
        </w:rPr>
        <w:t xml:space="preserve">rama_judicial_*</w:t>
      </w:r>
      <w:r>
        <w:rPr>
          <w:rFonts w:ascii="Times New Roman" w:cs="Times New Roman" w:eastAsia="Times New Roman" w:hAnsi="Times New Roman"/>
          <w:color w:val="000000"/>
          <w:sz w:val="18"/>
          <w:szCs w:val="18"/>
        </w:rPr>
        <w:t xml:space="preserve">. https://usecroma.com/.well-known/agent-skills/croma-api/SKILL.md</w:t>
      </w:r>
    </w:p>
  </w:footnote>
  <w:footnote w:id="35">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Datos oficiales de Colombia por API</w:t>
      </w:r>
      <w:r>
        <w:rPr>
          <w:rFonts w:ascii="Times New Roman" w:cs="Times New Roman" w:eastAsia="Times New Roman" w:hAnsi="Times New Roman"/>
          <w:color w:val="000000"/>
          <w:sz w:val="18"/>
          <w:szCs w:val="18"/>
        </w:rPr>
        <w:t xml:space="preserve">, párrafo sobre Croma Legal. https://usecroma.com/es/co</w:t>
      </w:r>
    </w:p>
  </w:footnote>
  <w:footnote w:id="36">
    <w:p>
      <w:pPr>
        <w:spacing w:after="40" w:line="240"/>
      </w:pPr>
      <w:r>
        <w:rPr>
          <w:rStyle w:val="FootnoteReference"/>
        </w:rPr>
        <w:footnoteRef/>
      </w:r>
      <w:r>
        <w:rPr>
          <w:rFonts w:ascii="Times New Roman" w:cs="Times New Roman" w:eastAsia="Times New Roman" w:hAnsi="Times New Roman"/>
          <w:color w:val="000000"/>
          <w:sz w:val="18"/>
          <w:szCs w:val="18"/>
        </w:rPr>
        <w:t xml:space="preserve">Pruebas T01, T05 ejecutadas por el autor el 12 de octubre de 2026 mediante el servidor MCP de Croma (registro completo en el Anexo C): «RAPPI» falló por exceso de coincidencias; «BANCO FINANDINA S.A.» con </w:t>
      </w:r>
      <w:r>
        <w:rPr>
          <w:rFonts w:ascii="Times New Roman" w:cs="Times New Roman" w:eastAsia="Times New Roman" w:hAnsi="Times New Roman"/>
          <w:i/>
          <w:iCs/>
          <w:color w:val="000000"/>
          <w:sz w:val="18"/>
          <w:szCs w:val="18"/>
        </w:rPr>
        <w:t xml:space="preserve">active_only</w:t>
      </w:r>
      <w:r>
        <w:rPr>
          <w:rFonts w:ascii="Times New Roman" w:cs="Times New Roman" w:eastAsia="Times New Roman" w:hAnsi="Times New Roman"/>
          <w:color w:val="000000"/>
          <w:sz w:val="18"/>
          <w:szCs w:val="18"/>
        </w:rPr>
        <w:t xml:space="preserve"> devolvió 6 procesos con radicado, despacho y última actuación.</w:t>
      </w:r>
    </w:p>
  </w:footnote>
  <w:footnote w:id="37">
    <w:p>
      <w:pPr>
        <w:spacing w:after="40" w:line="240"/>
      </w:pPr>
      <w:r>
        <w:rPr>
          <w:rStyle w:val="FootnoteReference"/>
        </w:rPr>
        <w:footnoteRef/>
      </w:r>
      <w:r>
        <w:rPr>
          <w:rFonts w:ascii="Times New Roman" w:cs="Times New Roman" w:eastAsia="Times New Roman" w:hAnsi="Times New Roman"/>
          <w:color w:val="000000"/>
          <w:sz w:val="18"/>
          <w:szCs w:val="18"/>
        </w:rPr>
        <w:t xml:space="preserve">Prueba T09 ejecutada por el autor el 12 de octubre de 2026 mediante el servidor MCP de Croma (registro completo en el Anexo C): un radicado real devolvió 6 actuaciones y uno inexistente </w:t>
      </w:r>
      <w:r>
        <w:rPr>
          <w:rFonts w:ascii="Times New Roman" w:cs="Times New Roman" w:eastAsia="Times New Roman" w:hAnsi="Times New Roman"/>
          <w:i/>
          <w:iCs/>
          <w:color w:val="000000"/>
          <w:sz w:val="18"/>
          <w:szCs w:val="18"/>
        </w:rPr>
        <w:t xml:space="preserve">found: false</w:t>
      </w:r>
      <w:r>
        <w:rPr>
          <w:rFonts w:ascii="Times New Roman" w:cs="Times New Roman" w:eastAsia="Times New Roman" w:hAnsi="Times New Roman"/>
          <w:color w:val="000000"/>
          <w:sz w:val="18"/>
          <w:szCs w:val="18"/>
        </w:rPr>
        <w:t xml:space="preserve">, ambos dentro de un lote exitoso.</w:t>
      </w:r>
    </w:p>
  </w:footnote>
  <w:footnote w:id="38">
    <w:p>
      <w:pPr>
        <w:spacing w:after="40" w:line="240"/>
      </w:pPr>
      <w:r>
        <w:rPr>
          <w:rStyle w:val="FootnoteReference"/>
        </w:rPr>
        <w:footnoteRef/>
      </w:r>
      <w:r>
        <w:rPr>
          <w:rFonts w:ascii="Times New Roman" w:cs="Times New Roman" w:eastAsia="Times New Roman" w:hAnsi="Times New Roman"/>
          <w:color w:val="000000"/>
          <w:sz w:val="18"/>
          <w:szCs w:val="18"/>
        </w:rPr>
        <w:t xml:space="preserve">Prueba T08 ejecutada por el autor el 12 de octubre de 2026 mediante el servidor MCP de Croma (registro completo en el Anexo C): un radicado de 23 dígitos resolvió el buzón del Juzgado 01 Civil del Circuito de Bogotá.</w:t>
      </w:r>
    </w:p>
  </w:footnote>
  <w:footnote w:id="39">
    <w:p>
      <w:pPr>
        <w:spacing w:after="40" w:line="240"/>
      </w:pPr>
      <w:r>
        <w:rPr>
          <w:rStyle w:val="FootnoteReference"/>
        </w:rPr>
        <w:footnoteRef/>
      </w:r>
      <w:r>
        <w:rPr>
          <w:rFonts w:ascii="Times New Roman" w:cs="Times New Roman" w:eastAsia="Times New Roman" w:hAnsi="Times New Roman"/>
          <w:color w:val="000000"/>
          <w:sz w:val="18"/>
          <w:szCs w:val="18"/>
        </w:rPr>
        <w:t xml:space="preserve">Prueba T55 ejecutada por el autor el 12 de octubre de 2026 mediante el servidor MCP de Croma (registro completo en el Anexo C): el radicado «123» fue rechazado con el error MCP −32602 «Must be 20-25 digits».</w:t>
      </w:r>
    </w:p>
  </w:footnote>
  <w:footnote w:id="40">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entradas </w:t>
      </w:r>
      <w:r>
        <w:rPr>
          <w:rFonts w:ascii="Times New Roman" w:cs="Times New Roman" w:eastAsia="Times New Roman" w:hAnsi="Times New Roman"/>
          <w:i/>
          <w:iCs/>
          <w:color w:val="000000"/>
          <w:sz w:val="18"/>
          <w:szCs w:val="18"/>
        </w:rPr>
        <w:t xml:space="preserve">corte_constitucional_*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corte_suprema_*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consejo_estado_*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samai_*</w:t>
      </w:r>
      <w:r>
        <w:rPr>
          <w:rFonts w:ascii="Times New Roman" w:cs="Times New Roman" w:eastAsia="Times New Roman" w:hAnsi="Times New Roman"/>
          <w:color w:val="000000"/>
          <w:sz w:val="18"/>
          <w:szCs w:val="18"/>
        </w:rPr>
        <w:t xml:space="preserve"> y </w:t>
      </w:r>
      <w:r>
        <w:rPr>
          <w:rFonts w:ascii="Times New Roman" w:cs="Times New Roman" w:eastAsia="Times New Roman" w:hAnsi="Times New Roman"/>
          <w:i/>
          <w:iCs/>
          <w:color w:val="000000"/>
          <w:sz w:val="18"/>
          <w:szCs w:val="18"/>
        </w:rPr>
        <w:t xml:space="preserve">cndj_*</w:t>
      </w:r>
      <w:r>
        <w:rPr>
          <w:rFonts w:ascii="Times New Roman" w:cs="Times New Roman" w:eastAsia="Times New Roman" w:hAnsi="Times New Roman"/>
          <w:color w:val="000000"/>
          <w:sz w:val="18"/>
          <w:szCs w:val="18"/>
        </w:rPr>
        <w:t xml:space="preserve">. https://usecroma.com/.well-known/agent-skills/croma-api/SKILL.md</w:t>
      </w:r>
    </w:p>
  </w:footnote>
  <w:footnote w:id="41">
    <w:p>
      <w:pPr>
        <w:spacing w:after="40" w:line="240"/>
      </w:pPr>
      <w:r>
        <w:rPr>
          <w:rStyle w:val="FootnoteReference"/>
        </w:rPr>
        <w:footnoteRef/>
      </w:r>
      <w:r>
        <w:rPr>
          <w:rFonts w:ascii="Times New Roman" w:cs="Times New Roman" w:eastAsia="Times New Roman" w:hAnsi="Times New Roman"/>
          <w:color w:val="000000"/>
          <w:sz w:val="18"/>
          <w:szCs w:val="18"/>
        </w:rPr>
        <w:t xml:space="preserve">Pruebas T02, T03, T04 ejecutadas por el autor el 12 de octubre de 2026 mediante el servidor MCP de Croma (registro completo en el Anexo C): la búsqueda «habeas data … centrales de riesgo» con tipo T y año 2025 devolvió 91 sentencias encabezadas por las más recientes, no por las más pertinentes; SAMAI reportó un total aproximado con tope de 1.000.</w:t>
      </w:r>
    </w:p>
  </w:footnote>
  <w:footnote w:id="42">
    <w:p>
      <w:pPr>
        <w:spacing w:after="40" w:line="240"/>
      </w:pPr>
      <w:r>
        <w:rPr>
          <w:rStyle w:val="FootnoteReference"/>
        </w:rPr>
        <w:footnoteRef/>
      </w:r>
      <w:r>
        <w:rPr>
          <w:rFonts w:ascii="Times New Roman" w:cs="Times New Roman" w:eastAsia="Times New Roman" w:hAnsi="Times New Roman"/>
          <w:color w:val="000000"/>
          <w:sz w:val="18"/>
          <w:szCs w:val="18"/>
        </w:rPr>
        <w:t xml:space="preserve">Prueba T57 ejecutada por el autor el 12 de octubre de 2026 mediante el servidor MCP de Croma (registro completo en el Anexo C): la sentencia SU-424/21 mide 337.817 caracteres: con el límite por defecto de 60.000 requiere seis lecturas.</w:t>
      </w:r>
    </w:p>
  </w:footnote>
  <w:footnote w:id="43">
    <w:p>
      <w:pPr>
        <w:spacing w:after="40" w:line="240"/>
      </w:pPr>
      <w:r>
        <w:rPr>
          <w:rStyle w:val="FootnoteReference"/>
        </w:rPr>
        <w:footnoteRef/>
      </w:r>
      <w:r>
        <w:rPr>
          <w:rFonts w:ascii="Times New Roman" w:cs="Times New Roman" w:eastAsia="Times New Roman" w:hAnsi="Times New Roman"/>
          <w:color w:val="000000"/>
          <w:sz w:val="18"/>
          <w:szCs w:val="18"/>
        </w:rPr>
        <w:t xml:space="preserve">Prueba T61 ejecutada por el autor el 12 de octubre de 2026 mediante el servidor MCP de Croma (registro completo en el Anexo C): la providencia consultada devolvió 71.816 caracteres con radicado, tipo, sección y ponente en </w:t>
      </w:r>
      <w:r>
        <w:rPr>
          <w:rFonts w:ascii="Times New Roman" w:cs="Times New Roman" w:eastAsia="Times New Roman" w:hAnsi="Times New Roman"/>
          <w:i/>
          <w:iCs/>
          <w:color w:val="000000"/>
          <w:sz w:val="18"/>
          <w:szCs w:val="18"/>
        </w:rPr>
        <w:t xml:space="preserve">null</w:t>
      </w:r>
      <w:r>
        <w:rPr>
          <w:rFonts w:ascii="Times New Roman" w:cs="Times New Roman" w:eastAsia="Times New Roman" w:hAnsi="Times New Roman"/>
          <w:color w:val="000000"/>
          <w:sz w:val="18"/>
          <w:szCs w:val="18"/>
        </w:rPr>
        <w:t xml:space="preserve">.</w:t>
      </w:r>
    </w:p>
  </w:footnote>
  <w:footnote w:id="44">
    <w:p>
      <w:pPr>
        <w:spacing w:after="40" w:line="240"/>
      </w:pPr>
      <w:r>
        <w:rPr>
          <w:rStyle w:val="FootnoteReference"/>
        </w:rPr>
        <w:footnoteRef/>
      </w:r>
      <w:r>
        <w:rPr>
          <w:rFonts w:ascii="Times New Roman" w:cs="Times New Roman" w:eastAsia="Times New Roman" w:hAnsi="Times New Roman"/>
          <w:color w:val="000000"/>
          <w:sz w:val="18"/>
          <w:szCs w:val="18"/>
        </w:rPr>
        <w:t xml:space="preserve">Prueba T07 ejecutada por el autor el 12 de octubre de 2026 mediante el servidor MCP de Croma (registro completo en el Anexo C): con </w:t>
      </w:r>
      <w:r>
        <w:rPr>
          <w:rFonts w:ascii="Times New Roman" w:cs="Times New Roman" w:eastAsia="Times New Roman" w:hAnsi="Times New Roman"/>
          <w:i/>
          <w:iCs/>
          <w:color w:val="000000"/>
          <w:sz w:val="18"/>
          <w:szCs w:val="18"/>
        </w:rPr>
        <w:t xml:space="preserve">statute</w:t>
      </w:r>
      <w:r>
        <w:rPr>
          <w:rFonts w:ascii="Times New Roman" w:cs="Times New Roman" w:eastAsia="Times New Roman" w:hAnsi="Times New Roman"/>
          <w:color w:val="000000"/>
          <w:sz w:val="18"/>
          <w:szCs w:val="18"/>
        </w:rPr>
        <w:t xml:space="preserve"> «Ley 1581 de 2012» el total fue 0; con demandado, tipo y rango de fechas, 37.</w:t>
      </w:r>
    </w:p>
  </w:footnote>
  <w:footnote w:id="45">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entradas </w:t>
      </w:r>
      <w:r>
        <w:rPr>
          <w:rFonts w:ascii="Times New Roman" w:cs="Times New Roman" w:eastAsia="Times New Roman" w:hAnsi="Times New Roman"/>
          <w:i/>
          <w:iCs/>
          <w:color w:val="000000"/>
          <w:sz w:val="18"/>
          <w:szCs w:val="18"/>
        </w:rPr>
        <w:t xml:space="preserve">rues_*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supersociedades_*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simev_shareholders</w:t>
      </w:r>
      <w:r>
        <w:rPr>
          <w:rFonts w:ascii="Times New Roman" w:cs="Times New Roman" w:eastAsia="Times New Roman" w:hAnsi="Times New Roman"/>
          <w:color w:val="000000"/>
          <w:sz w:val="18"/>
          <w:szCs w:val="18"/>
        </w:rPr>
        <w:t xml:space="preserve"> y </w:t>
      </w:r>
      <w:r>
        <w:rPr>
          <w:rFonts w:ascii="Times New Roman" w:cs="Times New Roman" w:eastAsia="Times New Roman" w:hAnsi="Times New Roman"/>
          <w:i/>
          <w:iCs/>
          <w:color w:val="000000"/>
          <w:sz w:val="18"/>
          <w:szCs w:val="18"/>
        </w:rPr>
        <w:t xml:space="preserve">dian_trade_*</w:t>
      </w:r>
      <w:r>
        <w:rPr>
          <w:rFonts w:ascii="Times New Roman" w:cs="Times New Roman" w:eastAsia="Times New Roman" w:hAnsi="Times New Roman"/>
          <w:color w:val="000000"/>
          <w:sz w:val="18"/>
          <w:szCs w:val="18"/>
        </w:rPr>
        <w:t xml:space="preserve">. https://usecroma.com/.well-known/agent-skills/croma-api/SKILL.md</w:t>
      </w:r>
    </w:p>
  </w:footnote>
  <w:footnote w:id="46">
    <w:p>
      <w:pPr>
        <w:spacing w:after="40" w:line="240"/>
      </w:pPr>
      <w:r>
        <w:rPr>
          <w:rStyle w:val="FootnoteReference"/>
        </w:rPr>
        <w:footnoteRef/>
      </w:r>
      <w:r>
        <w:rPr>
          <w:rFonts w:ascii="Times New Roman" w:cs="Times New Roman" w:eastAsia="Times New Roman" w:hAnsi="Times New Roman"/>
          <w:color w:val="000000"/>
          <w:sz w:val="18"/>
          <w:szCs w:val="18"/>
        </w:rPr>
        <w:t xml:space="preserve">Prueba T11 ejecutada por el autor el 12 de octubre de 2026 mediante el servidor MCP de Croma (registro completo en el Anexo C): Banco Finandina: matrícula activa desde 1977, renovada en marzo de 2026, con estados financieros anuales de 2013 a 2026.</w:t>
      </w:r>
    </w:p>
  </w:footnote>
  <w:footnote w:id="47">
    <w:p>
      <w:pPr>
        <w:spacing w:after="40" w:line="240"/>
      </w:pPr>
      <w:r>
        <w:rPr>
          <w:rStyle w:val="FootnoteReference"/>
        </w:rPr>
        <w:footnoteRef/>
      </w:r>
      <w:r>
        <w:rPr>
          <w:rFonts w:ascii="Times New Roman" w:cs="Times New Roman" w:eastAsia="Times New Roman" w:hAnsi="Times New Roman"/>
          <w:color w:val="000000"/>
          <w:sz w:val="18"/>
          <w:szCs w:val="18"/>
        </w:rPr>
        <w:t xml:space="preserve">Prueba T15 ejecutada por el autor el 12 de octubre de 2026 mediante el servidor MCP de Croma (registro completo en el Anexo C): D1 S.A.S.: tres accionistas (60,25 %, 20,43 % y 19,32 %, dos de ellos extranjeros) y una subordinada en Perú.</w:t>
      </w:r>
    </w:p>
  </w:footnote>
  <w:footnote w:id="48">
    <w:p>
      <w:pPr>
        <w:spacing w:after="40" w:line="240"/>
      </w:pPr>
      <w:r>
        <w:rPr>
          <w:rStyle w:val="FootnoteReference"/>
        </w:rPr>
        <w:footnoteRef/>
      </w:r>
      <w:r>
        <w:rPr>
          <w:rFonts w:ascii="Times New Roman" w:cs="Times New Roman" w:eastAsia="Times New Roman" w:hAnsi="Times New Roman"/>
          <w:color w:val="000000"/>
          <w:sz w:val="18"/>
          <w:szCs w:val="18"/>
        </w:rPr>
        <w:t xml:space="preserve">Prueba T13 ejecutada por el autor el 12 de octubre de 2026 mediante el servidor MCP de Croma (registro completo en el Anexo C): diecinueve cortes desde junio de 2017; cinco accionistas en el corte de junio de 2026.</w:t>
      </w:r>
    </w:p>
  </w:footnote>
  <w:footnote w:id="49">
    <w:p>
      <w:pPr>
        <w:spacing w:after="40" w:line="240"/>
      </w:pPr>
      <w:r>
        <w:rPr>
          <w:rStyle w:val="FootnoteReference"/>
        </w:rPr>
        <w:footnoteRef/>
      </w:r>
      <w:r>
        <w:rPr>
          <w:rFonts w:ascii="Times New Roman" w:cs="Times New Roman" w:eastAsia="Times New Roman" w:hAnsi="Times New Roman"/>
          <w:color w:val="000000"/>
          <w:sz w:val="18"/>
          <w:szCs w:val="18"/>
        </w:rPr>
        <w:t xml:space="preserve">Prueba T14 ejecutada por el autor el 12 de octubre de 2026 mediante el servidor MCP de Croma (registro completo en el Anexo C): Ecopetrol: primer importador y exportador; en 2026, hasta julio, USD 2.130 millones CIF y USD 6.188 millones FOB.</w:t>
      </w:r>
    </w:p>
  </w:footnote>
  <w:footnote w:id="50">
    <w:p>
      <w:pPr>
        <w:spacing w:after="40" w:line="240"/>
      </w:pPr>
      <w:r>
        <w:rPr>
          <w:rStyle w:val="FootnoteReference"/>
        </w:rPr>
        <w:footnoteRef/>
      </w:r>
      <w:r>
        <w:rPr>
          <w:rFonts w:ascii="Times New Roman" w:cs="Times New Roman" w:eastAsia="Times New Roman" w:hAnsi="Times New Roman"/>
          <w:color w:val="000000"/>
          <w:sz w:val="18"/>
          <w:szCs w:val="18"/>
        </w:rPr>
        <w:t xml:space="preserve">Prueba T51 ejecutada por el autor el 12 de octubre de 2026 mediante el servidor MCP de Croma (registro completo en el Anexo C): el NIT 1234 devolvió </w:t>
      </w:r>
      <w:r>
        <w:rPr>
          <w:rFonts w:ascii="Times New Roman" w:cs="Times New Roman" w:eastAsia="Times New Roman" w:hAnsi="Times New Roman"/>
          <w:i/>
          <w:iCs/>
          <w:color w:val="000000"/>
          <w:sz w:val="18"/>
          <w:szCs w:val="18"/>
        </w:rPr>
        <w:t xml:space="preserve">found: false</w:t>
      </w:r>
      <w:r>
        <w:rPr>
          <w:rFonts w:ascii="Times New Roman" w:cs="Times New Roman" w:eastAsia="Times New Roman" w:hAnsi="Times New Roman"/>
          <w:color w:val="000000"/>
          <w:sz w:val="18"/>
          <w:szCs w:val="18"/>
        </w:rPr>
        <w:t xml:space="preserve"> con listas vacías.</w:t>
      </w:r>
    </w:p>
  </w:footnote>
  <w:footnote w:id="51">
    <w:p>
      <w:pPr>
        <w:spacing w:after="40" w:line="240"/>
      </w:pPr>
      <w:r>
        <w:rPr>
          <w:rStyle w:val="FootnoteReference"/>
        </w:rPr>
        <w:footnoteRef/>
      </w:r>
      <w:r>
        <w:rPr>
          <w:rFonts w:ascii="Times New Roman" w:cs="Times New Roman" w:eastAsia="Times New Roman" w:hAnsi="Times New Roman"/>
          <w:color w:val="000000"/>
          <w:sz w:val="18"/>
          <w:szCs w:val="18"/>
        </w:rPr>
        <w:t xml:space="preserve">Pruebas T11, T21 ejecutadas por el autor el 12 de octubre de 2026 mediante el servidor MCP de Croma (registro completo en el Anexo C): valores observados en las respuestas de </w:t>
      </w:r>
      <w:r>
        <w:rPr>
          <w:rFonts w:ascii="Times New Roman" w:cs="Times New Roman" w:eastAsia="Times New Roman" w:hAnsi="Times New Roman"/>
          <w:i/>
          <w:iCs/>
          <w:color w:val="000000"/>
          <w:sz w:val="18"/>
          <w:szCs w:val="18"/>
        </w:rPr>
        <w:t xml:space="preserve">rues_entity_by_nit</w:t>
      </w:r>
      <w:r>
        <w:rPr>
          <w:rFonts w:ascii="Times New Roman" w:cs="Times New Roman" w:eastAsia="Times New Roman" w:hAnsi="Times New Roman"/>
          <w:color w:val="000000"/>
          <w:sz w:val="18"/>
          <w:szCs w:val="18"/>
        </w:rPr>
        <w:t xml:space="preserve"> y </w:t>
      </w:r>
      <w:r>
        <w:rPr>
          <w:rFonts w:ascii="Times New Roman" w:cs="Times New Roman" w:eastAsia="Times New Roman" w:hAnsi="Times New Roman"/>
          <w:i/>
          <w:iCs/>
          <w:color w:val="000000"/>
          <w:sz w:val="18"/>
          <w:szCs w:val="18"/>
        </w:rPr>
        <w:t xml:space="preserve">supersociedades_companies_search</w:t>
      </w:r>
      <w:r>
        <w:rPr>
          <w:rFonts w:ascii="Times New Roman" w:cs="Times New Roman" w:eastAsia="Times New Roman" w:hAnsi="Times New Roman"/>
          <w:color w:val="000000"/>
          <w:sz w:val="18"/>
          <w:szCs w:val="18"/>
        </w:rPr>
        <w:t xml:space="preserve">.</w:t>
      </w:r>
    </w:p>
  </w:footnote>
  <w:footnote w:id="52">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entradas </w:t>
      </w:r>
      <w:r>
        <w:rPr>
          <w:rFonts w:ascii="Times New Roman" w:cs="Times New Roman" w:eastAsia="Times New Roman" w:hAnsi="Times New Roman"/>
          <w:i/>
          <w:iCs/>
          <w:color w:val="000000"/>
          <w:sz w:val="18"/>
          <w:szCs w:val="18"/>
        </w:rPr>
        <w:t xml:space="preserve">supersociedades_baranda_*</w:t>
      </w:r>
      <w:r>
        <w:rPr>
          <w:rFonts w:ascii="Times New Roman" w:cs="Times New Roman" w:eastAsia="Times New Roman" w:hAnsi="Times New Roman"/>
          <w:color w:val="000000"/>
          <w:sz w:val="18"/>
          <w:szCs w:val="18"/>
        </w:rPr>
        <w:t xml:space="preserve"> y </w:t>
      </w:r>
      <w:r>
        <w:rPr>
          <w:rFonts w:ascii="Times New Roman" w:cs="Times New Roman" w:eastAsia="Times New Roman" w:hAnsi="Times New Roman"/>
          <w:i/>
          <w:iCs/>
          <w:color w:val="000000"/>
          <w:sz w:val="18"/>
          <w:szCs w:val="18"/>
        </w:rPr>
        <w:t xml:space="preserve">supersociedades_relatoria_*</w:t>
      </w:r>
      <w:r>
        <w:rPr>
          <w:rFonts w:ascii="Times New Roman" w:cs="Times New Roman" w:eastAsia="Times New Roman" w:hAnsi="Times New Roman"/>
          <w:color w:val="000000"/>
          <w:sz w:val="18"/>
          <w:szCs w:val="18"/>
        </w:rPr>
        <w:t xml:space="preserve">. https://usecroma.com/.well-known/agent-skills/croma-api/SKILL.md</w:t>
      </w:r>
    </w:p>
  </w:footnote>
  <w:footnote w:id="53">
    <w:p>
      <w:pPr>
        <w:spacing w:after="40" w:line="240"/>
      </w:pPr>
      <w:r>
        <w:rPr>
          <w:rStyle w:val="FootnoteReference"/>
        </w:rPr>
        <w:footnoteRef/>
      </w:r>
      <w:r>
        <w:rPr>
          <w:rFonts w:ascii="Times New Roman" w:cs="Times New Roman" w:eastAsia="Times New Roman" w:hAnsi="Times New Roman"/>
          <w:color w:val="000000"/>
          <w:sz w:val="18"/>
          <w:szCs w:val="18"/>
        </w:rPr>
        <w:t xml:space="preserve">Prueba T16 ejecutada por el autor el 12 de octubre de 2026 mediante el servidor MCP de Croma (registro completo en el Anexo C): la búsqueda de autos devolvió 226 resultados con copia del PDF en el almacenamiento de Croma.</w:t>
      </w:r>
    </w:p>
  </w:footnote>
  <w:footnote w:id="54">
    <w:p>
      <w:pPr>
        <w:spacing w:after="40" w:line="240"/>
      </w:pPr>
      <w:r>
        <w:rPr>
          <w:rStyle w:val="FootnoteReference"/>
        </w:rPr>
        <w:footnoteRef/>
      </w:r>
      <w:r>
        <w:rPr>
          <w:rFonts w:ascii="Times New Roman" w:cs="Times New Roman" w:eastAsia="Times New Roman" w:hAnsi="Times New Roman"/>
          <w:color w:val="000000"/>
          <w:sz w:val="18"/>
          <w:szCs w:val="18"/>
        </w:rPr>
        <w:t xml:space="preserve">Prueba T16 ejecutada por el autor el 12 de octubre de 2026 mediante el servidor MCP de Croma (registro completo en el Anexo C): los tres primeros resultados fueron autos que inadmiten demandas.</w:t>
      </w:r>
    </w:p>
  </w:footnote>
  <w:footnote w:id="55">
    <w:p>
      <w:pPr>
        <w:spacing w:after="40" w:line="240"/>
      </w:pPr>
      <w:r>
        <w:rPr>
          <w:rStyle w:val="FootnoteReference"/>
        </w:rPr>
        <w:footnoteRef/>
      </w:r>
      <w:r>
        <w:rPr>
          <w:rFonts w:ascii="Times New Roman" w:cs="Times New Roman" w:eastAsia="Times New Roman" w:hAnsi="Times New Roman"/>
          <w:color w:val="000000"/>
          <w:sz w:val="18"/>
          <w:szCs w:val="18"/>
        </w:rPr>
        <w:t xml:space="preserve">Prueba T22 ejecutada por el autor el 12 de octubre de 2026 mediante el servidor MCP de Croma (registro completo en el Anexo C): sentencia 810-000181 de 2026 con partes sin documento.</w:t>
      </w:r>
    </w:p>
  </w:footnote>
  <w:footnote w:id="56">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entradas </w:t>
      </w:r>
      <w:r>
        <w:rPr>
          <w:rFonts w:ascii="Times New Roman" w:cs="Times New Roman" w:eastAsia="Times New Roman" w:hAnsi="Times New Roman"/>
          <w:i/>
          <w:iCs/>
          <w:color w:val="000000"/>
          <w:sz w:val="18"/>
          <w:szCs w:val="18"/>
        </w:rPr>
        <w:t xml:space="preserve">secop_*</w:t>
      </w:r>
      <w:r>
        <w:rPr>
          <w:rFonts w:ascii="Times New Roman" w:cs="Times New Roman" w:eastAsia="Times New Roman" w:hAnsi="Times New Roman"/>
          <w:color w:val="000000"/>
          <w:sz w:val="18"/>
          <w:szCs w:val="18"/>
        </w:rPr>
        <w:t xml:space="preserve"> y </w:t>
      </w:r>
      <w:r>
        <w:rPr>
          <w:rFonts w:ascii="Times New Roman" w:cs="Times New Roman" w:eastAsia="Times New Roman" w:hAnsi="Times New Roman"/>
          <w:i/>
          <w:iCs/>
          <w:color w:val="000000"/>
          <w:sz w:val="18"/>
          <w:szCs w:val="18"/>
        </w:rPr>
        <w:t xml:space="preserve">ancp_cce_*</w:t>
      </w:r>
      <w:r>
        <w:rPr>
          <w:rFonts w:ascii="Times New Roman" w:cs="Times New Roman" w:eastAsia="Times New Roman" w:hAnsi="Times New Roman"/>
          <w:color w:val="000000"/>
          <w:sz w:val="18"/>
          <w:szCs w:val="18"/>
        </w:rPr>
        <w:t xml:space="preserve">. https://usecroma.com/.well-known/agent-skills/croma-api/SKILL.md</w:t>
      </w:r>
    </w:p>
  </w:footnote>
  <w:footnote w:id="57">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Versionado y deprecación</w:t>
      </w:r>
      <w:r>
        <w:rPr>
          <w:rFonts w:ascii="Times New Roman" w:cs="Times New Roman" w:eastAsia="Times New Roman" w:hAnsi="Times New Roman"/>
          <w:color w:val="000000"/>
          <w:sz w:val="18"/>
          <w:szCs w:val="18"/>
        </w:rPr>
        <w:t xml:space="preserve">, tabla de endpoints deprecados. https://docs.usecroma.com/es/versioning</w:t>
      </w:r>
    </w:p>
  </w:footnote>
  <w:footnote w:id="58">
    <w:p>
      <w:pPr>
        <w:spacing w:after="40" w:line="240"/>
      </w:pPr>
      <w:r>
        <w:rPr>
          <w:rStyle w:val="FootnoteReference"/>
        </w:rPr>
        <w:footnoteRef/>
      </w:r>
      <w:r>
        <w:rPr>
          <w:rFonts w:ascii="Times New Roman" w:cs="Times New Roman" w:eastAsia="Times New Roman" w:hAnsi="Times New Roman"/>
          <w:color w:val="000000"/>
          <w:sz w:val="18"/>
          <w:szCs w:val="18"/>
        </w:rPr>
        <w:t xml:space="preserve">Prueba T23 ejecutada por el autor el 12 de octubre de 2026 mediante el servidor MCP de Croma (registro completo en el Anexo C): el perfil de Banco Finandina mostró cuenta de proveedor activa sin contratos, adjudicaciones, ofertas ni sanciones.</w:t>
      </w:r>
    </w:p>
  </w:footnote>
  <w:footnote w:id="59">
    <w:p>
      <w:pPr>
        <w:spacing w:after="40" w:line="240"/>
      </w:pPr>
      <w:r>
        <w:rPr>
          <w:rStyle w:val="FootnoteReference"/>
        </w:rPr>
        <w:footnoteRef/>
      </w:r>
      <w:r>
        <w:rPr>
          <w:rFonts w:ascii="Times New Roman" w:cs="Times New Roman" w:eastAsia="Times New Roman" w:hAnsi="Times New Roman"/>
          <w:color w:val="000000"/>
          <w:sz w:val="18"/>
          <w:szCs w:val="18"/>
        </w:rPr>
        <w:t xml:space="preserve">Prueba T25 ejecutada por el autor el 12 de octubre de 2026 mediante el servidor MCP de Croma (registro completo en el Anexo C): cinco procesos abiertos sobre software e inteligencia artificial publicados desde septiembre de 2026, entre ellos una orden de la Universidad Nacional para suscribir una herramienta de IA para desarrollo de software.</w:t>
      </w:r>
    </w:p>
  </w:footnote>
  <w:footnote w:id="60">
    <w:p>
      <w:pPr>
        <w:spacing w:after="40" w:line="240"/>
      </w:pPr>
      <w:r>
        <w:rPr>
          <w:rStyle w:val="FootnoteReference"/>
        </w:rPr>
        <w:footnoteRef/>
      </w:r>
      <w:r>
        <w:rPr>
          <w:rFonts w:ascii="Times New Roman" w:cs="Times New Roman" w:eastAsia="Times New Roman" w:hAnsi="Times New Roman"/>
          <w:color w:val="000000"/>
          <w:sz w:val="18"/>
          <w:szCs w:val="18"/>
        </w:rPr>
        <w:t xml:space="preserve">Prueba T44 ejecutada por el autor el 12 de octubre de 2026 mediante el servidor MCP de Croma (registro completo en el Anexo C): </w:t>
      </w:r>
      <w:r>
        <w:rPr>
          <w:rFonts w:ascii="Times New Roman" w:cs="Times New Roman" w:eastAsia="Times New Roman" w:hAnsi="Times New Roman"/>
          <w:i/>
          <w:iCs/>
          <w:color w:val="000000"/>
          <w:sz w:val="18"/>
          <w:szCs w:val="18"/>
        </w:rPr>
        <w:t xml:space="preserve">secop_contract</w:t>
      </w:r>
      <w:r>
        <w:rPr>
          <w:rFonts w:ascii="Times New Roman" w:cs="Times New Roman" w:eastAsia="Times New Roman" w:hAnsi="Times New Roman"/>
          <w:color w:val="000000"/>
          <w:sz w:val="18"/>
          <w:szCs w:val="18"/>
        </w:rPr>
        <w:t xml:space="preserve"> devolvió </w:t>
      </w:r>
      <w:r>
        <w:rPr>
          <w:rFonts w:ascii="Times New Roman" w:cs="Times New Roman" w:eastAsia="Times New Roman" w:hAnsi="Times New Roman"/>
          <w:i/>
          <w:iCs/>
          <w:color w:val="000000"/>
          <w:sz w:val="18"/>
          <w:szCs w:val="18"/>
        </w:rPr>
        <w:t xml:space="preserve">found: false</w:t>
      </w:r>
      <w:r>
        <w:rPr>
          <w:rFonts w:ascii="Times New Roman" w:cs="Times New Roman" w:eastAsia="Times New Roman" w:hAnsi="Times New Roman"/>
          <w:color w:val="000000"/>
          <w:sz w:val="18"/>
          <w:szCs w:val="18"/>
        </w:rPr>
        <w:t xml:space="preserve"> para un contrato firmado el 30 de septiembre que </w:t>
      </w:r>
      <w:r>
        <w:rPr>
          <w:rFonts w:ascii="Times New Roman" w:cs="Times New Roman" w:eastAsia="Times New Roman" w:hAnsi="Times New Roman"/>
          <w:i/>
          <w:iCs/>
          <w:color w:val="000000"/>
          <w:sz w:val="18"/>
          <w:szCs w:val="18"/>
        </w:rPr>
        <w:t xml:space="preserve">secop_contract_record</w:t>
      </w:r>
      <w:r>
        <w:rPr>
          <w:rFonts w:ascii="Times New Roman" w:cs="Times New Roman" w:eastAsia="Times New Roman" w:hAnsi="Times New Roman"/>
          <w:color w:val="000000"/>
          <w:sz w:val="18"/>
          <w:szCs w:val="18"/>
        </w:rPr>
        <w:t xml:space="preserve"> sí encontró.</w:t>
      </w:r>
    </w:p>
  </w:footnote>
  <w:footnote w:id="61">
    <w:p>
      <w:pPr>
        <w:spacing w:after="40" w:line="240"/>
      </w:pPr>
      <w:r>
        <w:rPr>
          <w:rStyle w:val="FootnoteReference"/>
        </w:rPr>
        <w:footnoteRef/>
      </w:r>
      <w:r>
        <w:rPr>
          <w:rFonts w:ascii="Times New Roman" w:cs="Times New Roman" w:eastAsia="Times New Roman" w:hAnsi="Times New Roman"/>
          <w:color w:val="000000"/>
          <w:sz w:val="18"/>
          <w:szCs w:val="18"/>
        </w:rPr>
        <w:t xml:space="preserve">Pruebas T24, T26, T27, T28 ejecutadas por el autor el 12 de octubre de 2026 mediante el servidor MCP de Croma (registro completo en el Anexo C): observaciones en </w:t>
      </w:r>
      <w:r>
        <w:rPr>
          <w:rFonts w:ascii="Times New Roman" w:cs="Times New Roman" w:eastAsia="Times New Roman" w:hAnsi="Times New Roman"/>
          <w:i/>
          <w:iCs/>
          <w:color w:val="000000"/>
          <w:sz w:val="18"/>
          <w:szCs w:val="18"/>
        </w:rPr>
        <w:t xml:space="preserve">secop_modifications_search</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secop_contracts_search</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secop_sanctions_search</w:t>
      </w:r>
      <w:r>
        <w:rPr>
          <w:rFonts w:ascii="Times New Roman" w:cs="Times New Roman" w:eastAsia="Times New Roman" w:hAnsi="Times New Roman"/>
          <w:color w:val="000000"/>
          <w:sz w:val="18"/>
          <w:szCs w:val="18"/>
        </w:rPr>
        <w:t xml:space="preserve"> y </w:t>
      </w:r>
      <w:r>
        <w:rPr>
          <w:rFonts w:ascii="Times New Roman" w:cs="Times New Roman" w:eastAsia="Times New Roman" w:hAnsi="Times New Roman"/>
          <w:i/>
          <w:iCs/>
          <w:color w:val="000000"/>
          <w:sz w:val="18"/>
          <w:szCs w:val="18"/>
        </w:rPr>
        <w:t xml:space="preserve">secop_plans_search</w:t>
      </w:r>
      <w:r>
        <w:rPr>
          <w:rFonts w:ascii="Times New Roman" w:cs="Times New Roman" w:eastAsia="Times New Roman" w:hAnsi="Times New Roman"/>
          <w:color w:val="000000"/>
          <w:sz w:val="18"/>
          <w:szCs w:val="18"/>
        </w:rPr>
        <w:t xml:space="preserve">.</w:t>
      </w:r>
    </w:p>
  </w:footnote>
  <w:footnote w:id="62">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entradas correspondientes. https://usecroma.com/.well-known/agent-skills/croma-api/SKILL.md</w:t>
      </w:r>
    </w:p>
  </w:footnote>
  <w:footnote w:id="63">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Trabajos asíncronos</w:t>
      </w:r>
      <w:r>
        <w:rPr>
          <w:rFonts w:ascii="Times New Roman" w:cs="Times New Roman" w:eastAsia="Times New Roman" w:hAnsi="Times New Roman"/>
          <w:color w:val="000000"/>
          <w:sz w:val="18"/>
          <w:szCs w:val="18"/>
        </w:rPr>
        <w:t xml:space="preserve">, lista de endpoints asíncronos de Colombia. https://docs.usecroma.com/es/async-jobs</w:t>
      </w:r>
    </w:p>
  </w:footnote>
  <w:footnote w:id="64">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Procuraduría</w:t>
      </w:r>
      <w:r>
        <w:rPr>
          <w:rFonts w:ascii="Times New Roman" w:cs="Times New Roman" w:eastAsia="Times New Roman" w:hAnsi="Times New Roman"/>
          <w:color w:val="000000"/>
          <w:sz w:val="18"/>
          <w:szCs w:val="18"/>
        </w:rPr>
        <w:t xml:space="preserve">, sección «Respuesta». https://docs.usecroma.com/es/guides/colombia/procuraduria</w:t>
      </w:r>
    </w:p>
  </w:footnote>
  <w:footnote w:id="65">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Contraloría</w:t>
      </w:r>
      <w:r>
        <w:rPr>
          <w:rFonts w:ascii="Times New Roman" w:cs="Times New Roman" w:eastAsia="Times New Roman" w:hAnsi="Times New Roman"/>
          <w:color w:val="000000"/>
          <w:sz w:val="18"/>
          <w:szCs w:val="18"/>
        </w:rPr>
        <w:t xml:space="preserve">, sección «Respuesta». https://docs.usecroma.com/es/guides/colombia/contraloria</w:t>
      </w:r>
    </w:p>
  </w:footnote>
  <w:footnote w:id="66">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RUAF</w:t>
      </w:r>
      <w:r>
        <w:rPr>
          <w:rFonts w:ascii="Times New Roman" w:cs="Times New Roman" w:eastAsia="Times New Roman" w:hAnsi="Times New Roman"/>
          <w:color w:val="000000"/>
          <w:sz w:val="18"/>
          <w:szCs w:val="18"/>
        </w:rPr>
        <w:t xml:space="preserve">, campo </w:t>
      </w:r>
      <w:r>
        <w:rPr>
          <w:rFonts w:ascii="Times New Roman" w:cs="Times New Roman" w:eastAsia="Times New Roman" w:hAnsi="Times New Roman"/>
          <w:i/>
          <w:iCs/>
          <w:color w:val="000000"/>
          <w:sz w:val="18"/>
          <w:szCs w:val="18"/>
        </w:rPr>
        <w:t xml:space="preserve">issue_date_matches</w:t>
      </w:r>
      <w:r>
        <w:rPr>
          <w:rFonts w:ascii="Times New Roman" w:cs="Times New Roman" w:eastAsia="Times New Roman" w:hAnsi="Times New Roman"/>
          <w:color w:val="000000"/>
          <w:sz w:val="18"/>
          <w:szCs w:val="18"/>
        </w:rPr>
        <w:t xml:space="preserve">. https://docs.usecroma.com/es/guides/colombia/ruaf</w:t>
      </w:r>
    </w:p>
  </w:footnote>
  <w:footnote w:id="67">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Procuraduría</w:t>
      </w:r>
      <w:r>
        <w:rPr>
          <w:rFonts w:ascii="Times New Roman" w:cs="Times New Roman" w:eastAsia="Times New Roman" w:hAnsi="Times New Roman"/>
          <w:color w:val="000000"/>
          <w:sz w:val="18"/>
          <w:szCs w:val="18"/>
        </w:rPr>
        <w:t xml:space="preserve">, último párrafo de «Respuesta». https://docs.usecroma.com/es/guides/colombia/procuraduria</w:t>
      </w:r>
    </w:p>
  </w:footnote>
  <w:footnote w:id="68">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Registraduría</w:t>
      </w:r>
      <w:r>
        <w:rPr>
          <w:rFonts w:ascii="Times New Roman" w:cs="Times New Roman" w:eastAsia="Times New Roman" w:hAnsi="Times New Roman"/>
          <w:color w:val="000000"/>
          <w:sz w:val="18"/>
          <w:szCs w:val="18"/>
        </w:rPr>
        <w:t xml:space="preserve">, tabla de estados. https://docs.usecroma.com/es/guides/colombia/registraduria</w:t>
      </w:r>
    </w:p>
  </w:footnote>
  <w:footnote w:id="69">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RUNT</w:t>
      </w:r>
      <w:r>
        <w:rPr>
          <w:rFonts w:ascii="Times New Roman" w:cs="Times New Roman" w:eastAsia="Times New Roman" w:hAnsi="Times New Roman"/>
          <w:color w:val="000000"/>
          <w:sz w:val="18"/>
          <w:szCs w:val="18"/>
        </w:rPr>
        <w:t xml:space="preserve">, secciones de los cuatro endpoints. https://docs.usecroma.com/es/guides/colombia/runt</w:t>
      </w:r>
    </w:p>
  </w:footnote>
  <w:footnote w:id="70">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SIMIT</w:t>
      </w:r>
      <w:r>
        <w:rPr>
          <w:rFonts w:ascii="Times New Roman" w:cs="Times New Roman" w:eastAsia="Times New Roman" w:hAnsi="Times New Roman"/>
          <w:color w:val="000000"/>
          <w:sz w:val="18"/>
          <w:szCs w:val="18"/>
        </w:rPr>
        <w:t xml:space="preserve">, descripción general. https://docs.usecroma.com/es/guides/colombia/simit</w:t>
      </w:r>
    </w:p>
  </w:footnote>
  <w:footnote w:id="71">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Mi cuenta DIAN</w:t>
      </w:r>
      <w:r>
        <w:rPr>
          <w:rFonts w:ascii="Times New Roman" w:cs="Times New Roman" w:eastAsia="Times New Roman" w:hAnsi="Times New Roman"/>
          <w:color w:val="000000"/>
          <w:sz w:val="18"/>
          <w:szCs w:val="18"/>
        </w:rPr>
        <w:t xml:space="preserve">, sección «Conecta tu cuenta». https://docs.usecroma.com/es/guides/colombia/dian-muisca</w:t>
      </w:r>
    </w:p>
  </w:footnote>
  <w:footnote w:id="72">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Mis cuentas Bancolombia</w:t>
      </w:r>
      <w:r>
        <w:rPr>
          <w:rFonts w:ascii="Times New Roman" w:cs="Times New Roman" w:eastAsia="Times New Roman" w:hAnsi="Times New Roman"/>
          <w:color w:val="000000"/>
          <w:sz w:val="18"/>
          <w:szCs w:val="18"/>
        </w:rPr>
        <w:t xml:space="preserve">, sección «Conecta tu cuenta». https://docs.usecroma.com/es/guides/colombia/bancolombia</w:t>
      </w:r>
    </w:p>
  </w:footnote>
  <w:footnote w:id="73">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entrada </w:t>
      </w:r>
      <w:r>
        <w:rPr>
          <w:rFonts w:ascii="Times New Roman" w:cs="Times New Roman" w:eastAsia="Times New Roman" w:hAnsi="Times New Roman"/>
          <w:i/>
          <w:iCs/>
          <w:color w:val="000000"/>
          <w:sz w:val="18"/>
          <w:szCs w:val="18"/>
        </w:rPr>
        <w:t xml:space="preserve">dian_electronic_document</w:t>
      </w:r>
      <w:r>
        <w:rPr>
          <w:rFonts w:ascii="Times New Roman" w:cs="Times New Roman" w:eastAsia="Times New Roman" w:hAnsi="Times New Roman"/>
          <w:color w:val="000000"/>
          <w:sz w:val="18"/>
          <w:szCs w:val="18"/>
        </w:rPr>
        <w:t xml:space="preserve">. https://usecroma.com/.well-known/agent-skills/croma-api/SKILL.md</w:t>
      </w:r>
    </w:p>
  </w:footnote>
  <w:footnote w:id="74">
    <w:p>
      <w:pPr>
        <w:spacing w:after="40" w:line="240"/>
      </w:pPr>
      <w:r>
        <w:rPr>
          <w:rStyle w:val="FootnoteReference"/>
        </w:rPr>
        <w:footnoteRef/>
      </w:r>
      <w:r>
        <w:rPr>
          <w:rFonts w:ascii="Times New Roman" w:cs="Times New Roman" w:eastAsia="Times New Roman" w:hAnsi="Times New Roman"/>
          <w:color w:val="000000"/>
          <w:sz w:val="18"/>
          <w:szCs w:val="18"/>
        </w:rPr>
        <w:t xml:space="preserve">Prueba T45 ejecutada por el autor el 12 de octubre de 2026 mediante el servidor MCP de Croma (registro completo en el Anexo C): </w:t>
      </w:r>
      <w:r>
        <w:rPr>
          <w:rFonts w:ascii="Times New Roman" w:cs="Times New Roman" w:eastAsia="Times New Roman" w:hAnsi="Times New Roman"/>
          <w:i/>
          <w:iCs/>
          <w:color w:val="000000"/>
          <w:sz w:val="18"/>
          <w:szCs w:val="18"/>
        </w:rPr>
        <w:t xml:space="preserve">dian_muisca_list_connections</w:t>
      </w:r>
      <w:r>
        <w:rPr>
          <w:rFonts w:ascii="Times New Roman" w:cs="Times New Roman" w:eastAsia="Times New Roman" w:hAnsi="Times New Roman"/>
          <w:color w:val="000000"/>
          <w:sz w:val="18"/>
          <w:szCs w:val="18"/>
        </w:rPr>
        <w:t xml:space="preserve"> devolvió una lista vacía.</w:t>
      </w:r>
    </w:p>
  </w:footnote>
  <w:footnote w:id="75">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Mi cuenta DIAN</w:t>
      </w:r>
      <w:r>
        <w:rPr>
          <w:rFonts w:ascii="Times New Roman" w:cs="Times New Roman" w:eastAsia="Times New Roman" w:hAnsi="Times New Roman"/>
          <w:color w:val="000000"/>
          <w:sz w:val="18"/>
          <w:szCs w:val="18"/>
        </w:rPr>
        <w:t xml:space="preserve">, tabla de estados de conexión. https://docs.usecroma.com/es/guides/colombia/dian-muisca</w:t>
      </w:r>
    </w:p>
  </w:footnote>
  <w:footnote w:id="76">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entradas </w:t>
      </w:r>
      <w:r>
        <w:rPr>
          <w:rFonts w:ascii="Times New Roman" w:cs="Times New Roman" w:eastAsia="Times New Roman" w:hAnsi="Times New Roman"/>
          <w:i/>
          <w:iCs/>
          <w:color w:val="000000"/>
          <w:sz w:val="18"/>
          <w:szCs w:val="18"/>
        </w:rPr>
        <w:t xml:space="preserve">funcion_publica_*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imprenta_*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superfinanciera_*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creg_*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dian_doctrina_*</w:t>
      </w:r>
      <w:r>
        <w:rPr>
          <w:rFonts w:ascii="Times New Roman" w:cs="Times New Roman" w:eastAsia="Times New Roman" w:hAnsi="Times New Roman"/>
          <w:color w:val="000000"/>
          <w:sz w:val="18"/>
          <w:szCs w:val="18"/>
        </w:rPr>
        <w:t xml:space="preserve"> y </w:t>
      </w:r>
      <w:r>
        <w:rPr>
          <w:rFonts w:ascii="Times New Roman" w:cs="Times New Roman" w:eastAsia="Times New Roman" w:hAnsi="Times New Roman"/>
          <w:i/>
          <w:iCs/>
          <w:color w:val="000000"/>
          <w:sz w:val="18"/>
          <w:szCs w:val="18"/>
        </w:rPr>
        <w:t xml:space="preserve">sic_normativa_*</w:t>
      </w:r>
      <w:r>
        <w:rPr>
          <w:rFonts w:ascii="Times New Roman" w:cs="Times New Roman" w:eastAsia="Times New Roman" w:hAnsi="Times New Roman"/>
          <w:color w:val="000000"/>
          <w:sz w:val="18"/>
          <w:szCs w:val="18"/>
        </w:rPr>
        <w:t xml:space="preserve">. https://usecroma.com/.well-known/agent-skills/croma-api/SKILL.md</w:t>
      </w:r>
    </w:p>
  </w:footnote>
  <w:footnote w:id="77">
    <w:p>
      <w:pPr>
        <w:spacing w:after="40" w:line="240"/>
      </w:pPr>
      <w:r>
        <w:rPr>
          <w:rStyle w:val="FootnoteReference"/>
        </w:rPr>
        <w:footnoteRef/>
      </w:r>
      <w:r>
        <w:rPr>
          <w:rFonts w:ascii="Times New Roman" w:cs="Times New Roman" w:eastAsia="Times New Roman" w:hAnsi="Times New Roman"/>
          <w:color w:val="000000"/>
          <w:sz w:val="18"/>
          <w:szCs w:val="18"/>
        </w:rPr>
        <w:t xml:space="preserve">Prueba T35 ejecutada por el autor el 12 de octubre de 2026 mediante el servidor MCP de Croma (registro completo en el Anexo C): la Ley 1581 de 2012 se identificó con </w:t>
      </w:r>
      <w:r>
        <w:rPr>
          <w:rFonts w:ascii="Times New Roman" w:cs="Times New Roman" w:eastAsia="Times New Roman" w:hAnsi="Times New Roman"/>
          <w:i/>
          <w:iCs/>
          <w:color w:val="000000"/>
          <w:sz w:val="18"/>
          <w:szCs w:val="18"/>
        </w:rPr>
        <w:t xml:space="preserve">norm_id</w:t>
      </w:r>
      <w:r>
        <w:rPr>
          <w:rFonts w:ascii="Times New Roman" w:cs="Times New Roman" w:eastAsia="Times New Roman" w:hAnsi="Times New Roman"/>
          <w:color w:val="000000"/>
          <w:sz w:val="18"/>
          <w:szCs w:val="18"/>
        </w:rPr>
        <w:t xml:space="preserve"> 49981, su publicación en el Diario Oficial 48587 y tres decretos reglamentarios enlazados.</w:t>
      </w:r>
    </w:p>
  </w:footnote>
  <w:footnote w:id="78">
    <w:p>
      <w:pPr>
        <w:spacing w:after="40" w:line="240"/>
      </w:pPr>
      <w:r>
        <w:rPr>
          <w:rStyle w:val="FootnoteReference"/>
        </w:rPr>
        <w:footnoteRef/>
      </w:r>
      <w:r>
        <w:rPr>
          <w:rFonts w:ascii="Times New Roman" w:cs="Times New Roman" w:eastAsia="Times New Roman" w:hAnsi="Times New Roman"/>
          <w:color w:val="000000"/>
          <w:sz w:val="18"/>
          <w:szCs w:val="18"/>
        </w:rPr>
        <w:t xml:space="preserve">Prueba T19 ejecutada por el autor el 12 de octubre de 2026 mediante el servidor MCP de Croma (registro completo en el Anexo C): 153 conceptos sobre requisitos de factura electrónica, sin tope.</w:t>
      </w:r>
    </w:p>
  </w:footnote>
  <w:footnote w:id="79">
    <w:p>
      <w:pPr>
        <w:spacing w:after="40" w:line="240"/>
      </w:pPr>
      <w:r>
        <w:rPr>
          <w:rStyle w:val="FootnoteReference"/>
        </w:rPr>
        <w:footnoteRef/>
      </w:r>
      <w:r>
        <w:rPr>
          <w:rFonts w:ascii="Times New Roman" w:cs="Times New Roman" w:eastAsia="Times New Roman" w:hAnsi="Times New Roman"/>
          <w:color w:val="000000"/>
          <w:sz w:val="18"/>
          <w:szCs w:val="18"/>
        </w:rPr>
        <w:t xml:space="preserve">Pruebas T38, T40 ejecutadas por el autor el 12 de octubre de 2026 mediante el servidor MCP de Croma (registro completo en el Anexo C): resultados encabezados por documentos sin relación directa con la consulta.</w:t>
      </w:r>
    </w:p>
  </w:footnote>
  <w:footnote w:id="80">
    <w:p>
      <w:pPr>
        <w:spacing w:after="40" w:line="240"/>
      </w:pPr>
      <w:r>
        <w:rPr>
          <w:rStyle w:val="FootnoteReference"/>
        </w:rPr>
        <w:footnoteRef/>
      </w:r>
      <w:r>
        <w:rPr>
          <w:rFonts w:ascii="Times New Roman" w:cs="Times New Roman" w:eastAsia="Times New Roman" w:hAnsi="Times New Roman"/>
          <w:color w:val="000000"/>
          <w:sz w:val="18"/>
          <w:szCs w:val="18"/>
        </w:rPr>
        <w:t xml:space="preserve">Prueba T18 ejecutada por el autor el 12 de octubre de 2026 mediante el servidor MCP de Croma (registro completo en el Anexo C): la descripción de la Circular Externa 010 de 2013 contiene «&amp;iquest;».</w:t>
      </w:r>
    </w:p>
  </w:footnote>
  <w:footnote w:id="81">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entradas </w:t>
      </w:r>
      <w:r>
        <w:rPr>
          <w:rFonts w:ascii="Times New Roman" w:cs="Times New Roman" w:eastAsia="Times New Roman" w:hAnsi="Times New Roman"/>
          <w:i/>
          <w:iCs/>
          <w:color w:val="000000"/>
          <w:sz w:val="18"/>
          <w:szCs w:val="18"/>
        </w:rPr>
        <w:t xml:space="preserve">sic_*</w:t>
      </w:r>
      <w:r>
        <w:rPr>
          <w:rFonts w:ascii="Times New Roman" w:cs="Times New Roman" w:eastAsia="Times New Roman" w:hAnsi="Times New Roman"/>
          <w:color w:val="000000"/>
          <w:sz w:val="18"/>
          <w:szCs w:val="18"/>
        </w:rPr>
        <w:t xml:space="preserve">. https://usecroma.com/.well-known/agent-skills/croma-api/SKILL.md</w:t>
      </w:r>
    </w:p>
  </w:footnote>
  <w:footnote w:id="82">
    <w:p>
      <w:pPr>
        <w:spacing w:after="40" w:line="240"/>
      </w:pPr>
      <w:r>
        <w:rPr>
          <w:rStyle w:val="FootnoteReference"/>
        </w:rPr>
        <w:footnoteRef/>
      </w:r>
      <w:r>
        <w:rPr>
          <w:rFonts w:ascii="Times New Roman" w:cs="Times New Roman" w:eastAsia="Times New Roman" w:hAnsi="Times New Roman"/>
          <w:color w:val="000000"/>
          <w:sz w:val="18"/>
          <w:szCs w:val="18"/>
        </w:rPr>
        <w:t xml:space="preserve">Prueba T41 ejecutada por el autor el 12 de octubre de 2026 mediante el servidor MCP de Croma (registro completo en el Anexo C): 15 marcas registradas que contienen «RAPPI», con certificado, vigencia y clases.</w:t>
      </w:r>
    </w:p>
  </w:footnote>
  <w:footnote w:id="83">
    <w:p>
      <w:pPr>
        <w:spacing w:after="40" w:line="240"/>
      </w:pPr>
      <w:r>
        <w:rPr>
          <w:rStyle w:val="FootnoteReference"/>
        </w:rPr>
        <w:footnoteRef/>
      </w:r>
      <w:r>
        <w:rPr>
          <w:rFonts w:ascii="Times New Roman" w:cs="Times New Roman" w:eastAsia="Times New Roman" w:hAnsi="Times New Roman"/>
          <w:color w:val="000000"/>
          <w:sz w:val="18"/>
          <w:szCs w:val="18"/>
        </w:rPr>
        <w:t xml:space="preserve">Prueba T56 ejecutada por el autor el 12 de octubre de 2026 mediante el servidor MCP de Croma (registro completo en el Anexo C): Banco Finandina: 43 casos marcarios entre registrados, negados, caducados y rechazados.</w:t>
      </w:r>
    </w:p>
  </w:footnote>
  <w:footnote w:id="84">
    <w:p>
      <w:pPr>
        <w:spacing w:after="40" w:line="240"/>
      </w:pPr>
      <w:r>
        <w:rPr>
          <w:rStyle w:val="FootnoteReference"/>
        </w:rPr>
        <w:footnoteRef/>
      </w:r>
      <w:r>
        <w:rPr>
          <w:rFonts w:ascii="Times New Roman" w:cs="Times New Roman" w:eastAsia="Times New Roman" w:hAnsi="Times New Roman"/>
          <w:color w:val="000000"/>
          <w:sz w:val="18"/>
          <w:szCs w:val="18"/>
        </w:rPr>
        <w:t xml:space="preserve">Prueba T42 ejecutada por el autor el 12 de octubre de 2026 mediante el servidor MCP de Croma (registro completo en el Anexo C): 345 multas en el sector de comercio electrónico; la más reciente, de mayo de 2026.</w:t>
      </w:r>
    </w:p>
  </w:footnote>
  <w:footnote w:id="85">
    <w:p>
      <w:pPr>
        <w:spacing w:after="40" w:line="240"/>
      </w:pPr>
      <w:r>
        <w:rPr>
          <w:rStyle w:val="FootnoteReference"/>
        </w:rPr>
        <w:footnoteRef/>
      </w:r>
      <w:r>
        <w:rPr>
          <w:rFonts w:ascii="Times New Roman" w:cs="Times New Roman" w:eastAsia="Times New Roman" w:hAnsi="Times New Roman"/>
          <w:color w:val="000000"/>
          <w:sz w:val="18"/>
          <w:szCs w:val="18"/>
        </w:rPr>
        <w:t xml:space="preserve">Prueba T43 ejecutada por el autor el 12 de octubre de 2026 mediante el servidor MCP de Croma (registro completo en el Anexo C): misma ventana de fechas, resultados 0 y 306.</w:t>
      </w:r>
    </w:p>
  </w:footnote>
  <w:footnote w:id="86">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entradas </w:t>
      </w:r>
      <w:r>
        <w:rPr>
          <w:rFonts w:ascii="Times New Roman" w:cs="Times New Roman" w:eastAsia="Times New Roman" w:hAnsi="Times New Roman"/>
          <w:i/>
          <w:iCs/>
          <w:color w:val="000000"/>
          <w:sz w:val="18"/>
          <w:szCs w:val="18"/>
        </w:rPr>
        <w:t xml:space="preserve">igac_*</w:t>
      </w:r>
      <w:r>
        <w:rPr>
          <w:rFonts w:ascii="Times New Roman" w:cs="Times New Roman" w:eastAsia="Times New Roman" w:hAnsi="Times New Roman"/>
          <w:color w:val="000000"/>
          <w:sz w:val="18"/>
          <w:szCs w:val="18"/>
        </w:rPr>
        <w:t xml:space="preserve">. https://usecroma.com/.well-known/agent-skills/croma-api/SKILL.md</w:t>
      </w:r>
    </w:p>
  </w:footnote>
  <w:footnote w:id="87">
    <w:p>
      <w:pPr>
        <w:spacing w:after="40" w:line="240"/>
      </w:pPr>
      <w:r>
        <w:rPr>
          <w:rStyle w:val="FootnoteReference"/>
        </w:rPr>
        <w:footnoteRef/>
      </w:r>
      <w:r>
        <w:rPr>
          <w:rFonts w:ascii="Times New Roman" w:cs="Times New Roman" w:eastAsia="Times New Roman" w:hAnsi="Times New Roman"/>
          <w:color w:val="000000"/>
          <w:sz w:val="18"/>
          <w:szCs w:val="18"/>
        </w:rPr>
        <w:t xml:space="preserve">Prueba T29 ejecutada por el autor el 12 de octubre de 2026 mediante el servidor MCP de Croma (registro completo en el Anexo C): Villa de Leyva (15407) es administrado por el IGAC.</w:t>
      </w:r>
    </w:p>
  </w:footnote>
  <w:footnote w:id="88">
    <w:p>
      <w:pPr>
        <w:spacing w:after="40" w:line="240"/>
      </w:pPr>
      <w:r>
        <w:rPr>
          <w:rStyle w:val="FootnoteReference"/>
        </w:rPr>
        <w:footnoteRef/>
      </w:r>
      <w:r>
        <w:rPr>
          <w:rFonts w:ascii="Times New Roman" w:cs="Times New Roman" w:eastAsia="Times New Roman" w:hAnsi="Times New Roman"/>
          <w:color w:val="000000"/>
          <w:sz w:val="18"/>
          <w:szCs w:val="18"/>
        </w:rPr>
        <w:t xml:space="preserve">Pruebas T33, T34 ejecutadas por el autor el 12 de octubre de 2026 mediante el servidor MCP de Croma (registro completo en el Anexo C): predio comercial de 225 m² de terreno y 168 m² construidos con avalúo de 133.255.000 pesos, servido desde la fuente.</w:t>
      </w:r>
    </w:p>
  </w:footnote>
  <w:footnote w:id="89">
    <w:p>
      <w:pPr>
        <w:spacing w:after="40" w:line="240"/>
      </w:pPr>
      <w:r>
        <w:rPr>
          <w:rStyle w:val="FootnoteReference"/>
        </w:rPr>
        <w:footnoteRef/>
      </w:r>
      <w:r>
        <w:rPr>
          <w:rFonts w:ascii="Times New Roman" w:cs="Times New Roman" w:eastAsia="Times New Roman" w:hAnsi="Times New Roman"/>
          <w:color w:val="000000"/>
          <w:sz w:val="18"/>
          <w:szCs w:val="18"/>
        </w:rPr>
        <w:t xml:space="preserve">Prueba T31 ejecutada por el autor el 12 de octubre de 2026 mediante el servidor MCP de Croma (registro completo en el Anexo C): última actualización urbana y rural en 2013, estado «Desactualizado».</w:t>
      </w:r>
    </w:p>
  </w:footnote>
  <w:footnote w:id="90">
    <w:p>
      <w:pPr>
        <w:spacing w:after="40" w:line="240"/>
      </w:pPr>
      <w:r>
        <w:rPr>
          <w:rStyle w:val="FootnoteReference"/>
        </w:rPr>
        <w:footnoteRef/>
      </w:r>
      <w:r>
        <w:rPr>
          <w:rFonts w:ascii="Times New Roman" w:cs="Times New Roman" w:eastAsia="Times New Roman" w:hAnsi="Times New Roman"/>
          <w:color w:val="000000"/>
          <w:sz w:val="18"/>
          <w:szCs w:val="18"/>
        </w:rPr>
        <w:t xml:space="preserve">Prueba T30 ejecutada por el autor el 12 de octubre de 2026 mediante el servidor MCP de Croma (registro completo en el Anexo C): la plaza principal de Villa de Leyva no tiene predio asociado.</w:t>
      </w:r>
    </w:p>
  </w:footnote>
  <w:footnote w:id="91">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entradas </w:t>
      </w:r>
      <w:r>
        <w:rPr>
          <w:rFonts w:ascii="Times New Roman" w:cs="Times New Roman" w:eastAsia="Times New Roman" w:hAnsi="Times New Roman"/>
          <w:i/>
          <w:iCs/>
          <w:color w:val="000000"/>
          <w:sz w:val="18"/>
          <w:szCs w:val="18"/>
        </w:rPr>
        <w:t xml:space="preserve">dane_*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banrep_*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terridata_*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icfes_*</w:t>
      </w:r>
      <w:r>
        <w:rPr>
          <w:rFonts w:ascii="Times New Roman" w:cs="Times New Roman" w:eastAsia="Times New Roman" w:hAnsi="Times New Roman"/>
          <w:color w:val="000000"/>
          <w:sz w:val="18"/>
          <w:szCs w:val="18"/>
        </w:rPr>
        <w:t xml:space="preserve"> y </w:t>
      </w:r>
      <w:r>
        <w:rPr>
          <w:rFonts w:ascii="Times New Roman" w:cs="Times New Roman" w:eastAsia="Times New Roman" w:hAnsi="Times New Roman"/>
          <w:i/>
          <w:iCs/>
          <w:color w:val="000000"/>
          <w:sz w:val="18"/>
          <w:szCs w:val="18"/>
        </w:rPr>
        <w:t xml:space="preserve">mineducacion_*</w:t>
      </w:r>
      <w:r>
        <w:rPr>
          <w:rFonts w:ascii="Times New Roman" w:cs="Times New Roman" w:eastAsia="Times New Roman" w:hAnsi="Times New Roman"/>
          <w:color w:val="000000"/>
          <w:sz w:val="18"/>
          <w:szCs w:val="18"/>
        </w:rPr>
        <w:t xml:space="preserve">. https://usecroma.com/.well-known/agent-skills/croma-api/SKILL.md</w:t>
      </w:r>
    </w:p>
  </w:footnote>
  <w:footnote w:id="92">
    <w:p>
      <w:pPr>
        <w:spacing w:after="40" w:line="240"/>
      </w:pPr>
      <w:r>
        <w:rPr>
          <w:rStyle w:val="FootnoteReference"/>
        </w:rPr>
        <w:footnoteRef/>
      </w:r>
      <w:r>
        <w:rPr>
          <w:rFonts w:ascii="Times New Roman" w:cs="Times New Roman" w:eastAsia="Times New Roman" w:hAnsi="Times New Roman"/>
          <w:color w:val="000000"/>
          <w:sz w:val="18"/>
          <w:szCs w:val="18"/>
        </w:rPr>
        <w:t xml:space="preserve">Prueba T36 ejecutada por el autor el 12 de octubre de 2026 mediante el servidor MCP de Croma (registro completo en el Anexo C): TRM de octubre de 2026 con fuente Superintendencia Financiera y próxima carga anunciada.</w:t>
      </w:r>
    </w:p>
  </w:footnote>
  <w:footnote w:id="93">
    <w:p>
      <w:pPr>
        <w:spacing w:after="40" w:line="240"/>
      </w:pPr>
      <w:r>
        <w:rPr>
          <w:rStyle w:val="FootnoteReference"/>
        </w:rPr>
        <w:footnoteRef/>
      </w:r>
      <w:r>
        <w:rPr>
          <w:rFonts w:ascii="Times New Roman" w:cs="Times New Roman" w:eastAsia="Times New Roman" w:hAnsi="Times New Roman"/>
          <w:color w:val="000000"/>
          <w:sz w:val="18"/>
          <w:szCs w:val="18"/>
        </w:rPr>
        <w:t xml:space="preserve">Prueba T47 ejecutada por el autor el 12 de octubre de 2026 mediante el servidor MCP de Croma (registro completo en el Anexo C): la incidencia nacional de pobreza monetaria fue 28,0 % en 2025, frente a 31,8 % en 2024.</w:t>
      </w:r>
    </w:p>
  </w:footnote>
  <w:footnote w:id="94">
    <w:p>
      <w:pPr>
        <w:spacing w:after="40" w:line="240"/>
      </w:pPr>
      <w:r>
        <w:rPr>
          <w:rStyle w:val="FootnoteReference"/>
        </w:rPr>
        <w:footnoteRef/>
      </w:r>
      <w:r>
        <w:rPr>
          <w:rFonts w:ascii="Times New Roman" w:cs="Times New Roman" w:eastAsia="Times New Roman" w:hAnsi="Times New Roman"/>
          <w:color w:val="000000"/>
          <w:sz w:val="18"/>
          <w:szCs w:val="18"/>
        </w:rPr>
        <w:t xml:space="preserve">Prueba T48 ejecutada por el autor el 12 de octubre de 2026 mediante el servidor MCP de Croma (registro completo en el Anexo C): catálogo de TerriData con ambos índices.</w:t>
      </w:r>
    </w:p>
  </w:footnote>
  <w:footnote w:id="95">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entradas </w:t>
      </w:r>
      <w:r>
        <w:rPr>
          <w:rFonts w:ascii="Times New Roman" w:cs="Times New Roman" w:eastAsia="Times New Roman" w:hAnsi="Times New Roman"/>
          <w:i/>
          <w:iCs/>
          <w:color w:val="000000"/>
          <w:sz w:val="18"/>
          <w:szCs w:val="18"/>
        </w:rPr>
        <w:t xml:space="preserve">invima_*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anm_*</w:t>
      </w:r>
      <w:r>
        <w:rPr>
          <w:rFonts w:ascii="Times New Roman" w:cs="Times New Roman" w:eastAsia="Times New Roman" w:hAnsi="Times New Roman"/>
          <w:color w:val="000000"/>
          <w:sz w:val="18"/>
          <w:szCs w:val="18"/>
        </w:rPr>
        <w:t xml:space="preserve"> y </w:t>
      </w:r>
      <w:r>
        <w:rPr>
          <w:rFonts w:ascii="Times New Roman" w:cs="Times New Roman" w:eastAsia="Times New Roman" w:hAnsi="Times New Roman"/>
          <w:i/>
          <w:iCs/>
          <w:color w:val="000000"/>
          <w:sz w:val="18"/>
          <w:szCs w:val="18"/>
        </w:rPr>
        <w:t xml:space="preserve">siata_*</w:t>
      </w:r>
      <w:r>
        <w:rPr>
          <w:rFonts w:ascii="Times New Roman" w:cs="Times New Roman" w:eastAsia="Times New Roman" w:hAnsi="Times New Roman"/>
          <w:color w:val="000000"/>
          <w:sz w:val="18"/>
          <w:szCs w:val="18"/>
        </w:rPr>
        <w:t xml:space="preserve">. https://usecroma.com/.well-known/agent-skills/croma-api/SKILL.md</w:t>
      </w:r>
    </w:p>
  </w:footnote>
  <w:footnote w:id="96">
    <w:p>
      <w:pPr>
        <w:spacing w:after="40" w:line="240"/>
      </w:pPr>
      <w:r>
        <w:rPr>
          <w:rStyle w:val="FootnoteReference"/>
        </w:rPr>
        <w:footnoteRef/>
      </w:r>
      <w:r>
        <w:rPr>
          <w:rFonts w:ascii="Times New Roman" w:cs="Times New Roman" w:eastAsia="Times New Roman" w:hAnsi="Times New Roman"/>
          <w:color w:val="000000"/>
          <w:sz w:val="18"/>
          <w:szCs w:val="18"/>
        </w:rPr>
        <w:t xml:space="preserve">Prueba T32 ejecutada por el autor el 12 de octubre de 2026 mediante el servidor MCP de Croma (registro completo en el Anexo C): el principio activo acetaminofén con CUM activo alcanzó el tope de 1.000 resultados.</w:t>
      </w:r>
    </w:p>
  </w:footnote>
  <w:footnote w:id="97">
    <w:p>
      <w:pPr>
        <w:spacing w:after="40" w:line="240"/>
      </w:pPr>
      <w:r>
        <w:rPr>
          <w:rStyle w:val="FootnoteReference"/>
        </w:rPr>
        <w:footnoteRef/>
      </w:r>
      <w:r>
        <w:rPr>
          <w:rFonts w:ascii="Times New Roman" w:cs="Times New Roman" w:eastAsia="Times New Roman" w:hAnsi="Times New Roman"/>
          <w:color w:val="000000"/>
          <w:sz w:val="18"/>
          <w:szCs w:val="18"/>
        </w:rPr>
        <w:t xml:space="preserve">Prueba T37 ejecutada por el autor el 12 de octubre de 2026 mediante el servidor MCP de Croma (registro completo en el Anexo C): 236 avisos de la oficina de Medellín en 2026.</w:t>
      </w:r>
    </w:p>
  </w:footnote>
  <w:footnote w:id="98">
    <w:p>
      <w:pPr>
        <w:spacing w:after="40" w:line="240"/>
      </w:pPr>
      <w:r>
        <w:rPr>
          <w:rStyle w:val="FootnoteReference"/>
        </w:rPr>
        <w:footnoteRef/>
      </w:r>
      <w:r>
        <w:rPr>
          <w:rFonts w:ascii="Times New Roman" w:cs="Times New Roman" w:eastAsia="Times New Roman" w:hAnsi="Times New Roman"/>
          <w:color w:val="000000"/>
          <w:sz w:val="18"/>
          <w:szCs w:val="18"/>
        </w:rPr>
        <w:t xml:space="preserve">Prueba T49 ejecutada por el autor el 12 de octubre de 2026 mediante el servidor MCP de Croma (registro completo en el Anexo C): una estación reportó NO₂ de −999 ppb con índice −500 y categoría «Buena».</w:t>
      </w:r>
    </w:p>
  </w:footnote>
  <w:footnote w:id="99">
    <w:p>
      <w:pPr>
        <w:spacing w:after="40" w:line="240"/>
      </w:pPr>
      <w:r>
        <w:rPr>
          <w:rStyle w:val="FootnoteReference"/>
        </w:rPr>
        <w:footnoteRef/>
      </w:r>
      <w:r>
        <w:rPr>
          <w:rFonts w:ascii="Times New Roman" w:cs="Times New Roman" w:eastAsia="Times New Roman" w:hAnsi="Times New Roman"/>
          <w:color w:val="000000"/>
          <w:sz w:val="18"/>
          <w:szCs w:val="18"/>
        </w:rPr>
        <w:t xml:space="preserve">Prueba T60 ejecutada por el autor el 12 de octubre de 2026 mediante el servidor MCP de Croma (registro completo en el Anexo C): la lista de alertas activas estaba vacía.</w:t>
      </w:r>
    </w:p>
  </w:footnote>
  <w:footnote w:id="100">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Croma API: Agent Skill (SKILL.md)</w:t>
      </w:r>
      <w:r>
        <w:rPr>
          <w:rFonts w:ascii="Times New Roman" w:cs="Times New Roman" w:eastAsia="Times New Roman" w:hAnsi="Times New Roman"/>
          <w:color w:val="000000"/>
          <w:sz w:val="18"/>
          <w:szCs w:val="18"/>
        </w:rPr>
        <w:t xml:space="preserve">, entradas </w:t>
      </w:r>
      <w:r>
        <w:rPr>
          <w:rFonts w:ascii="Times New Roman" w:cs="Times New Roman" w:eastAsia="Times New Roman" w:hAnsi="Times New Roman"/>
          <w:i/>
          <w:iCs/>
          <w:color w:val="000000"/>
          <w:sz w:val="18"/>
          <w:szCs w:val="18"/>
        </w:rPr>
        <w:t xml:space="preserve">suit_*</w:t>
      </w:r>
      <w:r>
        <w:rPr>
          <w:rFonts w:ascii="Times New Roman" w:cs="Times New Roman" w:eastAsia="Times New Roman" w:hAnsi="Times New Roman"/>
          <w:color w:val="000000"/>
          <w:sz w:val="18"/>
          <w:szCs w:val="18"/>
        </w:rPr>
        <w:t xml:space="preserve">, </w:t>
      </w:r>
      <w:r>
        <w:rPr>
          <w:rFonts w:ascii="Times New Roman" w:cs="Times New Roman" w:eastAsia="Times New Roman" w:hAnsi="Times New Roman"/>
          <w:i/>
          <w:iCs/>
          <w:color w:val="000000"/>
          <w:sz w:val="18"/>
          <w:szCs w:val="18"/>
        </w:rPr>
        <w:t xml:space="preserve">gov_pages_*</w:t>
      </w:r>
      <w:r>
        <w:rPr>
          <w:rFonts w:ascii="Times New Roman" w:cs="Times New Roman" w:eastAsia="Times New Roman" w:hAnsi="Times New Roman"/>
          <w:color w:val="000000"/>
          <w:sz w:val="18"/>
          <w:szCs w:val="18"/>
        </w:rPr>
        <w:t xml:space="preserve"> y sección «Global (web)». https://usecroma.com/.well-known/agent-skills/croma-api/SKILL.md</w:t>
      </w:r>
    </w:p>
  </w:footnote>
  <w:footnote w:id="101">
    <w:p>
      <w:pPr>
        <w:spacing w:after="40" w:line="240"/>
      </w:pPr>
      <w:r>
        <w:rPr>
          <w:rStyle w:val="FootnoteReference"/>
        </w:rPr>
        <w:footnoteRef/>
      </w:r>
      <w:r>
        <w:rPr>
          <w:rFonts w:ascii="Times New Roman" w:cs="Times New Roman" w:eastAsia="Times New Roman" w:hAnsi="Times New Roman"/>
          <w:color w:val="000000"/>
          <w:sz w:val="18"/>
          <w:szCs w:val="18"/>
        </w:rPr>
        <w:t xml:space="preserve">Prueba T39 ejecutada por el autor el 12 de octubre de 2026 mediante el servidor MCP de Croma (registro completo en el Anexo C): cinco trámites de Villa de Leyva relacionados con licencias de construcción.</w:t>
      </w:r>
    </w:p>
  </w:footnote>
  <w:footnote w:id="102">
    <w:p>
      <w:pPr>
        <w:spacing w:after="40" w:line="240"/>
      </w:pPr>
      <w:r>
        <w:rPr>
          <w:rStyle w:val="FootnoteReference"/>
        </w:rPr>
        <w:footnoteRef/>
      </w:r>
      <w:r>
        <w:rPr>
          <w:rFonts w:ascii="Times New Roman" w:cs="Times New Roman" w:eastAsia="Times New Roman" w:hAnsi="Times New Roman"/>
          <w:color w:val="000000"/>
          <w:sz w:val="18"/>
          <w:szCs w:val="18"/>
        </w:rPr>
        <w:t xml:space="preserve">Prueba T50 ejecutada por el autor el 12 de octubre de 2026 mediante el servidor MCP de Croma (registro completo en el Anexo C): cinco páginas de apostilla y legalización en línea.</w:t>
      </w:r>
    </w:p>
  </w:footnote>
  <w:footnote w:id="103">
    <w:p>
      <w:pPr>
        <w:spacing w:after="40" w:line="240"/>
      </w:pPr>
      <w:r>
        <w:rPr>
          <w:rStyle w:val="FootnoteReference"/>
        </w:rPr>
        <w:footnoteRef/>
      </w:r>
      <w:r>
        <w:rPr>
          <w:rFonts w:ascii="Times New Roman" w:cs="Times New Roman" w:eastAsia="Times New Roman" w:hAnsi="Times New Roman"/>
          <w:color w:val="000000"/>
          <w:sz w:val="18"/>
          <w:szCs w:val="18"/>
        </w:rPr>
        <w:t xml:space="preserve">Prueba T53 ejecutada por el autor el 12 de octubre de 2026 mediante el servidor MCP de Croma (registro completo en el Anexo C): la página de apostilla en línea produjo seis pasos y las tarifas de apostilla y legalización.</w:t>
      </w:r>
    </w:p>
  </w:footnote>
  <w:footnote w:id="104">
    <w:p>
      <w:pPr>
        <w:spacing w:after="40" w:line="240"/>
      </w:pPr>
      <w:r>
        <w:rPr>
          <w:rStyle w:val="FootnoteReference"/>
        </w:rPr>
        <w:footnoteRef/>
      </w:r>
      <w:r>
        <w:rPr>
          <w:rFonts w:ascii="Times New Roman" w:cs="Times New Roman" w:eastAsia="Times New Roman" w:hAnsi="Times New Roman"/>
          <w:color w:val="000000"/>
          <w:sz w:val="18"/>
          <w:szCs w:val="18"/>
        </w:rPr>
        <w:t xml:space="preserve">Prueba T52 ejecutada por el autor el 12 de octubre de 2026 mediante el servidor MCP de Croma (registro completo en el Anexo C): tres intentos fallidos sobre gov.co; el esquema con </w:t>
      </w:r>
      <w:r>
        <w:rPr>
          <w:rFonts w:ascii="Times New Roman" w:cs="Times New Roman" w:eastAsia="Times New Roman" w:hAnsi="Times New Roman"/>
          <w:i/>
          <w:iCs/>
          <w:color w:val="000000"/>
          <w:sz w:val="18"/>
          <w:szCs w:val="18"/>
        </w:rPr>
        <w:t xml:space="preserve">["string","null"]</w:t>
      </w:r>
      <w:r>
        <w:rPr>
          <w:rFonts w:ascii="Times New Roman" w:cs="Times New Roman" w:eastAsia="Times New Roman" w:hAnsi="Times New Roman"/>
          <w:color w:val="000000"/>
          <w:sz w:val="18"/>
          <w:szCs w:val="18"/>
        </w:rPr>
        <w:t xml:space="preserve"> fue rechazado por inválido.</w:t>
      </w:r>
    </w:p>
  </w:footnote>
  <w:footnote w:id="105">
    <w:p>
      <w:pPr>
        <w:spacing w:after="40" w:line="240"/>
      </w:pPr>
      <w:r>
        <w:rPr>
          <w:rStyle w:val="FootnoteReference"/>
        </w:rPr>
        <w:footnoteRef/>
      </w:r>
      <w:r>
        <w:rPr>
          <w:rFonts w:ascii="Times New Roman" w:cs="Times New Roman" w:eastAsia="Times New Roman" w:hAnsi="Times New Roman"/>
          <w:color w:val="000000"/>
          <w:sz w:val="18"/>
          <w:szCs w:val="18"/>
        </w:rPr>
        <w:t xml:space="preserve">Prueba T54 ejecutada por el autor el 12 de octubre de 2026 mediante el servidor MCP de Croma (registro completo en el Anexo C): el informe sobre precios coincidió con la página oficial, que luego se verificó.</w:t>
      </w:r>
    </w:p>
  </w:footnote>
  <w:footnote w:id="106">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Monitores desde Claude</w:t>
      </w:r>
      <w:r>
        <w:rPr>
          <w:rFonts w:ascii="Times New Roman" w:cs="Times New Roman" w:eastAsia="Times New Roman" w:hAnsi="Times New Roman"/>
          <w:color w:val="000000"/>
          <w:sz w:val="18"/>
          <w:szCs w:val="18"/>
        </w:rPr>
        <w:t xml:space="preserve">, sección «Las herramientas». https://docs.usecroma.com/es/monitors-mcp</w:t>
      </w:r>
    </w:p>
  </w:footnote>
  <w:footnote w:id="107">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Monitores</w:t>
      </w:r>
      <w:r>
        <w:rPr>
          <w:rFonts w:ascii="Times New Roman" w:cs="Times New Roman" w:eastAsia="Times New Roman" w:hAnsi="Times New Roman"/>
          <w:color w:val="000000"/>
          <w:sz w:val="18"/>
          <w:szCs w:val="18"/>
        </w:rPr>
        <w:t xml:space="preserve">, secciones «Frecuencias» y «Créditos y límites». https://docs.usecroma.com/es/monitors</w:t>
      </w:r>
    </w:p>
  </w:footnote>
  <w:footnote w:id="108">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Créditos</w:t>
      </w:r>
      <w:r>
        <w:rPr>
          <w:rFonts w:ascii="Times New Roman" w:cs="Times New Roman" w:eastAsia="Times New Roman" w:hAnsi="Times New Roman"/>
          <w:color w:val="000000"/>
          <w:sz w:val="18"/>
          <w:szCs w:val="18"/>
        </w:rPr>
        <w:t xml:space="preserve">, tabla de costos. https://docs.usecroma.com/es/credits</w:t>
      </w:r>
    </w:p>
  </w:footnote>
  <w:footnote w:id="109">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Solicitudes en lote</w:t>
      </w:r>
      <w:r>
        <w:rPr>
          <w:rFonts w:ascii="Times New Roman" w:cs="Times New Roman" w:eastAsia="Times New Roman" w:hAnsi="Times New Roman"/>
          <w:color w:val="000000"/>
          <w:sz w:val="18"/>
          <w:szCs w:val="18"/>
        </w:rPr>
        <w:t xml:space="preserve">, sección «Límites y comportamiento». https://docs.usecroma.com/es/batch</w:t>
      </w:r>
    </w:p>
  </w:footnote>
  <w:footnote w:id="110">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Precios: planes y créditos de la API de Croma</w:t>
      </w:r>
      <w:r>
        <w:rPr>
          <w:rFonts w:ascii="Times New Roman" w:cs="Times New Roman" w:eastAsia="Times New Roman" w:hAnsi="Times New Roman"/>
          <w:color w:val="000000"/>
          <w:sz w:val="18"/>
          <w:szCs w:val="18"/>
        </w:rPr>
        <w:t xml:space="preserve">, sección «Cómo funcionan los créditos». https://usecroma.com/es/pricing</w:t>
      </w:r>
    </w:p>
  </w:footnote>
  <w:footnote w:id="111">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Monitores desde Claude</w:t>
      </w:r>
      <w:r>
        <w:rPr>
          <w:rFonts w:ascii="Times New Roman" w:cs="Times New Roman" w:eastAsia="Times New Roman" w:hAnsi="Times New Roman"/>
          <w:color w:val="000000"/>
          <w:sz w:val="18"/>
          <w:szCs w:val="18"/>
        </w:rPr>
        <w:t xml:space="preserve">, sección «Pídelo». https://docs.usecroma.com/es/monitors-mcp</w:t>
      </w:r>
    </w:p>
  </w:footnote>
  <w:footnote w:id="112">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Versionado y deprecación</w:t>
      </w:r>
      <w:r>
        <w:rPr>
          <w:rFonts w:ascii="Times New Roman" w:cs="Times New Roman" w:eastAsia="Times New Roman" w:hAnsi="Times New Roman"/>
          <w:color w:val="000000"/>
          <w:sz w:val="18"/>
          <w:szCs w:val="18"/>
        </w:rPr>
        <w:t xml:space="preserve">, sección «Lo que esto no cubre». https://docs.usecroma.com/es/versioning</w:t>
      </w:r>
    </w:p>
  </w:footnote>
  <w:footnote w:id="113">
    <w:p>
      <w:pPr>
        <w:spacing w:after="40" w:line="240"/>
      </w:pPr>
      <w:r>
        <w:rPr>
          <w:rStyle w:val="FootnoteReference"/>
        </w:rPr>
        <w:footnoteRef/>
      </w:r>
      <w:r>
        <w:rPr>
          <w:rFonts w:ascii="Times New Roman" w:cs="Times New Roman" w:eastAsia="Times New Roman" w:hAnsi="Times New Roman"/>
          <w:color w:val="000000"/>
          <w:sz w:val="18"/>
          <w:szCs w:val="18"/>
        </w:rPr>
        <w:t xml:space="preserve">Prueba T35 ejecutada por el autor el 12 de octubre de 2026 mediante el servidor MCP de Croma (registro completo en el Anexo C): resumen oficial de la Ley 1581 de 2012 en el Gestor Normativo de Función Pública, consultado mediante </w:t>
      </w:r>
      <w:r>
        <w:rPr>
          <w:rFonts w:ascii="Times New Roman" w:cs="Times New Roman" w:eastAsia="Times New Roman" w:hAnsi="Times New Roman"/>
          <w:i/>
          <w:iCs/>
          <w:color w:val="000000"/>
          <w:sz w:val="18"/>
          <w:szCs w:val="18"/>
        </w:rPr>
        <w:t xml:space="preserve">funcion_publica_norms_search</w:t>
      </w:r>
      <w:r>
        <w:rPr>
          <w:rFonts w:ascii="Times New Roman" w:cs="Times New Roman" w:eastAsia="Times New Roman" w:hAnsi="Times New Roman"/>
          <w:color w:val="000000"/>
          <w:sz w:val="18"/>
          <w:szCs w:val="18"/>
        </w:rPr>
        <w:t xml:space="preserve">.</w:t>
      </w:r>
    </w:p>
  </w:footnote>
  <w:footnote w:id="114">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Contraloría</w:t>
      </w:r>
      <w:r>
        <w:rPr>
          <w:rFonts w:ascii="Times New Roman" w:cs="Times New Roman" w:eastAsia="Times New Roman" w:hAnsi="Times New Roman"/>
          <w:color w:val="000000"/>
          <w:sz w:val="18"/>
          <w:szCs w:val="18"/>
        </w:rPr>
        <w:t xml:space="preserve">, campo </w:t>
      </w:r>
      <w:r>
        <w:rPr>
          <w:rFonts w:ascii="Times New Roman" w:cs="Times New Roman" w:eastAsia="Times New Roman" w:hAnsi="Times New Roman"/>
          <w:i/>
          <w:iCs/>
          <w:color w:val="000000"/>
          <w:sz w:val="18"/>
          <w:szCs w:val="18"/>
        </w:rPr>
        <w:t xml:space="preserve">verification_code</w:t>
      </w:r>
      <w:r>
        <w:rPr>
          <w:rFonts w:ascii="Times New Roman" w:cs="Times New Roman" w:eastAsia="Times New Roman" w:hAnsi="Times New Roman"/>
          <w:color w:val="000000"/>
          <w:sz w:val="18"/>
          <w:szCs w:val="18"/>
        </w:rPr>
        <w:t xml:space="preserve">. https://docs.usecroma.com/es/guides/colombia/contraloria</w:t>
      </w:r>
    </w:p>
  </w:footnote>
  <w:footnote w:id="115">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Mis cuentas Bancolombia</w:t>
      </w:r>
      <w:r>
        <w:rPr>
          <w:rFonts w:ascii="Times New Roman" w:cs="Times New Roman" w:eastAsia="Times New Roman" w:hAnsi="Times New Roman"/>
          <w:color w:val="000000"/>
          <w:sz w:val="18"/>
          <w:szCs w:val="18"/>
        </w:rPr>
        <w:t xml:space="preserve">, tabla de la solicitud de conexión. https://docs.usecroma.com/es/guides/colombia/bancolombia</w:t>
      </w:r>
    </w:p>
  </w:footnote>
  <w:footnote w:id="116">
    <w:p>
      <w:pPr>
        <w:spacing w:after="40" w:line="240"/>
      </w:pPr>
      <w:r>
        <w:rPr>
          <w:rStyle w:val="FootnoteReference"/>
        </w:rPr>
        <w:footnoteRef/>
      </w:r>
      <w:r>
        <w:rPr>
          <w:rFonts w:ascii="Times New Roman" w:cs="Times New Roman" w:eastAsia="Times New Roman" w:hAnsi="Times New Roman"/>
          <w:color w:val="000000"/>
          <w:sz w:val="18"/>
          <w:szCs w:val="18"/>
        </w:rPr>
        <w:t xml:space="preserve">Croma (2026), </w:t>
      </w:r>
      <w:r>
        <w:rPr>
          <w:rFonts w:ascii="Times New Roman" w:cs="Times New Roman" w:eastAsia="Times New Roman" w:hAnsi="Times New Roman"/>
          <w:i/>
          <w:iCs/>
          <w:color w:val="000000"/>
          <w:sz w:val="18"/>
          <w:szCs w:val="18"/>
        </w:rPr>
        <w:t xml:space="preserve">Industrias: datos oficiales para cada equipo</w:t>
      </w:r>
      <w:r>
        <w:rPr>
          <w:rFonts w:ascii="Times New Roman" w:cs="Times New Roman" w:eastAsia="Times New Roman" w:hAnsi="Times New Roman"/>
          <w:color w:val="000000"/>
          <w:sz w:val="18"/>
          <w:szCs w:val="18"/>
        </w:rPr>
        <w:t xml:space="preserve">, secciones de industrias y soluciones. https://usecroma.com/es/industries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color w:val="000000"/>
        <w:sz w:val="18"/>
        <w:szCs w:val="18"/>
      </w:rPr>
      <w:t xml:space="preserve">Cuadernos LegalTech Colombia · Informe técnico · Datos públicos e inteligencia artificial · 12 de octubre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iePagina">
    <w:name w:val="Pie de pagina"/>
    <w:basedOn w:val="Normal"/>
    <w:qFormat/>
    <w:pPr>
      <w:spacing w:after="0" w:before="0"/>
    </w:pPr>
    <w:rPr>
      <w:rFonts w:ascii="Times New Roman" w:cs="Times New Roman" w:eastAsia="Times New Roman" w:hAnsi="Times New Roman"/>
      <w:color w:val="000000"/>
      <w:sz w:val="18"/>
      <w:szCs w:val="18"/>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3"/>
      <w:szCs w:val="23"/>
    </w:rPr>
  </w:style>
  <w:style w:type="paragraph" w:styleId="FootnoteText">
    <w:name w:val="footnote text"/>
    <w:basedOn w:val="Normal"/>
    <w:pPr>
      <w:spacing w:after="40" w:line="240"/>
    </w:pPr>
    <w:rPr>
      <w:rFonts w:ascii="Times New Roman" w:cs="Times New Roman" w:eastAsia="Times New Roman" w:hAnsi="Times New Roman"/>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46c091c0ba4b2ab261992ab4729ebfc808f854.svg"/><Relationship Id="rId10" Type="http://schemas.openxmlformats.org/officeDocument/2006/relationships/image" Target="media/f0dc072642682bd373aa82c498780c74371d0b8c.png"/><Relationship Id="rId11" Type="http://schemas.openxmlformats.org/officeDocument/2006/relationships/image" Target="media/3a4cf1c6edbf12071bcb1aa9b10aa26d5f943058.svg"/><Relationship Id="rId12" Type="http://schemas.openxmlformats.org/officeDocument/2006/relationships/image" Target="media/329747fa21eff771831b2e82a8696141bf799ccf.png"/><Relationship Id="rId13" Type="http://schemas.openxmlformats.org/officeDocument/2006/relationships/image" Target="media/3f27c27756cef6d290ec03fd2a3d2a158e9576a7.svg"/><Relationship Id="rId14" Type="http://schemas.openxmlformats.org/officeDocument/2006/relationships/image" Target="media/c6da3d44030c1e2cf2278d3ed1e50bb6bcee7669.png"/><Relationship Id="rId15" Type="http://schemas.openxmlformats.org/officeDocument/2006/relationships/image" Target="media/aa8dff796c678201a573d29d9c9520776d75f9ce.svg"/><Relationship Id="rId16" Type="http://schemas.openxmlformats.org/officeDocument/2006/relationships/image" Target="media/7ef3d04df925e7833810cb1996320a2a40440912.png"/><Relationship Id="rId17" Type="http://schemas.openxmlformats.org/officeDocument/2006/relationships/image" Target="media/a40a764270349885316c9330a2c181bf925a681e.svg"/><Relationship Id="rId18" Type="http://schemas.openxmlformats.org/officeDocument/2006/relationships/image" Target="media/b80c894bdd3f119faa65c61e076582d6cfacf306.png"/><Relationship Id="rId19" Type="http://schemas.openxmlformats.org/officeDocument/2006/relationships/image" Target="media/202613fbb69dd2a6be536486f1bc0f1975e331f3.svg"/><Relationship Id="rId20" Type="http://schemas.openxmlformats.org/officeDocument/2006/relationships/image" Target="media/4a2c630336e3c66356f959ebb16bfbb0f6e31267.png"/><Relationship Id="rId21" Type="http://schemas.openxmlformats.org/officeDocument/2006/relationships/image" Target="media/10afc82f4596cf1fd4044031ca70529cbf8bb3d2.svg"/><Relationship Id="rId22" Type="http://schemas.openxmlformats.org/officeDocument/2006/relationships/image" Target="media/712800c3f12a55cf84f057947443dcb11066fd34.png"/><Relationship Id="rId23" Type="http://schemas.openxmlformats.org/officeDocument/2006/relationships/image" Target="media/6cf5aa8b934f408c2811f222294bc45318773bca.svg"/><Relationship Id="rId24" Type="http://schemas.openxmlformats.org/officeDocument/2006/relationships/image" Target="media/208e74f0cc11b2f737c66a70daf9fc405bd349a6.png"/><Relationship Id="rId25" Type="http://schemas.openxmlformats.org/officeDocument/2006/relationships/image" Target="media/8d1832e7571dcc96cab127eb5c70b8c1d6550bad.svg"/><Relationship Id="rId26" Type="http://schemas.openxmlformats.org/officeDocument/2006/relationships/image" Target="media/8a29525872662dac3b3f99e4298367970d305803.png"/><Relationship Id="rId27" Type="http://schemas.openxmlformats.org/officeDocument/2006/relationships/image" Target="media/37291c5fe83e22be75279df0251b1b554ed2e11b.svg"/><Relationship Id="rId28" Type="http://schemas.openxmlformats.org/officeDocument/2006/relationships/image" Target="media/32fd2819fc1d27fbf4b287e6911125df774fccac.png"/><Relationship Id="rId29" Type="http://schemas.openxmlformats.org/officeDocument/2006/relationships/image" Target="media/c906199243ee053044bf2b69d59dd7a6e27d2101.svg"/><Relationship Id="rId30" Type="http://schemas.openxmlformats.org/officeDocument/2006/relationships/image" Target="media/ac0eef9f217566db99d0f6e477399c9274cbe247.png"/><Relationship Id="rId31" Type="http://schemas.openxmlformats.org/officeDocument/2006/relationships/image" Target="media/151d84acb12d1903c2006d529d97310d04a6495c.svg"/><Relationship Id="rId32" Type="http://schemas.openxmlformats.org/officeDocument/2006/relationships/image" Target="media/d417ce9f78717ed93dc9031de52b835c07a14c5e.png"/><Relationship Id="rId33" Type="http://schemas.openxmlformats.org/officeDocument/2006/relationships/image" Target="media/6fcb8f070ee9ea88eaa5689d9296616f8e34fbb7.svg"/><Relationship Id="rId34" Type="http://schemas.openxmlformats.org/officeDocument/2006/relationships/image" Target="media/cbb05fcd37d228b0d026f2f4f1ed37f26762abfb.png"/><Relationship Id="rId35" Type="http://schemas.openxmlformats.org/officeDocument/2006/relationships/image" Target="media/9ba1783b3d297e84105090312ff47ca8a82831f3.svg"/><Relationship Id="rId36" Type="http://schemas.openxmlformats.org/officeDocument/2006/relationships/image" Target="media/7888739233583702f466253e6a62fa2455e8894e.png"/><Relationship Id="rId37" Type="http://schemas.openxmlformats.org/officeDocument/2006/relationships/image" Target="media/24d61dd9efbf883c1bf835acc6a3f7980e78ca84.svg"/><Relationship Id="rId38" Type="http://schemas.openxmlformats.org/officeDocument/2006/relationships/image" Target="media/b579de8ca5080f06b3b95ed3b4846ea71cc48f01.png"/><Relationship Id="rId39" Type="http://schemas.openxmlformats.org/officeDocument/2006/relationships/image" Target="media/ceef2f525d319a5e775cb96b1a4a5d0016177be5.svg"/><Relationship Id="rId40" Type="http://schemas.openxmlformats.org/officeDocument/2006/relationships/image" Target="media/62bc7540a9198dacdd7e02cd36fd7e7777e2ee23.png"/><Relationship Id="rId41" Type="http://schemas.openxmlformats.org/officeDocument/2006/relationships/image" Target="media/5a7cf9536acd7639ec6c526840c428eb7e8a8200.svg"/><Relationship Id="rId42" Type="http://schemas.openxmlformats.org/officeDocument/2006/relationships/image" Target="media/55ae3d0f3a21f6b82ff5c3717dd5abab929833b4.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Croma, la API de datos de gobierno: arquitectura, atajos, límites y productos en Colombia</dc:title>
  <dc:creator>Josué Ricardo Rojas Silva</dc:creator>
  <dc:description>Informe técnico sobre la API y el servidor MCP de Croma con foco en Colombia</dc:description>
  <cp:lastModifiedBy>Un-named</cp:lastModifiedBy>
  <cp:revision>1</cp:revision>
  <dcterms:created xsi:type="dcterms:W3CDTF">2026-10-12T07:11:18.883Z</dcterms:created>
  <dcterms:modified xsi:type="dcterms:W3CDTF">2026-10-12T07:11:18.883Z</dcterms:modified>
</cp:coreProperties>
</file>

<file path=docProps/custom.xml><?xml version="1.0" encoding="utf-8"?>
<Properties xmlns="http://schemas.openxmlformats.org/officeDocument/2006/custom-properties" xmlns:vt="http://schemas.openxmlformats.org/officeDocument/2006/docPropsVTypes"/>
</file>