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240"/>
        <w:jc w:val="center"/>
      </w:pPr>
      <w:r>
        <w:rPr>
          <w:rFonts w:ascii="Times New Roman" w:cs="Times New Roman" w:eastAsia="Times New Roman" w:hAnsi="Times New Roman"/>
          <w:b/>
          <w:bCs/>
          <w:color w:val="000000"/>
          <w:sz w:val="20"/>
          <w:szCs w:val="20"/>
        </w:rPr>
        <w:t xml:space="preserve">DEMOSTRACIÓN — datos ficticios, fuentes simuladas</w:t>
      </w:r>
    </w:p>
    <w:p>
      <w:pPr>
        <w:spacing w:after="320" w:line="340"/>
        <w:jc w:val="center"/>
      </w:pPr>
      <w:r>
        <w:rPr>
          <w:rFonts w:ascii="Times New Roman" w:cs="Times New Roman" w:eastAsia="Times New Roman" w:hAnsi="Times New Roman"/>
          <w:b/>
          <w:bCs/>
          <w:color w:val="000000"/>
          <w:sz w:val="34"/>
          <w:szCs w:val="34"/>
        </w:rPr>
        <w:t xml:space="preserve">Cobro ejecutivo de un pagaré vencido: mérito ejecutivo, prescripción y ruta procesal</w:t>
      </w:r>
    </w:p>
    <w:p>
      <w:pPr>
        <w:spacing w:after="260"/>
        <w:jc w:val="center"/>
      </w:pPr>
      <w:r>
        <w:rPr>
          <w:rFonts w:ascii="Times New Roman" w:cs="Times New Roman" w:eastAsia="Times New Roman" w:hAnsi="Times New Roman"/>
          <w:color w:val="000000"/>
          <w:sz w:val="24"/>
          <w:szCs w:val="24"/>
        </w:rPr>
        <w:t xml:space="preserve">Josué Ricardo Rojas Silva</w:t>
      </w:r>
    </w:p>
    <w:p>
      <w:pPr>
        <w:spacing w:after="420" w:line="300"/>
        <w:jc w:val="center"/>
      </w:pPr>
      <w:r>
        <w:rPr>
          <w:rFonts w:ascii="Times New Roman" w:cs="Times New Roman" w:eastAsia="Times New Roman" w:hAnsi="Times New Roman"/>
          <w:i/>
          <w:iCs/>
          <w:color w:val="000000"/>
          <w:sz w:val="24"/>
          <w:szCs w:val="24"/>
        </w:rPr>
        <w:t xml:space="preserve">Análisis de hecho y de derecho con fuentes verificadas y actuación siguiente</w:t>
      </w:r>
    </w:p>
    <w:p>
      <w:pPr>
        <w:keepNext/>
        <w:spacing w:after="140"/>
      </w:pPr>
      <w:r>
        <w:rPr>
          <w:rFonts w:ascii="Times New Roman" w:cs="Times New Roman" w:eastAsia="Times New Roman" w:hAnsi="Times New Roman"/>
          <w:b/>
          <w:bCs/>
          <w:color w:val="000000"/>
          <w:sz w:val="24"/>
          <w:szCs w:val="24"/>
        </w:rPr>
        <w:t xml:space="preserve">Resumen</w:t>
      </w:r>
    </w:p>
    <w:p>
      <w:pPr>
        <w:spacing w:after="240" w:line="300"/>
        <w:jc w:val="both"/>
      </w:pPr>
      <w:r>
        <w:rPr>
          <w:rFonts w:ascii="Times New Roman" w:cs="Times New Roman" w:eastAsia="Times New Roman" w:hAnsi="Times New Roman"/>
          <w:color w:val="000000"/>
          <w:sz w:val="23"/>
          <w:szCs w:val="23"/>
        </w:rPr>
        <w:t xml:space="preserve">La SOCIEDAD FICTICIA UNO S.A.S. busca el cobro judicial del pagaré No. DEMO-001 por $10.000.000, vencido el 1 de marzo de 2024 y no pagado por la PERSONA NATURAL FICTICIA. El informe reconstruye los hechos con su soporte documental, verifica cada norma en fuente oficial con su estado de vigencia, examina el mérito ejecutivo del título y el término de prescripción de la acción cambiaria, evalúa los riesgos procesales y los mecanismos alternativos, y propone como actuación siguiente la demanda ejecutiva con solicitud de medidas cautelares. Cada afirmación queda trazada a su hecho, documento, página y fuente, con etiqueta de confianza, y las ausencias de información se declaran en lugar de suplirse. La decisión final, la aprobación y la firma corresponden al abogado responsable, que revisa el borrador de la pieza y este informe antes de cualquier radicación.</w:t>
      </w:r>
    </w:p>
    <w:p>
      <w:pPr>
        <w:spacing w:after="320" w:line="300"/>
        <w:jc w:val="both"/>
      </w:pPr>
      <w:r>
        <w:rPr>
          <w:rFonts w:ascii="Times New Roman" w:cs="Times New Roman" w:eastAsia="Times New Roman" w:hAnsi="Times New Roman"/>
          <w:b/>
          <w:bCs/>
          <w:color w:val="000000"/>
          <w:sz w:val="23"/>
          <w:szCs w:val="23"/>
        </w:rPr>
        <w:t xml:space="preserve">Palabras clave: </w:t>
      </w:r>
      <w:r>
        <w:rPr>
          <w:rFonts w:ascii="Times New Roman" w:cs="Times New Roman" w:eastAsia="Times New Roman" w:hAnsi="Times New Roman"/>
          <w:color w:val="000000"/>
          <w:sz w:val="23"/>
          <w:szCs w:val="23"/>
        </w:rPr>
        <w:t xml:space="preserve">proceso ejecutivo; pagaré; título valor; prescripción cambiaria; medidas cautelares; trazabilidad.</w:t>
      </w:r>
    </w:p>
    <w:p>
      <w:pPr>
        <w:keepNext/>
        <w:pageBreakBefore/>
        <w:spacing w:after="320"/>
      </w:pPr>
      <w:r>
        <w:rPr>
          <w:rFonts w:ascii="Times New Roman" w:cs="Times New Roman" w:eastAsia="Times New Roman" w:hAnsi="Times New Roman"/>
          <w:b/>
          <w:bCs/>
          <w:color w:val="000000"/>
          <w:sz w:val="26"/>
          <w:szCs w:val="26"/>
        </w:rPr>
        <w:t xml:space="preserve">TABLA DE CONTENIDO</w:t>
      </w:r>
    </w:p>
    <w:p>
      <w:pPr>
        <w:pStyle w:val="TOC1"/>
        <w:tabs>
          <w:tab w:val="right" w:pos="9396" w:leader="dot"/>
        </w:tabs>
        <w:spacing w:after="60" w:before="120"/>
        <w:ind w:left="0"/>
      </w:pPr>
      <w:r>
        <w:fldChar w:fldCharType="begin"/>
      </w:r>
      <w:r>
        <w:instrText xml:space="preserve"> TOC \o "1-3" \h \z \u </w:instrText>
      </w:r>
      <w:r>
        <w:fldChar w:fldCharType="separate"/>
      </w:r>
      <w:hyperlink w:history="1" w:anchor="_Toc_s1">
        <w:r>
          <w:rPr>
            <w:rFonts w:ascii="Times New Roman" w:cs="Times New Roman" w:eastAsia="Times New Roman" w:hAnsi="Times New Roman"/>
            <w:b/>
            <w:bCs/>
            <w:color w:val="000000"/>
            <w:sz w:val="24"/>
            <w:szCs w:val="24"/>
          </w:rPr>
          <w:t xml:space="preserve">I. ANTECEDENTES Y OBJETO DEL INFORME</w:t>
        </w:r>
        <w:r>
          <w:rPr>
            <w:rFonts w:ascii="Times New Roman" w:cs="Times New Roman" w:eastAsia="Times New Roman" w:hAnsi="Times New Roman"/>
            <w:color w:val="000000"/>
            <w:sz w:val="24"/>
            <w:szCs w:val="24"/>
          </w:rPr>
          <w:tab/>
          <w:t xml:space="preserve">5</w:t>
        </w:r>
      </w:hyperlink>
    </w:p>
    <w:p>
      <w:pPr>
        <w:pStyle w:val="TOC1"/>
        <w:tabs>
          <w:tab w:val="right" w:pos="9396" w:leader="dot"/>
        </w:tabs>
        <w:spacing w:after="60" w:before="120"/>
        <w:ind w:left="0"/>
      </w:pPr>
      <w:hyperlink w:history="1" w:anchor="_Toc_s2">
        <w:r>
          <w:rPr>
            <w:rFonts w:ascii="Times New Roman" w:cs="Times New Roman" w:eastAsia="Times New Roman" w:hAnsi="Times New Roman"/>
            <w:b/>
            <w:bCs/>
            <w:color w:val="000000"/>
            <w:sz w:val="24"/>
            <w:szCs w:val="24"/>
          </w:rPr>
          <w:t xml:space="preserve">II. EXPEDIENTE RECIBIDO Y ORGANIZACIÓN DOCUMENTAL</w:t>
        </w:r>
        <w:r>
          <w:rPr>
            <w:rFonts w:ascii="Times New Roman" w:cs="Times New Roman" w:eastAsia="Times New Roman" w:hAnsi="Times New Roman"/>
            <w:color w:val="000000"/>
            <w:sz w:val="24"/>
            <w:szCs w:val="24"/>
          </w:rPr>
          <w:tab/>
          <w:t xml:space="preserve">6</w:t>
        </w:r>
      </w:hyperlink>
    </w:p>
    <w:p>
      <w:pPr>
        <w:pStyle w:val="TOC2"/>
        <w:tabs>
          <w:tab w:val="right" w:pos="9396" w:leader="dot"/>
        </w:tabs>
        <w:spacing w:after="40"/>
        <w:ind w:left="240"/>
      </w:pPr>
      <w:hyperlink w:history="1" w:anchor="_Toc_s2_1">
        <w:r>
          <w:rPr>
            <w:rFonts w:ascii="Times New Roman" w:cs="Times New Roman" w:eastAsia="Times New Roman" w:hAnsi="Times New Roman"/>
            <w:b w:val="false"/>
            <w:bCs w:val="false"/>
            <w:color w:val="000000"/>
            <w:sz w:val="23"/>
            <w:szCs w:val="23"/>
          </w:rPr>
          <w:t xml:space="preserve">2.1 — Omisiones y vacíos documentales</w:t>
        </w:r>
        <w:r>
          <w:rPr>
            <w:rFonts w:ascii="Times New Roman" w:cs="Times New Roman" w:eastAsia="Times New Roman" w:hAnsi="Times New Roman"/>
            <w:color w:val="000000"/>
            <w:sz w:val="23"/>
            <w:szCs w:val="23"/>
          </w:rPr>
          <w:tab/>
          <w:t xml:space="preserve">6</w:t>
        </w:r>
      </w:hyperlink>
    </w:p>
    <w:p>
      <w:pPr>
        <w:pStyle w:val="TOC1"/>
        <w:tabs>
          <w:tab w:val="right" w:pos="9396" w:leader="dot"/>
        </w:tabs>
        <w:spacing w:after="60" w:before="120"/>
        <w:ind w:left="0"/>
      </w:pPr>
      <w:hyperlink w:history="1" w:anchor="_Toc_s3">
        <w:r>
          <w:rPr>
            <w:rFonts w:ascii="Times New Roman" w:cs="Times New Roman" w:eastAsia="Times New Roman" w:hAnsi="Times New Roman"/>
            <w:b/>
            <w:bCs/>
            <w:color w:val="000000"/>
            <w:sz w:val="24"/>
            <w:szCs w:val="24"/>
          </w:rPr>
          <w:t xml:space="preserve">III. ESTADO PROCESAL OFICIAL Y DEBIDA DILIGENCIA</w:t>
        </w:r>
        <w:r>
          <w:rPr>
            <w:rFonts w:ascii="Times New Roman" w:cs="Times New Roman" w:eastAsia="Times New Roman" w:hAnsi="Times New Roman"/>
            <w:color w:val="000000"/>
            <w:sz w:val="24"/>
            <w:szCs w:val="24"/>
          </w:rPr>
          <w:tab/>
          <w:t xml:space="preserve">7</w:t>
        </w:r>
      </w:hyperlink>
    </w:p>
    <w:p>
      <w:pPr>
        <w:pStyle w:val="TOC2"/>
        <w:tabs>
          <w:tab w:val="right" w:pos="9396" w:leader="dot"/>
        </w:tabs>
        <w:spacing w:after="40"/>
        <w:ind w:left="240"/>
      </w:pPr>
      <w:hyperlink w:history="1" w:anchor="_Toc_s3_1">
        <w:r>
          <w:rPr>
            <w:rFonts w:ascii="Times New Roman" w:cs="Times New Roman" w:eastAsia="Times New Roman" w:hAnsi="Times New Roman"/>
            <w:b w:val="false"/>
            <w:bCs w:val="false"/>
            <w:color w:val="000000"/>
            <w:sz w:val="23"/>
            <w:szCs w:val="23"/>
          </w:rPr>
          <w:t xml:space="preserve">3.1 — Debida diligencia de las partes</w:t>
        </w:r>
        <w:r>
          <w:rPr>
            <w:rFonts w:ascii="Times New Roman" w:cs="Times New Roman" w:eastAsia="Times New Roman" w:hAnsi="Times New Roman"/>
            <w:color w:val="000000"/>
            <w:sz w:val="23"/>
            <w:szCs w:val="23"/>
          </w:rPr>
          <w:tab/>
          <w:t xml:space="preserve">7</w:t>
        </w:r>
      </w:hyperlink>
    </w:p>
    <w:p>
      <w:pPr>
        <w:pStyle w:val="TOC1"/>
        <w:tabs>
          <w:tab w:val="right" w:pos="9396" w:leader="dot"/>
        </w:tabs>
        <w:spacing w:after="60" w:before="120"/>
        <w:ind w:left="0"/>
      </w:pPr>
      <w:hyperlink w:history="1" w:anchor="_Toc_s4">
        <w:r>
          <w:rPr>
            <w:rFonts w:ascii="Times New Roman" w:cs="Times New Roman" w:eastAsia="Times New Roman" w:hAnsi="Times New Roman"/>
            <w:b/>
            <w:bCs/>
            <w:color w:val="000000"/>
            <w:sz w:val="24"/>
            <w:szCs w:val="24"/>
          </w:rPr>
          <w:t xml:space="preserve">IV. HECHOS JURÍDICAMENTE RELEVANTES</w:t>
        </w:r>
        <w:r>
          <w:rPr>
            <w:rFonts w:ascii="Times New Roman" w:cs="Times New Roman" w:eastAsia="Times New Roman" w:hAnsi="Times New Roman"/>
            <w:color w:val="000000"/>
            <w:sz w:val="24"/>
            <w:szCs w:val="24"/>
          </w:rPr>
          <w:tab/>
          <w:t xml:space="preserve">8</w:t>
        </w:r>
      </w:hyperlink>
    </w:p>
    <w:p>
      <w:pPr>
        <w:pStyle w:val="TOC1"/>
        <w:tabs>
          <w:tab w:val="right" w:pos="9396" w:leader="dot"/>
        </w:tabs>
        <w:spacing w:after="60" w:before="120"/>
        <w:ind w:left="0"/>
      </w:pPr>
      <w:hyperlink w:history="1" w:anchor="_Toc_s5">
        <w:r>
          <w:rPr>
            <w:rFonts w:ascii="Times New Roman" w:cs="Times New Roman" w:eastAsia="Times New Roman" w:hAnsi="Times New Roman"/>
            <w:b/>
            <w:bCs/>
            <w:color w:val="000000"/>
            <w:sz w:val="24"/>
            <w:szCs w:val="24"/>
          </w:rPr>
          <w:t xml:space="preserve">V. PROBLEMAS JURÍDICOS</w:t>
        </w:r>
        <w:r>
          <w:rPr>
            <w:rFonts w:ascii="Times New Roman" w:cs="Times New Roman" w:eastAsia="Times New Roman" w:hAnsi="Times New Roman"/>
            <w:color w:val="000000"/>
            <w:sz w:val="24"/>
            <w:szCs w:val="24"/>
          </w:rPr>
          <w:tab/>
          <w:t xml:space="preserve">9</w:t>
        </w:r>
      </w:hyperlink>
    </w:p>
    <w:p>
      <w:pPr>
        <w:pStyle w:val="TOC1"/>
        <w:tabs>
          <w:tab w:val="right" w:pos="9396" w:leader="dot"/>
        </w:tabs>
        <w:spacing w:after="60" w:before="120"/>
        <w:ind w:left="0"/>
      </w:pPr>
      <w:hyperlink w:history="1" w:anchor="_Toc_s6">
        <w:r>
          <w:rPr>
            <w:rFonts w:ascii="Times New Roman" w:cs="Times New Roman" w:eastAsia="Times New Roman" w:hAnsi="Times New Roman"/>
            <w:b/>
            <w:bCs/>
            <w:color w:val="000000"/>
            <w:sz w:val="24"/>
            <w:szCs w:val="24"/>
          </w:rPr>
          <w:t xml:space="preserve">VI. MARCO NORMATIVO APLICABLE</w:t>
        </w:r>
        <w:r>
          <w:rPr>
            <w:rFonts w:ascii="Times New Roman" w:cs="Times New Roman" w:eastAsia="Times New Roman" w:hAnsi="Times New Roman"/>
            <w:color w:val="000000"/>
            <w:sz w:val="24"/>
            <w:szCs w:val="24"/>
          </w:rPr>
          <w:tab/>
          <w:t xml:space="preserve">10</w:t>
        </w:r>
      </w:hyperlink>
    </w:p>
    <w:p>
      <w:pPr>
        <w:pStyle w:val="TOC2"/>
        <w:tabs>
          <w:tab w:val="right" w:pos="9396" w:leader="dot"/>
        </w:tabs>
        <w:spacing w:after="40"/>
        <w:ind w:left="240"/>
      </w:pPr>
      <w:hyperlink w:history="1" w:anchor="_Toc_s6_1">
        <w:r>
          <w:rPr>
            <w:rFonts w:ascii="Times New Roman" w:cs="Times New Roman" w:eastAsia="Times New Roman" w:hAnsi="Times New Roman"/>
            <w:b w:val="false"/>
            <w:bCs w:val="false"/>
            <w:color w:val="000000"/>
            <w:sz w:val="23"/>
            <w:szCs w:val="23"/>
          </w:rPr>
          <w:t xml:space="preserve">6.1 — Mérito ejecutivo del pagaré</w:t>
        </w:r>
        <w:r>
          <w:rPr>
            <w:rFonts w:ascii="Times New Roman" w:cs="Times New Roman" w:eastAsia="Times New Roman" w:hAnsi="Times New Roman"/>
            <w:color w:val="000000"/>
            <w:sz w:val="23"/>
            <w:szCs w:val="23"/>
          </w:rPr>
          <w:tab/>
          <w:t xml:space="preserve">10</w:t>
        </w:r>
      </w:hyperlink>
    </w:p>
    <w:p>
      <w:pPr>
        <w:pStyle w:val="TOC2"/>
        <w:tabs>
          <w:tab w:val="right" w:pos="9396" w:leader="dot"/>
        </w:tabs>
        <w:spacing w:after="40"/>
        <w:ind w:left="240"/>
      </w:pPr>
      <w:hyperlink w:history="1" w:anchor="_Toc_s6_2">
        <w:r>
          <w:rPr>
            <w:rFonts w:ascii="Times New Roman" w:cs="Times New Roman" w:eastAsia="Times New Roman" w:hAnsi="Times New Roman"/>
            <w:b w:val="false"/>
            <w:bCs w:val="false"/>
            <w:color w:val="000000"/>
            <w:sz w:val="23"/>
            <w:szCs w:val="23"/>
          </w:rPr>
          <w:t xml:space="preserve">6.2 — Prescripción de la acción cambiaria</w:t>
        </w:r>
        <w:r>
          <w:rPr>
            <w:rFonts w:ascii="Times New Roman" w:cs="Times New Roman" w:eastAsia="Times New Roman" w:hAnsi="Times New Roman"/>
            <w:color w:val="000000"/>
            <w:sz w:val="23"/>
            <w:szCs w:val="23"/>
          </w:rPr>
          <w:tab/>
          <w:t xml:space="preserve">11</w:t>
        </w:r>
      </w:hyperlink>
    </w:p>
    <w:p>
      <w:pPr>
        <w:pStyle w:val="TOC2"/>
        <w:tabs>
          <w:tab w:val="right" w:pos="9396" w:leader="dot"/>
        </w:tabs>
        <w:spacing w:after="40"/>
        <w:ind w:left="240"/>
      </w:pPr>
      <w:hyperlink w:history="1" w:anchor="_Toc_s6_3">
        <w:r>
          <w:rPr>
            <w:rFonts w:ascii="Times New Roman" w:cs="Times New Roman" w:eastAsia="Times New Roman" w:hAnsi="Times New Roman"/>
            <w:b w:val="false"/>
            <w:bCs w:val="false"/>
            <w:color w:val="000000"/>
            <w:sz w:val="23"/>
            <w:szCs w:val="23"/>
          </w:rPr>
          <w:t xml:space="preserve">6.3 — Cuerpos normativos concurrentes y descartados</w:t>
        </w:r>
        <w:r>
          <w:rPr>
            <w:rFonts w:ascii="Times New Roman" w:cs="Times New Roman" w:eastAsia="Times New Roman" w:hAnsi="Times New Roman"/>
            <w:color w:val="000000"/>
            <w:sz w:val="23"/>
            <w:szCs w:val="23"/>
          </w:rPr>
          <w:tab/>
          <w:t xml:space="preserve">11</w:t>
        </w:r>
      </w:hyperlink>
    </w:p>
    <w:p>
      <w:pPr>
        <w:pStyle w:val="TOC1"/>
        <w:tabs>
          <w:tab w:val="right" w:pos="9396" w:leader="dot"/>
        </w:tabs>
        <w:spacing w:after="60" w:before="120"/>
        <w:ind w:left="0"/>
      </w:pPr>
      <w:hyperlink w:history="1" w:anchor="_Toc_s7">
        <w:r>
          <w:rPr>
            <w:rFonts w:ascii="Times New Roman" w:cs="Times New Roman" w:eastAsia="Times New Roman" w:hAnsi="Times New Roman"/>
            <w:b/>
            <w:bCs/>
            <w:color w:val="000000"/>
            <w:sz w:val="24"/>
            <w:szCs w:val="24"/>
          </w:rPr>
          <w:t xml:space="preserve">VII. PRECEDENTE JUDICIAL Y FUERZA VINCULANTE</w:t>
        </w:r>
        <w:r>
          <w:rPr>
            <w:rFonts w:ascii="Times New Roman" w:cs="Times New Roman" w:eastAsia="Times New Roman" w:hAnsi="Times New Roman"/>
            <w:color w:val="000000"/>
            <w:sz w:val="24"/>
            <w:szCs w:val="24"/>
          </w:rPr>
          <w:tab/>
          <w:t xml:space="preserve">13</w:t>
        </w:r>
      </w:hyperlink>
    </w:p>
    <w:p>
      <w:pPr>
        <w:pStyle w:val="TOC1"/>
        <w:tabs>
          <w:tab w:val="right" w:pos="9396" w:leader="dot"/>
        </w:tabs>
        <w:spacing w:after="60" w:before="120"/>
        <w:ind w:left="0"/>
      </w:pPr>
      <w:hyperlink w:history="1" w:anchor="_Toc_s8">
        <w:r>
          <w:rPr>
            <w:rFonts w:ascii="Times New Roman" w:cs="Times New Roman" w:eastAsia="Times New Roman" w:hAnsi="Times New Roman"/>
            <w:b/>
            <w:bCs/>
            <w:color w:val="000000"/>
            <w:sz w:val="24"/>
            <w:szCs w:val="24"/>
          </w:rPr>
          <w:t xml:space="preserve">VIII. ANÁLISIS DE HECHO Y DE DERECHO</w:t>
        </w:r>
        <w:r>
          <w:rPr>
            <w:rFonts w:ascii="Times New Roman" w:cs="Times New Roman" w:eastAsia="Times New Roman" w:hAnsi="Times New Roman"/>
            <w:color w:val="000000"/>
            <w:sz w:val="24"/>
            <w:szCs w:val="24"/>
          </w:rPr>
          <w:tab/>
          <w:t xml:space="preserve">14</w:t>
        </w:r>
      </w:hyperlink>
    </w:p>
    <w:p>
      <w:pPr>
        <w:pStyle w:val="TOC2"/>
        <w:tabs>
          <w:tab w:val="right" w:pos="9396" w:leader="dot"/>
        </w:tabs>
        <w:spacing w:after="40"/>
        <w:ind w:left="240"/>
      </w:pPr>
      <w:hyperlink w:history="1" w:anchor="_Toc_s8_1">
        <w:r>
          <w:rPr>
            <w:rFonts w:ascii="Times New Roman" w:cs="Times New Roman" w:eastAsia="Times New Roman" w:hAnsi="Times New Roman"/>
            <w:b w:val="false"/>
            <w:bCs w:val="false"/>
            <w:color w:val="000000"/>
            <w:sz w:val="23"/>
            <w:szCs w:val="23"/>
          </w:rPr>
          <w:t xml:space="preserve">8.1 — ¿El pagaré aportado reúne los requisitos generales y particulares de los títulos valores y</w:t>
        </w:r>
        <w:r>
          <w:rPr>
            <w:rFonts w:ascii="Times New Roman" w:cs="Times New Roman" w:eastAsia="Times New Roman" w:hAnsi="Times New Roman"/>
            <w:color w:val="000000"/>
            <w:sz w:val="23"/>
            <w:szCs w:val="23"/>
          </w:rPr>
          <w:tab/>
          <w:t xml:space="preserve">14</w:t>
        </w:r>
      </w:hyperlink>
    </w:p>
    <w:p>
      <w:pPr>
        <w:pStyle w:val="TOC2"/>
        <w:tabs>
          <w:tab w:val="right" w:pos="9396" w:leader="dot"/>
        </w:tabs>
        <w:spacing w:after="40"/>
        <w:ind w:left="240"/>
      </w:pPr>
      <w:hyperlink w:history="1" w:anchor="_Toc_s8_2">
        <w:r>
          <w:rPr>
            <w:rFonts w:ascii="Times New Roman" w:cs="Times New Roman" w:eastAsia="Times New Roman" w:hAnsi="Times New Roman"/>
            <w:b w:val="false"/>
            <w:bCs w:val="false"/>
            <w:color w:val="000000"/>
            <w:sz w:val="23"/>
            <w:szCs w:val="23"/>
          </w:rPr>
          <w:t xml:space="preserve">8.2 — ¿Está vigente la acción cambiaria directa frente al término de prescripción de tres años c</w:t>
        </w:r>
        <w:r>
          <w:rPr>
            <w:rFonts w:ascii="Times New Roman" w:cs="Times New Roman" w:eastAsia="Times New Roman" w:hAnsi="Times New Roman"/>
            <w:color w:val="000000"/>
            <w:sz w:val="23"/>
            <w:szCs w:val="23"/>
          </w:rPr>
          <w:tab/>
          <w:t xml:space="preserve">14</w:t>
        </w:r>
      </w:hyperlink>
    </w:p>
    <w:p>
      <w:pPr>
        <w:pStyle w:val="TOC1"/>
        <w:tabs>
          <w:tab w:val="right" w:pos="9396" w:leader="dot"/>
        </w:tabs>
        <w:spacing w:after="60" w:before="120"/>
        <w:ind w:left="0"/>
      </w:pPr>
      <w:hyperlink w:history="1" w:anchor="_Toc_s9">
        <w:r>
          <w:rPr>
            <w:rFonts w:ascii="Times New Roman" w:cs="Times New Roman" w:eastAsia="Times New Roman" w:hAnsi="Times New Roman"/>
            <w:b/>
            <w:bCs/>
            <w:color w:val="000000"/>
            <w:sz w:val="24"/>
            <w:szCs w:val="24"/>
          </w:rPr>
          <w:t xml:space="preserve">IX. TÉRMINOS, PRESCRIPCIÓN Y CADUCIDAD</w:t>
        </w:r>
        <w:r>
          <w:rPr>
            <w:rFonts w:ascii="Times New Roman" w:cs="Times New Roman" w:eastAsia="Times New Roman" w:hAnsi="Times New Roman"/>
            <w:color w:val="000000"/>
            <w:sz w:val="24"/>
            <w:szCs w:val="24"/>
          </w:rPr>
          <w:tab/>
          <w:t xml:space="preserve">15</w:t>
        </w:r>
      </w:hyperlink>
    </w:p>
    <w:p>
      <w:pPr>
        <w:pStyle w:val="TOC1"/>
        <w:tabs>
          <w:tab w:val="right" w:pos="9396" w:leader="dot"/>
        </w:tabs>
        <w:spacing w:after="60" w:before="120"/>
        <w:ind w:left="0"/>
      </w:pPr>
      <w:hyperlink w:history="1" w:anchor="_Toc_s10">
        <w:r>
          <w:rPr>
            <w:rFonts w:ascii="Times New Roman" w:cs="Times New Roman" w:eastAsia="Times New Roman" w:hAnsi="Times New Roman"/>
            <w:b/>
            <w:bCs/>
            <w:color w:val="000000"/>
            <w:sz w:val="24"/>
            <w:szCs w:val="24"/>
          </w:rPr>
          <w:t xml:space="preserve">X. RIESGOS PROCESALES</w:t>
        </w:r>
        <w:r>
          <w:rPr>
            <w:rFonts w:ascii="Times New Roman" w:cs="Times New Roman" w:eastAsia="Times New Roman" w:hAnsi="Times New Roman"/>
            <w:color w:val="000000"/>
            <w:sz w:val="24"/>
            <w:szCs w:val="24"/>
          </w:rPr>
          <w:tab/>
          <w:t xml:space="preserve">16</w:t>
        </w:r>
      </w:hyperlink>
    </w:p>
    <w:p>
      <w:pPr>
        <w:pStyle w:val="TOC2"/>
        <w:tabs>
          <w:tab w:val="right" w:pos="9396" w:leader="dot"/>
        </w:tabs>
        <w:spacing w:after="40"/>
        <w:ind w:left="240"/>
      </w:pPr>
      <w:hyperlink w:history="1" w:anchor="_Toc_s10_1">
        <w:r>
          <w:rPr>
            <w:rFonts w:ascii="Times New Roman" w:cs="Times New Roman" w:eastAsia="Times New Roman" w:hAnsi="Times New Roman"/>
            <w:b w:val="false"/>
            <w:bCs w:val="false"/>
            <w:color w:val="000000"/>
            <w:sz w:val="23"/>
            <w:szCs w:val="23"/>
          </w:rPr>
          <w:t xml:space="preserve">10.1 — Nulidades procesales</w:t>
        </w:r>
        <w:r>
          <w:rPr>
            <w:rFonts w:ascii="Times New Roman" w:cs="Times New Roman" w:eastAsia="Times New Roman" w:hAnsi="Times New Roman"/>
            <w:color w:val="000000"/>
            <w:sz w:val="23"/>
            <w:szCs w:val="23"/>
          </w:rPr>
          <w:tab/>
          <w:t xml:space="preserve">16</w:t>
        </w:r>
      </w:hyperlink>
    </w:p>
    <w:p>
      <w:pPr>
        <w:pStyle w:val="TOC2"/>
        <w:tabs>
          <w:tab w:val="right" w:pos="9396" w:leader="dot"/>
        </w:tabs>
        <w:spacing w:after="40"/>
        <w:ind w:left="240"/>
      </w:pPr>
      <w:hyperlink w:history="1" w:anchor="_Toc_s10_2">
        <w:r>
          <w:rPr>
            <w:rFonts w:ascii="Times New Roman" w:cs="Times New Roman" w:eastAsia="Times New Roman" w:hAnsi="Times New Roman"/>
            <w:b w:val="false"/>
            <w:bCs w:val="false"/>
            <w:color w:val="000000"/>
            <w:sz w:val="23"/>
            <w:szCs w:val="23"/>
          </w:rPr>
          <w:t xml:space="preserve">10.2 — Competencia y jurisdicción</w:t>
        </w:r>
        <w:r>
          <w:rPr>
            <w:rFonts w:ascii="Times New Roman" w:cs="Times New Roman" w:eastAsia="Times New Roman" w:hAnsi="Times New Roman"/>
            <w:color w:val="000000"/>
            <w:sz w:val="23"/>
            <w:szCs w:val="23"/>
          </w:rPr>
          <w:tab/>
          <w:t xml:space="preserve">16</w:t>
        </w:r>
      </w:hyperlink>
    </w:p>
    <w:p>
      <w:pPr>
        <w:pStyle w:val="TOC2"/>
        <w:tabs>
          <w:tab w:val="right" w:pos="9396" w:leader="dot"/>
        </w:tabs>
        <w:spacing w:after="40"/>
        <w:ind w:left="240"/>
      </w:pPr>
      <w:hyperlink w:history="1" w:anchor="_Toc_s10_3">
        <w:r>
          <w:rPr>
            <w:rFonts w:ascii="Times New Roman" w:cs="Times New Roman" w:eastAsia="Times New Roman" w:hAnsi="Times New Roman"/>
            <w:b w:val="false"/>
            <w:bCs w:val="false"/>
            <w:color w:val="000000"/>
            <w:sz w:val="23"/>
            <w:szCs w:val="23"/>
          </w:rPr>
          <w:t xml:space="preserve">10.3 — Matriz de riesgo probatorio</w:t>
        </w:r>
        <w:r>
          <w:rPr>
            <w:rFonts w:ascii="Times New Roman" w:cs="Times New Roman" w:eastAsia="Times New Roman" w:hAnsi="Times New Roman"/>
            <w:color w:val="000000"/>
            <w:sz w:val="23"/>
            <w:szCs w:val="23"/>
          </w:rPr>
          <w:tab/>
          <w:t xml:space="preserve">16</w:t>
        </w:r>
      </w:hyperlink>
    </w:p>
    <w:p>
      <w:pPr>
        <w:pStyle w:val="TOC2"/>
        <w:tabs>
          <w:tab w:val="right" w:pos="9396" w:leader="dot"/>
        </w:tabs>
        <w:spacing w:after="40"/>
        <w:ind w:left="240"/>
      </w:pPr>
      <w:hyperlink w:history="1" w:anchor="_Toc_s10_4">
        <w:r>
          <w:rPr>
            <w:rFonts w:ascii="Times New Roman" w:cs="Times New Roman" w:eastAsia="Times New Roman" w:hAnsi="Times New Roman"/>
            <w:b w:val="false"/>
            <w:bCs w:val="false"/>
            <w:color w:val="000000"/>
            <w:sz w:val="23"/>
            <w:szCs w:val="23"/>
          </w:rPr>
          <w:t xml:space="preserve">10.4 — Trampas procesales y requisitos de procedibilidad</w:t>
        </w:r>
        <w:r>
          <w:rPr>
            <w:rFonts w:ascii="Times New Roman" w:cs="Times New Roman" w:eastAsia="Times New Roman" w:hAnsi="Times New Roman"/>
            <w:color w:val="000000"/>
            <w:sz w:val="23"/>
            <w:szCs w:val="23"/>
          </w:rPr>
          <w:tab/>
          <w:t xml:space="preserve">17</w:t>
        </w:r>
      </w:hyperlink>
    </w:p>
    <w:p>
      <w:pPr>
        <w:pStyle w:val="TOC1"/>
        <w:tabs>
          <w:tab w:val="right" w:pos="9396" w:leader="dot"/>
        </w:tabs>
        <w:spacing w:after="60" w:before="120"/>
        <w:ind w:left="0"/>
      </w:pPr>
      <w:hyperlink w:history="1" w:anchor="_Toc_s11">
        <w:r>
          <w:rPr>
            <w:rFonts w:ascii="Times New Roman" w:cs="Times New Roman" w:eastAsia="Times New Roman" w:hAnsi="Times New Roman"/>
            <w:b/>
            <w:bCs/>
            <w:color w:val="000000"/>
            <w:sz w:val="24"/>
            <w:szCs w:val="24"/>
          </w:rPr>
          <w:t xml:space="preserve">XI. MECANISMOS ALTERNATIVOS Y ESTRATEGIA</w:t>
        </w:r>
        <w:r>
          <w:rPr>
            <w:rFonts w:ascii="Times New Roman" w:cs="Times New Roman" w:eastAsia="Times New Roman" w:hAnsi="Times New Roman"/>
            <w:color w:val="000000"/>
            <w:sz w:val="24"/>
            <w:szCs w:val="24"/>
          </w:rPr>
          <w:tab/>
          <w:t xml:space="preserve">18</w:t>
        </w:r>
      </w:hyperlink>
    </w:p>
    <w:p>
      <w:pPr>
        <w:pStyle w:val="TOC2"/>
        <w:tabs>
          <w:tab w:val="right" w:pos="9396" w:leader="dot"/>
        </w:tabs>
        <w:spacing w:after="40"/>
        <w:ind w:left="240"/>
      </w:pPr>
      <w:hyperlink w:history="1" w:anchor="_Toc_s11_1">
        <w:r>
          <w:rPr>
            <w:rFonts w:ascii="Times New Roman" w:cs="Times New Roman" w:eastAsia="Times New Roman" w:hAnsi="Times New Roman"/>
            <w:b w:val="false"/>
            <w:bCs w:val="false"/>
            <w:color w:val="000000"/>
            <w:sz w:val="23"/>
            <w:szCs w:val="23"/>
          </w:rPr>
          <w:t xml:space="preserve">11.1 — Mecanismos alternativos de solución de conflictos</w:t>
        </w:r>
        <w:r>
          <w:rPr>
            <w:rFonts w:ascii="Times New Roman" w:cs="Times New Roman" w:eastAsia="Times New Roman" w:hAnsi="Times New Roman"/>
            <w:color w:val="000000"/>
            <w:sz w:val="23"/>
            <w:szCs w:val="23"/>
          </w:rPr>
          <w:tab/>
          <w:t xml:space="preserve">18</w:t>
        </w:r>
      </w:hyperlink>
    </w:p>
    <w:p>
      <w:pPr>
        <w:pStyle w:val="TOC2"/>
        <w:tabs>
          <w:tab w:val="right" w:pos="9396" w:leader="dot"/>
        </w:tabs>
        <w:spacing w:after="40"/>
        <w:ind w:left="240"/>
      </w:pPr>
      <w:hyperlink w:history="1" w:anchor="_Toc_s11_2">
        <w:r>
          <w:rPr>
            <w:rFonts w:ascii="Times New Roman" w:cs="Times New Roman" w:eastAsia="Times New Roman" w:hAnsi="Times New Roman"/>
            <w:b w:val="false"/>
            <w:bCs w:val="false"/>
            <w:color w:val="000000"/>
            <w:sz w:val="23"/>
            <w:szCs w:val="23"/>
          </w:rPr>
          <w:t xml:space="preserve">11.2 — Vía procesal</w:t>
        </w:r>
        <w:r>
          <w:rPr>
            <w:rFonts w:ascii="Times New Roman" w:cs="Times New Roman" w:eastAsia="Times New Roman" w:hAnsi="Times New Roman"/>
            <w:color w:val="000000"/>
            <w:sz w:val="23"/>
            <w:szCs w:val="23"/>
          </w:rPr>
          <w:tab/>
          <w:t xml:space="preserve">18</w:t>
        </w:r>
      </w:hyperlink>
    </w:p>
    <w:p>
      <w:pPr>
        <w:pStyle w:val="TOC2"/>
        <w:tabs>
          <w:tab w:val="right" w:pos="9396" w:leader="dot"/>
        </w:tabs>
        <w:spacing w:after="40"/>
        <w:ind w:left="240"/>
      </w:pPr>
      <w:hyperlink w:history="1" w:anchor="_Toc_s11_3">
        <w:r>
          <w:rPr>
            <w:rFonts w:ascii="Times New Roman" w:cs="Times New Roman" w:eastAsia="Times New Roman" w:hAnsi="Times New Roman"/>
            <w:b w:val="false"/>
            <w:bCs w:val="false"/>
            <w:color w:val="000000"/>
            <w:sz w:val="23"/>
            <w:szCs w:val="23"/>
          </w:rPr>
          <w:t xml:space="preserve">11.3 — Notificaciones y comunicaciones</w:t>
        </w:r>
        <w:r>
          <w:rPr>
            <w:rFonts w:ascii="Times New Roman" w:cs="Times New Roman" w:eastAsia="Times New Roman" w:hAnsi="Times New Roman"/>
            <w:color w:val="000000"/>
            <w:sz w:val="23"/>
            <w:szCs w:val="23"/>
          </w:rPr>
          <w:tab/>
          <w:t xml:space="preserve">19</w:t>
        </w:r>
      </w:hyperlink>
    </w:p>
    <w:p>
      <w:pPr>
        <w:pStyle w:val="TOC1"/>
        <w:tabs>
          <w:tab w:val="right" w:pos="9396" w:leader="dot"/>
        </w:tabs>
        <w:spacing w:after="60" w:before="120"/>
        <w:ind w:left="0"/>
      </w:pPr>
      <w:hyperlink w:history="1" w:anchor="_Toc_s12">
        <w:r>
          <w:rPr>
            <w:rFonts w:ascii="Times New Roman" w:cs="Times New Roman" w:eastAsia="Times New Roman" w:hAnsi="Times New Roman"/>
            <w:b/>
            <w:bCs/>
            <w:color w:val="000000"/>
            <w:sz w:val="24"/>
            <w:szCs w:val="24"/>
          </w:rPr>
          <w:t xml:space="preserve">XII. CONTRADICCIÓN ANTICIPADA</w:t>
        </w:r>
        <w:r>
          <w:rPr>
            <w:rFonts w:ascii="Times New Roman" w:cs="Times New Roman" w:eastAsia="Times New Roman" w:hAnsi="Times New Roman"/>
            <w:color w:val="000000"/>
            <w:sz w:val="24"/>
            <w:szCs w:val="24"/>
          </w:rPr>
          <w:tab/>
          <w:t xml:space="preserve">20</w:t>
        </w:r>
      </w:hyperlink>
    </w:p>
    <w:p>
      <w:pPr>
        <w:pStyle w:val="TOC1"/>
        <w:tabs>
          <w:tab w:val="right" w:pos="9396" w:leader="dot"/>
        </w:tabs>
        <w:spacing w:after="60" w:before="120"/>
        <w:ind w:left="0"/>
      </w:pPr>
      <w:hyperlink w:history="1" w:anchor="_Toc_s13">
        <w:r>
          <w:rPr>
            <w:rFonts w:ascii="Times New Roman" w:cs="Times New Roman" w:eastAsia="Times New Roman" w:hAnsi="Times New Roman"/>
            <w:b/>
            <w:bCs/>
            <w:color w:val="000000"/>
            <w:sz w:val="24"/>
            <w:szCs w:val="24"/>
          </w:rPr>
          <w:t xml:space="preserve">XIII. ACTUACIÓN SIGUIENTE, LÍMITES Y GOBERNANZA</w:t>
        </w:r>
        <w:r>
          <w:rPr>
            <w:rFonts w:ascii="Times New Roman" w:cs="Times New Roman" w:eastAsia="Times New Roman" w:hAnsi="Times New Roman"/>
            <w:color w:val="000000"/>
            <w:sz w:val="24"/>
            <w:szCs w:val="24"/>
          </w:rPr>
          <w:tab/>
          <w:t xml:space="preserve">21</w:t>
        </w:r>
      </w:hyperlink>
    </w:p>
    <w:p>
      <w:pPr>
        <w:pStyle w:val="TOC2"/>
        <w:tabs>
          <w:tab w:val="right" w:pos="9396" w:leader="dot"/>
        </w:tabs>
        <w:spacing w:after="40"/>
        <w:ind w:left="240"/>
      </w:pPr>
      <w:hyperlink w:history="1" w:anchor="_Toc_s13_1">
        <w:r>
          <w:rPr>
            <w:rFonts w:ascii="Times New Roman" w:cs="Times New Roman" w:eastAsia="Times New Roman" w:hAnsi="Times New Roman"/>
            <w:b w:val="false"/>
            <w:bCs w:val="false"/>
            <w:color w:val="000000"/>
            <w:sz w:val="23"/>
            <w:szCs w:val="23"/>
          </w:rPr>
          <w:t xml:space="preserve">13.1 — Actuación siguiente</w:t>
        </w:r>
        <w:r>
          <w:rPr>
            <w:rFonts w:ascii="Times New Roman" w:cs="Times New Roman" w:eastAsia="Times New Roman" w:hAnsi="Times New Roman"/>
            <w:color w:val="000000"/>
            <w:sz w:val="23"/>
            <w:szCs w:val="23"/>
          </w:rPr>
          <w:tab/>
          <w:t xml:space="preserve">21</w:t>
        </w:r>
      </w:hyperlink>
    </w:p>
    <w:p>
      <w:pPr>
        <w:pStyle w:val="TOC2"/>
        <w:tabs>
          <w:tab w:val="right" w:pos="9396" w:leader="dot"/>
        </w:tabs>
        <w:spacing w:after="40"/>
        <w:ind w:left="240"/>
      </w:pPr>
      <w:hyperlink w:history="1" w:anchor="_Toc_s13_2">
        <w:r>
          <w:rPr>
            <w:rFonts w:ascii="Times New Roman" w:cs="Times New Roman" w:eastAsia="Times New Roman" w:hAnsi="Times New Roman"/>
            <w:b w:val="false"/>
            <w:bCs w:val="false"/>
            <w:color w:val="000000"/>
            <w:sz w:val="23"/>
            <w:szCs w:val="23"/>
          </w:rPr>
          <w:t xml:space="preserve">13.2 — Zonas grises</w:t>
        </w:r>
        <w:r>
          <w:rPr>
            <w:rFonts w:ascii="Times New Roman" w:cs="Times New Roman" w:eastAsia="Times New Roman" w:hAnsi="Times New Roman"/>
            <w:color w:val="000000"/>
            <w:sz w:val="23"/>
            <w:szCs w:val="23"/>
          </w:rPr>
          <w:tab/>
          <w:t xml:space="preserve">21</w:t>
        </w:r>
      </w:hyperlink>
    </w:p>
    <w:p>
      <w:pPr>
        <w:pStyle w:val="TOC2"/>
        <w:tabs>
          <w:tab w:val="right" w:pos="9396" w:leader="dot"/>
        </w:tabs>
        <w:spacing w:after="40"/>
        <w:ind w:left="240"/>
      </w:pPr>
      <w:hyperlink w:history="1" w:anchor="_Toc_s13_3">
        <w:r>
          <w:rPr>
            <w:rFonts w:ascii="Times New Roman" w:cs="Times New Roman" w:eastAsia="Times New Roman" w:hAnsi="Times New Roman"/>
            <w:b w:val="false"/>
            <w:bCs w:val="false"/>
            <w:color w:val="000000"/>
            <w:sz w:val="23"/>
            <w:szCs w:val="23"/>
          </w:rPr>
          <w:t xml:space="preserve">13.3 — Etiquetas de confianza</w:t>
        </w:r>
        <w:r>
          <w:rPr>
            <w:rFonts w:ascii="Times New Roman" w:cs="Times New Roman" w:eastAsia="Times New Roman" w:hAnsi="Times New Roman"/>
            <w:color w:val="000000"/>
            <w:sz w:val="23"/>
            <w:szCs w:val="23"/>
          </w:rPr>
          <w:tab/>
          <w:t xml:space="preserve">21</w:t>
        </w:r>
      </w:hyperlink>
    </w:p>
    <w:p>
      <w:pPr>
        <w:pStyle w:val="TOC2"/>
        <w:tabs>
          <w:tab w:val="right" w:pos="9396" w:leader="dot"/>
        </w:tabs>
        <w:spacing w:after="40"/>
        <w:ind w:left="240"/>
      </w:pPr>
      <w:hyperlink w:history="1" w:anchor="_Toc_s13_4">
        <w:r>
          <w:rPr>
            <w:rFonts w:ascii="Times New Roman" w:cs="Times New Roman" w:eastAsia="Times New Roman" w:hAnsi="Times New Roman"/>
            <w:b w:val="false"/>
            <w:bCs w:val="false"/>
            <w:color w:val="000000"/>
            <w:sz w:val="23"/>
            <w:szCs w:val="23"/>
          </w:rPr>
          <w:t xml:space="preserve">13.4 — Sesgo y equidad</w:t>
        </w:r>
        <w:r>
          <w:rPr>
            <w:rFonts w:ascii="Times New Roman" w:cs="Times New Roman" w:eastAsia="Times New Roman" w:hAnsi="Times New Roman"/>
            <w:color w:val="000000"/>
            <w:sz w:val="23"/>
            <w:szCs w:val="23"/>
          </w:rPr>
          <w:tab/>
          <w:t xml:space="preserve">21</w:t>
        </w:r>
      </w:hyperlink>
    </w:p>
    <w:p>
      <w:pPr>
        <w:pStyle w:val="TOC2"/>
        <w:tabs>
          <w:tab w:val="right" w:pos="9396" w:leader="dot"/>
        </w:tabs>
        <w:spacing w:after="40"/>
        <w:ind w:left="240"/>
      </w:pPr>
      <w:hyperlink w:history="1" w:anchor="_Toc_s13_5">
        <w:r>
          <w:rPr>
            <w:rFonts w:ascii="Times New Roman" w:cs="Times New Roman" w:eastAsia="Times New Roman" w:hAnsi="Times New Roman"/>
            <w:b w:val="false"/>
            <w:bCs w:val="false"/>
            <w:color w:val="000000"/>
            <w:sz w:val="23"/>
            <w:szCs w:val="23"/>
          </w:rPr>
          <w:t xml:space="preserve">13.5 — Control del ejercicio profesional</w:t>
        </w:r>
        <w:r>
          <w:rPr>
            <w:rFonts w:ascii="Times New Roman" w:cs="Times New Roman" w:eastAsia="Times New Roman" w:hAnsi="Times New Roman"/>
            <w:color w:val="000000"/>
            <w:sz w:val="23"/>
            <w:szCs w:val="23"/>
          </w:rPr>
          <w:tab/>
          <w:t xml:space="preserve">22</w:t>
        </w:r>
      </w:hyperlink>
    </w:p>
    <w:p>
      <w:pPr>
        <w:pStyle w:val="TOC2"/>
        <w:tabs>
          <w:tab w:val="right" w:pos="9396" w:leader="dot"/>
        </w:tabs>
        <w:spacing w:after="40"/>
        <w:ind w:left="240"/>
      </w:pPr>
      <w:hyperlink w:history="1" w:anchor="_Toc_s13_6">
        <w:r>
          <w:rPr>
            <w:rFonts w:ascii="Times New Roman" w:cs="Times New Roman" w:eastAsia="Times New Roman" w:hAnsi="Times New Roman"/>
            <w:b w:val="false"/>
            <w:bCs w:val="false"/>
            <w:color w:val="000000"/>
            <w:sz w:val="23"/>
            <w:szCs w:val="23"/>
          </w:rPr>
          <w:t xml:space="preserve">13.6 — Ausencias declaradas y límites del análisis</w:t>
        </w:r>
        <w:r>
          <w:rPr>
            <w:rFonts w:ascii="Times New Roman" w:cs="Times New Roman" w:eastAsia="Times New Roman" w:hAnsi="Times New Roman"/>
            <w:color w:val="000000"/>
            <w:sz w:val="23"/>
            <w:szCs w:val="23"/>
          </w:rPr>
          <w:tab/>
          <w:t xml:space="preserve">22</w:t>
        </w:r>
      </w:hyperlink>
    </w:p>
    <w:p>
      <w:pPr>
        <w:pStyle w:val="TOC2"/>
        <w:tabs>
          <w:tab w:val="right" w:pos="9396" w:leader="dot"/>
        </w:tabs>
        <w:spacing w:after="40"/>
        <w:ind w:left="240"/>
      </w:pPr>
      <w:hyperlink w:history="1" w:anchor="_Toc_s13_7">
        <w:r>
          <w:rPr>
            <w:rFonts w:ascii="Times New Roman" w:cs="Times New Roman" w:eastAsia="Times New Roman" w:hAnsi="Times New Roman"/>
            <w:b w:val="false"/>
            <w:bCs w:val="false"/>
            <w:color w:val="000000"/>
            <w:sz w:val="23"/>
            <w:szCs w:val="23"/>
          </w:rPr>
          <w:t xml:space="preserve">13.7 — Trazabilidad</w:t>
        </w:r>
        <w:r>
          <w:rPr>
            <w:rFonts w:ascii="Times New Roman" w:cs="Times New Roman" w:eastAsia="Times New Roman" w:hAnsi="Times New Roman"/>
            <w:color w:val="000000"/>
            <w:sz w:val="23"/>
            <w:szCs w:val="23"/>
          </w:rPr>
          <w:tab/>
          <w:t xml:space="preserve">22</w:t>
        </w:r>
      </w:hyperlink>
    </w:p>
    <w:p>
      <w:pPr>
        <w:pStyle w:val="TOC1"/>
        <w:tabs>
          <w:tab w:val="right" w:pos="9396" w:leader="dot"/>
        </w:tabs>
        <w:spacing w:after="60" w:before="120"/>
        <w:ind w:left="0"/>
      </w:pPr>
      <w:hyperlink w:history="1" w:anchor="_Toc_conclusiones">
        <w:r>
          <w:rPr>
            <w:rFonts w:ascii="Times New Roman" w:cs="Times New Roman" w:eastAsia="Times New Roman" w:hAnsi="Times New Roman"/>
            <w:b/>
            <w:bCs/>
            <w:color w:val="000000"/>
            <w:sz w:val="24"/>
            <w:szCs w:val="24"/>
          </w:rPr>
          <w:t xml:space="preserve">CONCLUSIONES</w:t>
        </w:r>
        <w:r>
          <w:rPr>
            <w:rFonts w:ascii="Times New Roman" w:cs="Times New Roman" w:eastAsia="Times New Roman" w:hAnsi="Times New Roman"/>
            <w:color w:val="000000"/>
            <w:sz w:val="24"/>
            <w:szCs w:val="24"/>
          </w:rPr>
          <w:tab/>
          <w:t xml:space="preserve">23</w:t>
        </w:r>
      </w:hyperlink>
    </w:p>
    <w:p>
      <w:pPr>
        <w:pStyle w:val="TOC1"/>
        <w:tabs>
          <w:tab w:val="right" w:pos="9396" w:leader="dot"/>
        </w:tabs>
        <w:spacing w:after="60" w:before="120"/>
        <w:ind w:left="0"/>
      </w:pPr>
      <w:hyperlink w:history="1" w:anchor="_Toc_referencias">
        <w:r>
          <w:rPr>
            <w:rFonts w:ascii="Times New Roman" w:cs="Times New Roman" w:eastAsia="Times New Roman" w:hAnsi="Times New Roman"/>
            <w:b/>
            <w:bCs/>
            <w:color w:val="000000"/>
            <w:sz w:val="24"/>
            <w:szCs w:val="24"/>
          </w:rPr>
          <w:t xml:space="preserve">Referencias</w:t>
        </w:r>
        <w:r>
          <w:rPr>
            <w:rFonts w:ascii="Times New Roman" w:cs="Times New Roman" w:eastAsia="Times New Roman" w:hAnsi="Times New Roman"/>
            <w:color w:val="000000"/>
            <w:sz w:val="24"/>
            <w:szCs w:val="24"/>
          </w:rPr>
          <w:tab/>
          <w:t xml:space="preserve">24</w:t>
        </w:r>
      </w:hyperlink>
      <w:r>
        <w:fldChar w:fldCharType="end"/>
      </w:r>
    </w:p>
    <w:p>
      <w:r>
        <w:br w:type="page"/>
      </w:r>
    </w:p>
    <w:p>
      <w:pPr>
        <w:spacing w:after="140" w:line="336"/>
        <w:jc w:val="both"/>
      </w:pPr>
      <w:r>
        <w:rPr>
          <w:rFonts w:ascii="Times New Roman" w:cs="Times New Roman" w:eastAsia="Times New Roman" w:hAnsi="Times New Roman"/>
          <w:color w:val="000000"/>
          <w:sz w:val="24"/>
          <w:szCs w:val="24"/>
        </w:rPr>
        <w:t xml:space="preserve">Este informe presenta el resultado del procesamiento integral del expediente: recepción, lectura, organización, investigación en fuentes oficiales, análisis y estrategia.</w:t>
      </w:r>
    </w:p>
    <w:p>
      <w:pPr>
        <w:spacing w:after="140" w:line="336"/>
        <w:jc w:val="both"/>
      </w:pPr>
      <w:r>
        <w:rPr>
          <w:rFonts w:ascii="Times New Roman" w:cs="Times New Roman" w:eastAsia="Times New Roman" w:hAnsi="Times New Roman"/>
          <w:color w:val="000000"/>
          <w:sz w:val="24"/>
          <w:szCs w:val="24"/>
        </w:rPr>
        <w:t xml:space="preserve">Su propósito es ofrecer al abogado responsable una base verificable para decidir la actuación siguiente, con cada fuente y cada hecho identificados.</w:t>
      </w:r>
    </w:p>
    <w:p>
      <w:pPr>
        <w:pStyle w:val="Heading1"/>
        <w:keepNext/>
        <w:pageBreakBefore/>
        <w:spacing w:after="320"/>
      </w:pPr>
      <w:bookmarkStart w:name="_Toc_s1" w:id="1"/>
      <w:r>
        <w:rPr>
          <w:rFonts w:ascii="Times New Roman" w:cs="Times New Roman" w:eastAsia="Times New Roman" w:hAnsi="Times New Roman"/>
          <w:b/>
          <w:bCs/>
          <w:color w:val="000000"/>
          <w:sz w:val="26"/>
          <w:szCs w:val="26"/>
        </w:rPr>
        <w:t xml:space="preserve">I. ANTECEDENTES Y OBJETO DEL INFORME</w:t>
      </w:r>
      <w:bookmarkEnd w:id="1"/>
    </w:p>
    <w:p>
      <w:pPr>
        <w:spacing w:after="140" w:line="336"/>
        <w:jc w:val="both"/>
      </w:pPr>
      <w:r>
        <w:rPr>
          <w:rFonts w:ascii="Times New Roman" w:cs="Times New Roman" w:eastAsia="Times New Roman" w:hAnsi="Times New Roman"/>
          <w:color w:val="000000"/>
          <w:sz w:val="24"/>
          <w:szCs w:val="24"/>
        </w:rPr>
        <w:t xml:space="preserve">Consulta la SOCIEDAD FICTICIA UNO S.A.S., en calidad de acreedora beneficiaria del título. La SOCIEDAD FICTICIA UNO S.A.S. busca el cobro judicial del pagaré No. DEMO-001 por $10.000.000, vencido el 1 de marzo de 2024 y no pagado por la PERSONA NATURAL FICTICIA.</w:t>
      </w:r>
    </w:p>
    <w:p>
      <w:pPr>
        <w:spacing w:after="140" w:line="336"/>
        <w:jc w:val="both"/>
      </w:pPr>
      <w:r>
        <w:rPr>
          <w:rFonts w:ascii="Times New Roman" w:cs="Times New Roman" w:eastAsia="Times New Roman" w:hAnsi="Times New Roman"/>
          <w:color w:val="000000"/>
          <w:sz w:val="24"/>
          <w:szCs w:val="24"/>
        </w:rPr>
        <w:t xml:space="preserve">Su objetivo es obtener el pago del capital de $10.000.000 y de los intereses moratorios del pagaré. Para ello se recibieron y organizaron 5 documento(s) que conforman el expediente.</w:t>
      </w:r>
    </w:p>
    <w:p>
      <w:pPr>
        <w:spacing w:after="140" w:line="336"/>
        <w:jc w:val="both"/>
      </w:pPr>
      <w:r>
        <w:rPr>
          <w:rFonts w:ascii="Times New Roman" w:cs="Times New Roman" w:eastAsia="Times New Roman" w:hAnsi="Times New Roman"/>
          <w:color w:val="000000"/>
          <w:sz w:val="24"/>
          <w:szCs w:val="24"/>
        </w:rPr>
        <w:t xml:space="preserve">El informe determina los hechos jurídicamente relevantes con su soporte, verifica cada fuente contra su origen oficial, calcula los términos y propone la actuación siguiente. No sustituye el criterio del ABOGADO (USUARIO), quien decide, aprueba y firma.</w:t>
      </w:r>
    </w:p>
    <w:p>
      <w:pPr>
        <w:pStyle w:val="Heading1"/>
        <w:keepNext/>
        <w:pageBreakBefore/>
        <w:spacing w:after="320"/>
      </w:pPr>
      <w:bookmarkStart w:name="_Toc_s2" w:id="1"/>
      <w:r>
        <w:rPr>
          <w:rFonts w:ascii="Times New Roman" w:cs="Times New Roman" w:eastAsia="Times New Roman" w:hAnsi="Times New Roman"/>
          <w:b/>
          <w:bCs/>
          <w:color w:val="000000"/>
          <w:sz w:val="26"/>
          <w:szCs w:val="26"/>
        </w:rPr>
        <w:t xml:space="preserve">II. EXPEDIENTE RECIBIDO Y ORGANIZACIÓN DOCUMENTAL</w:t>
      </w:r>
      <w:bookmarkEnd w:id="1"/>
    </w:p>
    <w:p>
      <w:pPr>
        <w:spacing w:after="140" w:line="336"/>
        <w:jc w:val="both"/>
      </w:pPr>
      <w:r>
        <w:rPr>
          <w:rFonts w:ascii="Times New Roman" w:cs="Times New Roman" w:eastAsia="Times New Roman" w:hAnsi="Times New Roman"/>
          <w:color w:val="000000"/>
          <w:sz w:val="24"/>
          <w:szCs w:val="24"/>
        </w:rPr>
        <w:t xml:space="preserve">Se recibieron 6 archivo(s), de los cuales 1 son duplicados exactos (misma huella SHA-256), 0 están protegidos con clave de apertura y 0 tienen formato no soportado. Se leyeron íntegramente 5 página(s), 1 de ellas por lectura visual, y se organizaron 5 documento(s) con número de anexo estable, en orden cronológico y con la puerta de entrada documental al inicio.</w:t>
      </w:r>
      <w:r>
        <w:rPr>
          <w:rStyle w:val="FootnoteReference"/>
        </w:rPr>
        <w:footnoteReference w:id="1"/>
      </w:r>
    </w:p>
    <w:p>
      <w:pPr>
        <w:keepNext/>
        <w:spacing w:after="60" w:before="280"/>
      </w:pPr>
      <w:r>
        <w:rPr>
          <w:rFonts w:ascii="Times New Roman" w:cs="Times New Roman" w:eastAsia="Times New Roman" w:hAnsi="Times New Roman"/>
          <w:b/>
          <w:bCs/>
          <w:color w:val="000000"/>
          <w:sz w:val="24"/>
          <w:szCs w:val="24"/>
        </w:rPr>
        <w:t xml:space="preserve">Tabla 1</w:t>
      </w:r>
    </w:p>
    <w:p>
      <w:pPr>
        <w:keepNext/>
        <w:spacing w:after="160"/>
      </w:pPr>
      <w:r>
        <w:rPr>
          <w:rFonts w:ascii="Times New Roman" w:cs="Times New Roman" w:eastAsia="Times New Roman" w:hAnsi="Times New Roman"/>
          <w:i/>
          <w:iCs/>
          <w:color w:val="000000"/>
          <w:sz w:val="24"/>
          <w:szCs w:val="24"/>
        </w:rPr>
        <w:t xml:space="preserve">Documentos organizados del expediente</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809"/>
        <w:gridCol w:w="4247"/>
        <w:gridCol w:w="1820"/>
        <w:gridCol w:w="1820"/>
        <w:gridCol w:w="710"/>
      </w:tblGrid>
      <w:tr>
        <w:trPr>
          <w:cantSplit/>
          <w:tblHeader/>
        </w:trPr>
        <w:tc>
          <w:tcPr>
            <w:tcW w:type="dxa" w:w="809"/>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Anexo</w:t>
            </w:r>
          </w:p>
        </w:tc>
        <w:tc>
          <w:tcPr>
            <w:tcW w:type="dxa" w:w="4247"/>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Documento</w:t>
            </w:r>
          </w:p>
        </w:tc>
        <w:tc>
          <w:tcPr>
            <w:tcW w:type="dxa" w:w="1820"/>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Tipología</w:t>
            </w:r>
          </w:p>
        </w:tc>
        <w:tc>
          <w:tcPr>
            <w:tcW w:type="dxa" w:w="1820"/>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Fecha</w:t>
            </w:r>
          </w:p>
        </w:tc>
        <w:tc>
          <w:tcPr>
            <w:tcW w:type="dxa" w:w="710"/>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Págs.</w:t>
            </w:r>
          </w:p>
        </w:tc>
      </w:tr>
      <w:tr>
        <w:trPr>
          <w:cantSplit/>
          <w:tblHeader w:val="false"/>
        </w:trPr>
        <w:tc>
          <w:tcPr>
            <w:tcW w:type="dxa" w:w="809"/>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1</w:t>
            </w:r>
          </w:p>
        </w:tc>
        <w:tc>
          <w:tcPr>
            <w:tcW w:type="dxa" w:w="4247"/>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01_RELATO_CLIENTE-SOCIEDAD_FICTICIA_UNO_S_A_S_02-09-2026.pdf</w:t>
            </w:r>
          </w:p>
        </w:tc>
        <w:tc>
          <w:tcPr>
            <w:tcW w:type="dxa" w:w="182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relato cliente</w:t>
            </w:r>
          </w:p>
        </w:tc>
        <w:tc>
          <w:tcPr>
            <w:tcW w:type="dxa" w:w="182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2 de septiembre de 2026</w:t>
            </w:r>
          </w:p>
        </w:tc>
        <w:tc>
          <w:tcPr>
            <w:tcW w:type="dxa" w:w="71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1</w:t>
            </w:r>
          </w:p>
        </w:tc>
      </w:tr>
      <w:tr>
        <w:trPr>
          <w:cantSplit/>
          <w:tblHeader w:val="false"/>
        </w:trPr>
        <w:tc>
          <w:tcPr>
            <w:tcW w:type="dxa" w:w="809"/>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2</w:t>
            </w:r>
          </w:p>
        </w:tc>
        <w:tc>
          <w:tcPr>
            <w:tcW w:type="dxa" w:w="4247"/>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02_PODER-PERSONA_FICTICIA_DOS_03-09-2026.pdf</w:t>
            </w:r>
          </w:p>
        </w:tc>
        <w:tc>
          <w:tcPr>
            <w:tcW w:type="dxa" w:w="182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poder</w:t>
            </w:r>
          </w:p>
        </w:tc>
        <w:tc>
          <w:tcPr>
            <w:tcW w:type="dxa" w:w="182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3 de septiembre de 2026</w:t>
            </w:r>
          </w:p>
        </w:tc>
        <w:tc>
          <w:tcPr>
            <w:tcW w:type="dxa" w:w="71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1</w:t>
            </w:r>
          </w:p>
        </w:tc>
      </w:tr>
      <w:tr>
        <w:trPr>
          <w:cantSplit/>
          <w:tblHeader w:val="false"/>
        </w:trPr>
        <w:tc>
          <w:tcPr>
            <w:tcW w:type="dxa" w:w="809"/>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3</w:t>
            </w:r>
          </w:p>
        </w:tc>
        <w:tc>
          <w:tcPr>
            <w:tcW w:type="dxa" w:w="4247"/>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03_PAGARE-PERSONA_NATURAL_FICTICIA_01-03-2023.pdf</w:t>
            </w:r>
          </w:p>
        </w:tc>
        <w:tc>
          <w:tcPr>
            <w:tcW w:type="dxa" w:w="182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pagare</w:t>
            </w:r>
          </w:p>
        </w:tc>
        <w:tc>
          <w:tcPr>
            <w:tcW w:type="dxa" w:w="182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1 de marzo de 2023</w:t>
            </w:r>
          </w:p>
        </w:tc>
        <w:tc>
          <w:tcPr>
            <w:tcW w:type="dxa" w:w="71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1</w:t>
            </w:r>
          </w:p>
        </w:tc>
      </w:tr>
      <w:tr>
        <w:trPr>
          <w:cantSplit/>
          <w:tblHeader w:val="false"/>
        </w:trPr>
        <w:tc>
          <w:tcPr>
            <w:tcW w:type="dxa" w:w="809"/>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4</w:t>
            </w:r>
          </w:p>
        </w:tc>
        <w:tc>
          <w:tcPr>
            <w:tcW w:type="dxa" w:w="4247"/>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04_REQUERIMIENTO_DE_PAGO-PERSONA_NATURAL_FICTICIA_15-04-2024.pdf</w:t>
            </w:r>
          </w:p>
        </w:tc>
        <w:tc>
          <w:tcPr>
            <w:tcW w:type="dxa" w:w="182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requerimiento de pago</w:t>
            </w:r>
          </w:p>
        </w:tc>
        <w:tc>
          <w:tcPr>
            <w:tcW w:type="dxa" w:w="182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15 de abril de 2024</w:t>
            </w:r>
          </w:p>
        </w:tc>
        <w:tc>
          <w:tcPr>
            <w:tcW w:type="dxa" w:w="71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1</w:t>
            </w:r>
          </w:p>
        </w:tc>
      </w:tr>
      <w:tr>
        <w:trPr>
          <w:cantSplit/>
          <w:tblHeader w:val="false"/>
        </w:trPr>
        <w:tc>
          <w:tcPr>
            <w:tcW w:type="dxa" w:w="809"/>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5</w:t>
            </w:r>
          </w:p>
        </w:tc>
        <w:tc>
          <w:tcPr>
            <w:tcW w:type="dxa" w:w="4247"/>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05_CERTIFICADO_EXISTENCIA-SOCIEDAD_FICTICIA_UNO_S_A_S_01-09-2026.pdf</w:t>
            </w:r>
          </w:p>
        </w:tc>
        <w:tc>
          <w:tcPr>
            <w:tcW w:type="dxa" w:w="1820"/>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certificado existencia</w:t>
            </w:r>
          </w:p>
        </w:tc>
        <w:tc>
          <w:tcPr>
            <w:tcW w:type="dxa" w:w="1820"/>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1 de septiembre de 2026</w:t>
            </w:r>
          </w:p>
        </w:tc>
        <w:tc>
          <w:tcPr>
            <w:tcW w:type="dxa" w:w="710"/>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1</w:t>
            </w:r>
          </w:p>
        </w:tc>
      </w:tr>
    </w:tbl>
    <w:p>
      <w:pPr>
        <w:spacing w:after="320" w:before="80"/>
        <w:jc w:val="both"/>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La numeración de anexos es estable: un número asignado no cambia en versiones posteriores.</w:t>
      </w:r>
    </w:p>
    <w:p>
      <w:pPr>
        <w:pStyle w:val="Heading2"/>
        <w:keepNext/>
        <w:spacing w:after="180" w:before="400"/>
      </w:pPr>
      <w:bookmarkStart w:name="_Toc_s2_1" w:id="1"/>
      <w:r>
        <w:rPr>
          <w:rFonts w:ascii="Times New Roman" w:cs="Times New Roman" w:eastAsia="Times New Roman" w:hAnsi="Times New Roman"/>
          <w:b/>
          <w:bCs/>
          <w:color w:val="000000"/>
          <w:sz w:val="24"/>
          <w:szCs w:val="24"/>
        </w:rPr>
        <w:t xml:space="preserve">2.1 — Omisiones y vacíos documentales</w:t>
      </w:r>
      <w:bookmarkEnd w:id="1"/>
    </w:p>
    <w:p>
      <w:pPr>
        <w:spacing w:after="100" w:line="336"/>
        <w:ind w:left="709"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Falta: Documento de identidad del cliente o certificado de existencia y representación (media): Legitimación y datos de notificación (art. 82, num. 2 CGP).</w:t>
      </w:r>
    </w:p>
    <w:p>
      <w:pPr>
        <w:pStyle w:val="Heading1"/>
        <w:keepNext/>
        <w:pageBreakBefore/>
        <w:spacing w:after="320"/>
      </w:pPr>
      <w:bookmarkStart w:name="_Toc_s3" w:id="1"/>
      <w:r>
        <w:rPr>
          <w:rFonts w:ascii="Times New Roman" w:cs="Times New Roman" w:eastAsia="Times New Roman" w:hAnsi="Times New Roman"/>
          <w:b/>
          <w:bCs/>
          <w:color w:val="000000"/>
          <w:sz w:val="26"/>
          <w:szCs w:val="26"/>
        </w:rPr>
        <w:t xml:space="preserve">III. ESTADO PROCESAL OFICIAL Y DEBIDA DILIGENCIA</w:t>
      </w:r>
      <w:bookmarkEnd w:id="1"/>
    </w:p>
    <w:p>
      <w:pPr>
        <w:spacing w:after="140" w:line="336"/>
        <w:jc w:val="both"/>
      </w:pPr>
      <w:r>
        <w:rPr>
          <w:rFonts w:ascii="Times New Roman" w:cs="Times New Roman" w:eastAsia="Times New Roman" w:hAnsi="Times New Roman"/>
          <w:color w:val="000000"/>
          <w:sz w:val="24"/>
          <w:szCs w:val="24"/>
        </w:rPr>
        <w:t xml:space="preserve">No se acreditó en fuente oficial el estado procesal de ningún radicado.</w:t>
      </w:r>
    </w:p>
    <w:p>
      <w:pPr>
        <w:pStyle w:val="Heading2"/>
        <w:keepNext/>
        <w:spacing w:after="180" w:before="400"/>
      </w:pPr>
      <w:bookmarkStart w:name="_Toc_s3_1" w:id="1"/>
      <w:r>
        <w:rPr>
          <w:rFonts w:ascii="Times New Roman" w:cs="Times New Roman" w:eastAsia="Times New Roman" w:hAnsi="Times New Roman"/>
          <w:b/>
          <w:bCs/>
          <w:color w:val="000000"/>
          <w:sz w:val="24"/>
          <w:szCs w:val="24"/>
        </w:rPr>
        <w:t xml:space="preserve">3.1 — Debida diligencia de las partes</w:t>
      </w:r>
      <w:bookmarkEnd w:id="1"/>
    </w:p>
    <w:p>
      <w:pPr>
        <w:keepNext/>
        <w:spacing w:after="60" w:before="280"/>
      </w:pPr>
      <w:r>
        <w:rPr>
          <w:rFonts w:ascii="Times New Roman" w:cs="Times New Roman" w:eastAsia="Times New Roman" w:hAnsi="Times New Roman"/>
          <w:b/>
          <w:bCs/>
          <w:color w:val="000000"/>
          <w:sz w:val="24"/>
          <w:szCs w:val="24"/>
        </w:rPr>
        <w:t xml:space="preserve">Tabla 2</w:t>
      </w:r>
    </w:p>
    <w:p>
      <w:pPr>
        <w:keepNext/>
        <w:spacing w:after="160"/>
      </w:pPr>
      <w:r>
        <w:rPr>
          <w:rFonts w:ascii="Times New Roman" w:cs="Times New Roman" w:eastAsia="Times New Roman" w:hAnsi="Times New Roman"/>
          <w:i/>
          <w:iCs/>
          <w:color w:val="000000"/>
          <w:sz w:val="24"/>
          <w:szCs w:val="24"/>
        </w:rPr>
        <w:t xml:space="preserve">Consultas de debida diligencia</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044"/>
        <w:gridCol w:w="2044"/>
        <w:gridCol w:w="4498"/>
        <w:gridCol w:w="820"/>
      </w:tblGrid>
      <w:tr>
        <w:trPr>
          <w:cantSplit/>
          <w:tblHeader/>
        </w:trPr>
        <w:tc>
          <w:tcPr>
            <w:tcW w:type="dxa" w:w="2044"/>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Sujeto</w:t>
            </w:r>
          </w:p>
        </w:tc>
        <w:tc>
          <w:tcPr>
            <w:tcW w:type="dxa" w:w="2044"/>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Fuente</w:t>
            </w:r>
          </w:p>
        </w:tc>
        <w:tc>
          <w:tcPr>
            <w:tcW w:type="dxa" w:w="4498"/>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Resultado</w:t>
            </w:r>
          </w:p>
        </w:tc>
        <w:tc>
          <w:tcPr>
            <w:tcW w:type="dxa" w:w="820"/>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Alerta</w:t>
            </w:r>
          </w:p>
        </w:tc>
      </w:tr>
      <w:tr>
        <w:trPr>
          <w:cantSplit/>
          <w:tblHeader w:val="false"/>
        </w:trPr>
        <w:tc>
          <w:tcPr>
            <w:tcW w:type="dxa" w:w="2044"/>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NIT 000000002-0</w:t>
            </w:r>
          </w:p>
        </w:tc>
        <w:tc>
          <w:tcPr>
            <w:tcW w:type="dxa" w:w="2044"/>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rues_company_search</w:t>
            </w:r>
          </w:p>
        </w:tc>
        <w:tc>
          <w:tcPr>
            <w:tcW w:type="dxa" w:w="4498"/>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{"found":true,"razon_social":"SOCIEDAD FICTICIA UNO S.A.S.","nit":"000.000.002-0","estado":"ACTIVA","matricula":"DEMO-0001","ultimo_ano_renovado":2026,"representantes":[{"nombre":"PERSONA FICTICIA DOS","cargo":"Represent</w:t>
            </w:r>
          </w:p>
        </w:tc>
        <w:tc>
          <w:tcPr>
            <w:tcW w:type="dxa" w:w="82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No</w:t>
            </w:r>
          </w:p>
        </w:tc>
      </w:tr>
      <w:tr>
        <w:trPr>
          <w:cantSplit/>
          <w:tblHeader w:val="false"/>
        </w:trPr>
        <w:tc>
          <w:tcPr>
            <w:tcW w:type="dxa" w:w="2044"/>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SOCIEDAD FICTICIA UNO S.A.S.</w:t>
            </w:r>
          </w:p>
        </w:tc>
        <w:tc>
          <w:tcPr>
            <w:tcW w:type="dxa" w:w="2044"/>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rues_company_search</w:t>
            </w:r>
          </w:p>
        </w:tc>
        <w:tc>
          <w:tcPr>
            <w:tcW w:type="dxa" w:w="4498"/>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{"found":true,"razon_social":"SOCIEDAD FICTICIA UNO S.A.S.","nit":"000.000.002-0","estado":"ACTIVA","matricula":"DEMO-0001","ultimo_ano_renovado":2026,"representantes":[{"nombre":"PERSONA FICTICIA DOS","cargo":"Represent</w:t>
            </w:r>
          </w:p>
        </w:tc>
        <w:tc>
          <w:tcPr>
            <w:tcW w:type="dxa" w:w="820"/>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No</w:t>
            </w:r>
          </w:p>
        </w:tc>
      </w:tr>
    </w:tbl>
    <w:p>
      <w:pPr>
        <w:spacing w:after="320" w:before="80"/>
        <w:jc w:val="both"/>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Cada consulta se hizo con finalidad declarada (Ley 1581 de 2012) y queda registrada con su procedencia.</w:t>
      </w:r>
    </w:p>
    <w:p>
      <w:pPr>
        <w:pStyle w:val="Heading1"/>
        <w:keepNext/>
        <w:pageBreakBefore/>
        <w:spacing w:after="320"/>
      </w:pPr>
      <w:bookmarkStart w:name="_Toc_s4" w:id="1"/>
      <w:r>
        <w:rPr>
          <w:rFonts w:ascii="Times New Roman" w:cs="Times New Roman" w:eastAsia="Times New Roman" w:hAnsi="Times New Roman"/>
          <w:b/>
          <w:bCs/>
          <w:color w:val="000000"/>
          <w:sz w:val="26"/>
          <w:szCs w:val="26"/>
        </w:rPr>
        <w:t xml:space="preserve">IV. HECHOS JURÍDICAMENTE RELEVANTES</w:t>
      </w:r>
      <w:bookmarkEnd w:id="1"/>
    </w:p>
    <w:p>
      <w:pPr>
        <w:spacing w:after="140" w:line="336"/>
        <w:jc w:val="both"/>
      </w:pPr>
      <w:r>
        <w:rPr>
          <w:rFonts w:ascii="Times New Roman" w:cs="Times New Roman" w:eastAsia="Times New Roman" w:hAnsi="Times New Roman"/>
          <w:b/>
          <w:bCs/>
          <w:color w:val="000000"/>
          <w:sz w:val="24"/>
          <w:szCs w:val="24"/>
        </w:rPr>
        <w:t xml:space="preserve">1.</w:t>
      </w:r>
      <w:r>
        <w:rPr>
          <w:rFonts w:ascii="Times New Roman" w:cs="Times New Roman" w:eastAsia="Times New Roman" w:hAnsi="Times New Roman"/>
          <w:color w:val="000000"/>
          <w:sz w:val="24"/>
          <w:szCs w:val="24"/>
        </w:rPr>
        <w:t xml:space="preserve"> 1 de marzo de 2023. El 1 de marzo de 2023 la PERSONA NATURAL FICTICIA suscribió a la orden de la SOCIEDAD FICTICIA UNO S.A.S. el pagaré No. DEMO-001 por $10.000.000, con vencimiento el 1 de marzo de 2024. Lugar: Bogotá D.C.. </w:t>
      </w:r>
      <w:r>
        <w:rPr>
          <w:rFonts w:ascii="Times New Roman" w:cs="Times New Roman" w:eastAsia="Times New Roman" w:hAnsi="Times New Roman"/>
          <w:i/>
          <w:iCs/>
          <w:color w:val="000000"/>
          <w:sz w:val="24"/>
          <w:szCs w:val="24"/>
        </w:rPr>
        <w:t xml:space="preserve">(probado documentalmente)</w:t>
      </w:r>
      <w:r>
        <w:rPr>
          <w:rStyle w:val="FootnoteReference"/>
        </w:rPr>
        <w:footnoteReference w:id="2"/>
      </w:r>
    </w:p>
    <w:p>
      <w:pPr>
        <w:spacing w:after="140" w:line="336"/>
        <w:jc w:val="both"/>
      </w:pPr>
      <w:r>
        <w:rPr>
          <w:rFonts w:ascii="Times New Roman" w:cs="Times New Roman" w:eastAsia="Times New Roman" w:hAnsi="Times New Roman"/>
          <w:b/>
          <w:bCs/>
          <w:color w:val="000000"/>
          <w:sz w:val="24"/>
          <w:szCs w:val="24"/>
        </w:rPr>
        <w:t xml:space="preserve">2.</w:t>
      </w:r>
      <w:r>
        <w:rPr>
          <w:rFonts w:ascii="Times New Roman" w:cs="Times New Roman" w:eastAsia="Times New Roman" w:hAnsi="Times New Roman"/>
          <w:color w:val="000000"/>
          <w:sz w:val="24"/>
          <w:szCs w:val="24"/>
        </w:rPr>
        <w:t xml:space="preserve"> 1 de marzo de 2024. El 1 de marzo de 2024 se cumplió el vencimiento del pagaré No. DEMO-001. Lugar: Bogotá D.C.. </w:t>
      </w:r>
      <w:r>
        <w:rPr>
          <w:rFonts w:ascii="Times New Roman" w:cs="Times New Roman" w:eastAsia="Times New Roman" w:hAnsi="Times New Roman"/>
          <w:i/>
          <w:iCs/>
          <w:color w:val="000000"/>
          <w:sz w:val="24"/>
          <w:szCs w:val="24"/>
        </w:rPr>
        <w:t xml:space="preserve">(probado documentalmente)</w:t>
      </w:r>
      <w:r>
        <w:rPr>
          <w:rStyle w:val="FootnoteReference"/>
        </w:rPr>
        <w:footnoteReference w:id="3"/>
      </w:r>
    </w:p>
    <w:p>
      <w:pPr>
        <w:spacing w:after="140" w:line="336"/>
        <w:jc w:val="both"/>
      </w:pPr>
      <w:r>
        <w:rPr>
          <w:rFonts w:ascii="Times New Roman" w:cs="Times New Roman" w:eastAsia="Times New Roman" w:hAnsi="Times New Roman"/>
          <w:b/>
          <w:bCs/>
          <w:color w:val="000000"/>
          <w:sz w:val="24"/>
          <w:szCs w:val="24"/>
        </w:rPr>
        <w:t xml:space="preserve">3.</w:t>
      </w:r>
      <w:r>
        <w:rPr>
          <w:rFonts w:ascii="Times New Roman" w:cs="Times New Roman" w:eastAsia="Times New Roman" w:hAnsi="Times New Roman"/>
          <w:color w:val="000000"/>
          <w:sz w:val="24"/>
          <w:szCs w:val="24"/>
        </w:rPr>
        <w:t xml:space="preserve"> 15 de abril de 2024. El 15 de abril de 2024 la SOCIEDAD FICTICIA UNO S.A.S. requirió por escrito a la PERSONA NATURAL FICTICIA el pago del pagaré No. DEMO-001. Lugar: Bogotá D.C.. </w:t>
      </w:r>
      <w:r>
        <w:rPr>
          <w:rFonts w:ascii="Times New Roman" w:cs="Times New Roman" w:eastAsia="Times New Roman" w:hAnsi="Times New Roman"/>
          <w:i/>
          <w:iCs/>
          <w:color w:val="000000"/>
          <w:sz w:val="24"/>
          <w:szCs w:val="24"/>
        </w:rPr>
        <w:t xml:space="preserve">(probado documentalmente)</w:t>
      </w:r>
      <w:r>
        <w:rPr>
          <w:rStyle w:val="FootnoteReference"/>
        </w:rPr>
        <w:footnoteReference w:id="4"/>
      </w:r>
    </w:p>
    <w:p>
      <w:pPr>
        <w:spacing w:after="140" w:line="336"/>
        <w:jc w:val="both"/>
      </w:pPr>
      <w:r>
        <w:rPr>
          <w:rFonts w:ascii="Times New Roman" w:cs="Times New Roman" w:eastAsia="Times New Roman" w:hAnsi="Times New Roman"/>
          <w:b/>
          <w:bCs/>
          <w:color w:val="000000"/>
          <w:sz w:val="24"/>
          <w:szCs w:val="24"/>
        </w:rPr>
        <w:t xml:space="preserve">4.</w:t>
      </w:r>
      <w:r>
        <w:rPr>
          <w:rFonts w:ascii="Times New Roman" w:cs="Times New Roman" w:eastAsia="Times New Roman" w:hAnsi="Times New Roman"/>
          <w:color w:val="000000"/>
          <w:sz w:val="24"/>
          <w:szCs w:val="24"/>
        </w:rPr>
        <w:t xml:space="preserve"> 1 de septiembre de 2026. El 1 de septiembre de 2026 se expidió el certificado de existencia y representación legal de la SOCIEDAD FICTICIA UNO S.A.S., con matrícula activa. Lugar: Bogotá D.C.. </w:t>
      </w:r>
      <w:r>
        <w:rPr>
          <w:rFonts w:ascii="Times New Roman" w:cs="Times New Roman" w:eastAsia="Times New Roman" w:hAnsi="Times New Roman"/>
          <w:i/>
          <w:iCs/>
          <w:color w:val="000000"/>
          <w:sz w:val="24"/>
          <w:szCs w:val="24"/>
        </w:rPr>
        <w:t xml:space="preserve">(probado documentalmente)</w:t>
      </w:r>
      <w:r>
        <w:rPr>
          <w:rStyle w:val="FootnoteReference"/>
        </w:rPr>
        <w:footnoteReference w:id="5"/>
      </w:r>
    </w:p>
    <w:p>
      <w:pPr>
        <w:spacing w:after="140" w:line="336"/>
        <w:jc w:val="both"/>
      </w:pPr>
      <w:r>
        <w:rPr>
          <w:rFonts w:ascii="Times New Roman" w:cs="Times New Roman" w:eastAsia="Times New Roman" w:hAnsi="Times New Roman"/>
          <w:b/>
          <w:bCs/>
          <w:color w:val="000000"/>
          <w:sz w:val="24"/>
          <w:szCs w:val="24"/>
        </w:rPr>
        <w:t xml:space="preserve">5.</w:t>
      </w:r>
      <w:r>
        <w:rPr>
          <w:rFonts w:ascii="Times New Roman" w:cs="Times New Roman" w:eastAsia="Times New Roman" w:hAnsi="Times New Roman"/>
          <w:color w:val="000000"/>
          <w:sz w:val="24"/>
          <w:szCs w:val="24"/>
        </w:rPr>
        <w:t xml:space="preserve"> 2 de septiembre de 2026. A la fecha del relato, la SOCIEDAD FICTICIA UNO S.A.S. afirma que la PERSONA NATURAL FICTICIA no ha pagado ninguna suma. Lugar: Bogotá D.C.. </w:t>
      </w:r>
      <w:r>
        <w:rPr>
          <w:rFonts w:ascii="Times New Roman" w:cs="Times New Roman" w:eastAsia="Times New Roman" w:hAnsi="Times New Roman"/>
          <w:i/>
          <w:iCs/>
          <w:color w:val="000000"/>
          <w:sz w:val="24"/>
          <w:szCs w:val="24"/>
        </w:rPr>
        <w:t xml:space="preserve">(afirmado por el cliente)</w:t>
      </w:r>
      <w:r>
        <w:rPr>
          <w:rStyle w:val="FootnoteReference"/>
        </w:rPr>
        <w:footnoteReference w:id="6"/>
      </w:r>
    </w:p>
    <w:p>
      <w:pPr>
        <w:spacing w:after="140" w:line="336"/>
        <w:jc w:val="both"/>
      </w:pPr>
      <w:r>
        <w:rPr>
          <w:rFonts w:ascii="Times New Roman" w:cs="Times New Roman" w:eastAsia="Times New Roman" w:hAnsi="Times New Roman"/>
          <w:b/>
          <w:bCs/>
          <w:color w:val="000000"/>
          <w:sz w:val="24"/>
          <w:szCs w:val="24"/>
        </w:rPr>
        <w:t xml:space="preserve">6.</w:t>
      </w:r>
      <w:r>
        <w:rPr>
          <w:rFonts w:ascii="Times New Roman" w:cs="Times New Roman" w:eastAsia="Times New Roman" w:hAnsi="Times New Roman"/>
          <w:color w:val="000000"/>
          <w:sz w:val="24"/>
          <w:szCs w:val="24"/>
        </w:rPr>
        <w:t xml:space="preserve"> 3 de septiembre de 2026. El 3 de septiembre de 2026 la SOCIEDAD FICTICIA UNO S.A.S., por medio de su representante legal, confirió poder especial para iniciar el proceso ejecutivo. Lugar: Bogotá D.C.. </w:t>
      </w:r>
      <w:r>
        <w:rPr>
          <w:rFonts w:ascii="Times New Roman" w:cs="Times New Roman" w:eastAsia="Times New Roman" w:hAnsi="Times New Roman"/>
          <w:i/>
          <w:iCs/>
          <w:color w:val="000000"/>
          <w:sz w:val="24"/>
          <w:szCs w:val="24"/>
        </w:rPr>
        <w:t xml:space="preserve">(probado documentalmente)</w:t>
      </w:r>
      <w:r>
        <w:rPr>
          <w:rStyle w:val="FootnoteReference"/>
        </w:rPr>
        <w:footnoteReference w:id="7"/>
      </w:r>
    </w:p>
    <w:p>
      <w:pPr>
        <w:pStyle w:val="Heading1"/>
        <w:keepNext/>
        <w:pageBreakBefore/>
        <w:spacing w:after="320"/>
      </w:pPr>
      <w:bookmarkStart w:name="_Toc_s5" w:id="1"/>
      <w:r>
        <w:rPr>
          <w:rFonts w:ascii="Times New Roman" w:cs="Times New Roman" w:eastAsia="Times New Roman" w:hAnsi="Times New Roman"/>
          <w:b/>
          <w:bCs/>
          <w:color w:val="000000"/>
          <w:sz w:val="26"/>
          <w:szCs w:val="26"/>
        </w:rPr>
        <w:t xml:space="preserve">V. PROBLEMAS JURÍDICOS</w:t>
      </w:r>
      <w:bookmarkEnd w:id="1"/>
    </w:p>
    <w:p>
      <w:pPr>
        <w:spacing w:after="100" w:line="336"/>
        <w:ind w:left="709" w:hanging="360"/>
        <w:jc w:val="both"/>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Problema principal: ¿El pagaré aportado reúne los requisitos generales y particulares de los títulos valores y contiene una obligación clara, expresa y exigible que permita librar mandamiento de pago?</w:t>
      </w:r>
    </w:p>
    <w:p>
      <w:pPr>
        <w:spacing w:after="100" w:line="336"/>
        <w:ind w:left="709" w:hanging="360"/>
        <w:jc w:val="both"/>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Problema asociado 1: ¿Está vigente la acción cambiaria directa frente al término de prescripción de tres años contado desde el vencimiento del título?</w:t>
      </w:r>
    </w:p>
    <w:p>
      <w:pPr>
        <w:pStyle w:val="Heading1"/>
        <w:keepNext/>
        <w:pageBreakBefore/>
        <w:spacing w:after="320"/>
      </w:pPr>
      <w:bookmarkStart w:name="_Toc_s6" w:id="1"/>
      <w:r>
        <w:rPr>
          <w:rFonts w:ascii="Times New Roman" w:cs="Times New Roman" w:eastAsia="Times New Roman" w:hAnsi="Times New Roman"/>
          <w:b/>
          <w:bCs/>
          <w:color w:val="000000"/>
          <w:sz w:val="26"/>
          <w:szCs w:val="26"/>
        </w:rPr>
        <w:t xml:space="preserve">VI. MARCO NORMATIVO APLICABLE</w:t>
      </w:r>
      <w:bookmarkEnd w:id="1"/>
    </w:p>
    <w:p>
      <w:pPr>
        <w:spacing w:after="140" w:line="336"/>
        <w:jc w:val="both"/>
      </w:pPr>
      <w:r>
        <w:rPr>
          <w:rFonts w:ascii="Times New Roman" w:cs="Times New Roman" w:eastAsia="Times New Roman" w:hAnsi="Times New Roman"/>
          <w:color w:val="000000"/>
          <w:sz w:val="24"/>
          <w:szCs w:val="24"/>
        </w:rPr>
        <w:t xml:space="preserve">El caso se gobierna por el régimen de los títulos valores del Código de Comercio y por las reglas del proceso ejecutivo del Código General del Proceso. Cada disposición se verificó en fuente oficial con indicación de su vigencia.</w:t>
      </w:r>
    </w:p>
    <w:p>
      <w:pPr>
        <w:keepNext/>
        <w:keepLines/>
        <w:spacing w:after="120" w:before="320" w:line="336"/>
        <w:ind w:left="709" w:right="709"/>
        <w:jc w:val="left"/>
      </w:pPr>
      <w:r>
        <w:rPr>
          <w:rFonts w:ascii="Times New Roman" w:cs="Times New Roman" w:eastAsia="Times New Roman" w:hAnsi="Times New Roman"/>
          <w:i/>
          <w:iCs/>
          <w:color w:val="000000"/>
          <w:sz w:val="23"/>
          <w:szCs w:val="23"/>
        </w:rPr>
        <w:t xml:space="preserve">«Pueden demandarse ejecutivamente las obligaciones expresas, claras y exigibles que consten en documentos que provengan del deudor o de su causante, y constituyan plena prueba contra él»</w:t>
      </w:r>
    </w:p>
    <w:p>
      <w:pPr>
        <w:spacing w:after="320"/>
        <w:ind w:left="709" w:right="709"/>
        <w:jc w:val="left"/>
      </w:pPr>
      <w:r>
        <w:rPr>
          <w:rFonts w:ascii="Times New Roman" w:cs="Times New Roman" w:eastAsia="Times New Roman" w:hAnsi="Times New Roman"/>
          <w:i/>
          <w:iCs/>
          <w:color w:val="000000"/>
          <w:sz w:val="20"/>
          <w:szCs w:val="20"/>
        </w:rPr>
        <w:t xml:space="preserve">Título ejecutivo. </w:t>
      </w:r>
      <w:r>
        <w:rPr>
          <w:rFonts w:ascii="Times New Roman" w:cs="Times New Roman" w:eastAsia="Times New Roman" w:hAnsi="Times New Roman"/>
          <w:color w:val="000000"/>
          <w:sz w:val="20"/>
          <w:szCs w:val="20"/>
        </w:rPr>
        <w:t xml:space="preserve">Congreso de la República / Gobierno Nacional. (2012). Ley 1564 de 2012, art. 422. http://www.secretariasenado.gov.co/senado/basedoc/ley_1564_2012.html</w:t>
      </w:r>
      <w:r>
        <w:rPr>
          <w:rStyle w:val="FootnoteReference"/>
        </w:rPr>
        <w:footnoteReference w:id="8"/>
      </w:r>
    </w:p>
    <w:p>
      <w:pPr>
        <w:keepNext/>
        <w:spacing w:after="60" w:before="280"/>
      </w:pPr>
      <w:r>
        <w:rPr>
          <w:rFonts w:ascii="Times New Roman" w:cs="Times New Roman" w:eastAsia="Times New Roman" w:hAnsi="Times New Roman"/>
          <w:b/>
          <w:bCs/>
          <w:color w:val="000000"/>
          <w:sz w:val="24"/>
          <w:szCs w:val="24"/>
        </w:rPr>
        <w:t xml:space="preserve">Tabla 3</w:t>
      </w:r>
    </w:p>
    <w:p>
      <w:pPr>
        <w:keepNext/>
        <w:spacing w:after="160"/>
      </w:pPr>
      <w:r>
        <w:rPr>
          <w:rFonts w:ascii="Times New Roman" w:cs="Times New Roman" w:eastAsia="Times New Roman" w:hAnsi="Times New Roman"/>
          <w:i/>
          <w:iCs/>
          <w:color w:val="000000"/>
          <w:sz w:val="24"/>
          <w:szCs w:val="24"/>
        </w:rPr>
        <w:t xml:space="preserve">Normas verificadas y su vigencia</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180"/>
        <w:gridCol w:w="2090"/>
        <w:gridCol w:w="3136"/>
      </w:tblGrid>
      <w:tr>
        <w:trPr>
          <w:cantSplit/>
          <w:tblHeader/>
        </w:trPr>
        <w:tc>
          <w:tcPr>
            <w:tcW w:type="dxa" w:w="4180"/>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Disposición</w:t>
            </w:r>
          </w:p>
        </w:tc>
        <w:tc>
          <w:tcPr>
            <w:tcW w:type="dxa" w:w="2090"/>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Vigencia</w:t>
            </w:r>
          </w:p>
        </w:tc>
        <w:tc>
          <w:tcPr>
            <w:tcW w:type="dxa" w:w="3136"/>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Verificación</w:t>
            </w:r>
          </w:p>
        </w:tc>
      </w:tr>
      <w:tr>
        <w:trPr>
          <w:cantSplit/>
          <w:tblHeader w:val="false"/>
        </w:trPr>
        <w:tc>
          <w:tcPr>
            <w:tcW w:type="dxa" w:w="418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Ley 1564 de 2012, art. 422</w:t>
            </w:r>
          </w:p>
        </w:tc>
        <w:tc>
          <w:tcPr>
            <w:tcW w:type="dxa" w:w="209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vigente</w:t>
            </w:r>
          </w:p>
        </w:tc>
        <w:tc>
          <w:tcPr>
            <w:tcW w:type="dxa" w:w="3136"/>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texto oficial</w:t>
            </w:r>
          </w:p>
        </w:tc>
      </w:tr>
      <w:tr>
        <w:trPr>
          <w:cantSplit/>
          <w:tblHeader w:val="false"/>
        </w:trPr>
        <w:tc>
          <w:tcPr>
            <w:tcW w:type="dxa" w:w="418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Ley 1564 de 2012, art. 430</w:t>
            </w:r>
          </w:p>
        </w:tc>
        <w:tc>
          <w:tcPr>
            <w:tcW w:type="dxa" w:w="209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vigente</w:t>
            </w:r>
          </w:p>
        </w:tc>
        <w:tc>
          <w:tcPr>
            <w:tcW w:type="dxa" w:w="3136"/>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texto oficial</w:t>
            </w:r>
          </w:p>
        </w:tc>
      </w:tr>
      <w:tr>
        <w:trPr>
          <w:cantSplit/>
          <w:tblHeader w:val="false"/>
        </w:trPr>
        <w:tc>
          <w:tcPr>
            <w:tcW w:type="dxa" w:w="418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Código de Comercio, art. 621</w:t>
            </w:r>
          </w:p>
        </w:tc>
        <w:tc>
          <w:tcPr>
            <w:tcW w:type="dxa" w:w="209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vigente</w:t>
            </w:r>
          </w:p>
        </w:tc>
        <w:tc>
          <w:tcPr>
            <w:tcW w:type="dxa" w:w="3136"/>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texto oficial</w:t>
            </w:r>
          </w:p>
        </w:tc>
      </w:tr>
      <w:tr>
        <w:trPr>
          <w:cantSplit/>
          <w:tblHeader w:val="false"/>
        </w:trPr>
        <w:tc>
          <w:tcPr>
            <w:tcW w:type="dxa" w:w="418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Código de Comercio, art. 709</w:t>
            </w:r>
          </w:p>
        </w:tc>
        <w:tc>
          <w:tcPr>
            <w:tcW w:type="dxa" w:w="209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vigente</w:t>
            </w:r>
          </w:p>
        </w:tc>
        <w:tc>
          <w:tcPr>
            <w:tcW w:type="dxa" w:w="3136"/>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texto oficial</w:t>
            </w:r>
          </w:p>
        </w:tc>
      </w:tr>
      <w:tr>
        <w:trPr>
          <w:cantSplit/>
          <w:tblHeader w:val="false"/>
        </w:trPr>
        <w:tc>
          <w:tcPr>
            <w:tcW w:type="dxa" w:w="4180"/>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Código de Comercio, art. 789</w:t>
            </w:r>
          </w:p>
        </w:tc>
        <w:tc>
          <w:tcPr>
            <w:tcW w:type="dxa" w:w="2090"/>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vigente</w:t>
            </w:r>
          </w:p>
        </w:tc>
        <w:tc>
          <w:tcPr>
            <w:tcW w:type="dxa" w:w="3136"/>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texto oficial</w:t>
            </w:r>
          </w:p>
        </w:tc>
      </w:tr>
    </w:tbl>
    <w:p>
      <w:pPr>
        <w:spacing w:after="320" w:before="80"/>
        <w:jc w:val="both"/>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NO VERIFICADA nunca equivale a vigente: la vigencia se afirma solo con nota oficial.</w:t>
      </w:r>
    </w:p>
    <w:p>
      <w:pPr>
        <w:pStyle w:val="Heading2"/>
        <w:keepNext/>
        <w:spacing w:after="180" w:before="400"/>
      </w:pPr>
      <w:bookmarkStart w:name="_Toc_s6_1" w:id="1"/>
      <w:r>
        <w:rPr>
          <w:rFonts w:ascii="Times New Roman" w:cs="Times New Roman" w:eastAsia="Times New Roman" w:hAnsi="Times New Roman"/>
          <w:b/>
          <w:bCs/>
          <w:color w:val="000000"/>
          <w:sz w:val="24"/>
          <w:szCs w:val="24"/>
        </w:rPr>
        <w:t xml:space="preserve">6.1 — Mérito ejecutivo del pagaré</w:t>
      </w:r>
      <w:bookmarkEnd w:id="1"/>
    </w:p>
    <w:p>
      <w:pPr>
        <w:spacing w:after="140" w:line="336"/>
        <w:jc w:val="both"/>
      </w:pPr>
      <w:r>
        <w:rPr>
          <w:rFonts w:ascii="Times New Roman" w:cs="Times New Roman" w:eastAsia="Times New Roman" w:hAnsi="Times New Roman"/>
          <w:color w:val="000000"/>
          <w:sz w:val="24"/>
          <w:szCs w:val="24"/>
        </w:rPr>
        <w:t xml:space="preserve">Ley 1564 de 2012, art. 422 (vigencia: vigente) dispone: </w:t>
      </w:r>
      <w:r>
        <w:rPr>
          <w:rFonts w:ascii="Times New Roman" w:cs="Times New Roman" w:eastAsia="Times New Roman" w:hAnsi="Times New Roman"/>
          <w:color w:val="000000"/>
          <w:sz w:val="24"/>
          <w:szCs w:val="24"/>
        </w:rPr>
        <w:t xml:space="preserve">«Pueden demandarse ejecutivamente las obligaciones expresas, claras y exigibles que consten en documentos que provengan del deudor o de su causante, y constituyan plena prueba contra él, o las que emanen de una sentencia de condena proferida»</w:t>
      </w:r>
      <w:r>
        <w:rPr>
          <w:rStyle w:val="FootnoteReference"/>
        </w:rPr>
        <w:footnoteReference w:id="9"/>
      </w:r>
    </w:p>
    <w:p>
      <w:pPr>
        <w:spacing w:after="140" w:line="336"/>
        <w:jc w:val="both"/>
      </w:pPr>
      <w:r>
        <w:rPr>
          <w:rFonts w:ascii="Times New Roman" w:cs="Times New Roman" w:eastAsia="Times New Roman" w:hAnsi="Times New Roman"/>
          <w:color w:val="000000"/>
          <w:sz w:val="24"/>
          <w:szCs w:val="24"/>
        </w:rPr>
        <w:t xml:space="preserve">Ley 1564 de 2012, art. 430 (vigencia: vigente) dispone: </w:t>
      </w:r>
      <w:r>
        <w:rPr>
          <w:rFonts w:ascii="Times New Roman" w:cs="Times New Roman" w:eastAsia="Times New Roman" w:hAnsi="Times New Roman"/>
          <w:color w:val="000000"/>
          <w:sz w:val="24"/>
          <w:szCs w:val="24"/>
        </w:rPr>
        <w:t xml:space="preserve">«Presentada la demanda acompañada de documento que preste mérito ejecutivo, el juez librará mandamiento ordenando al demandado que cumpla la obligación en la forma pedida, si fuere procedente, o en la que aquel considere legal.»</w:t>
      </w:r>
      <w:r>
        <w:rPr>
          <w:rStyle w:val="FootnoteReference"/>
        </w:rPr>
        <w:footnoteReference w:id="10"/>
      </w:r>
    </w:p>
    <w:p>
      <w:pPr>
        <w:spacing w:after="140" w:line="336"/>
        <w:jc w:val="both"/>
      </w:pPr>
      <w:r>
        <w:rPr>
          <w:rFonts w:ascii="Times New Roman" w:cs="Times New Roman" w:eastAsia="Times New Roman" w:hAnsi="Times New Roman"/>
          <w:color w:val="000000"/>
          <w:sz w:val="24"/>
          <w:szCs w:val="24"/>
        </w:rPr>
        <w:t xml:space="preserve">Código de Comercio, art. 621 (vigencia: vigente) dispone: </w:t>
      </w:r>
      <w:r>
        <w:rPr>
          <w:rFonts w:ascii="Times New Roman" w:cs="Times New Roman" w:eastAsia="Times New Roman" w:hAnsi="Times New Roman"/>
          <w:color w:val="000000"/>
          <w:sz w:val="24"/>
          <w:szCs w:val="24"/>
        </w:rPr>
        <w:t xml:space="preserve">«Además de lo dispuesto para cada título-valor en particular, los títulos-valores deberán llenar los requisitos siguientes: 1) La mención del derecho que en el título se incorpora, y 2) La firma de quién lo crea.»</w:t>
      </w:r>
      <w:r>
        <w:rPr>
          <w:rStyle w:val="FootnoteReference"/>
        </w:rPr>
        <w:footnoteReference w:id="11"/>
      </w:r>
    </w:p>
    <w:p>
      <w:pPr>
        <w:spacing w:after="140" w:line="336"/>
        <w:jc w:val="both"/>
      </w:pPr>
      <w:r>
        <w:rPr>
          <w:rFonts w:ascii="Times New Roman" w:cs="Times New Roman" w:eastAsia="Times New Roman" w:hAnsi="Times New Roman"/>
          <w:color w:val="000000"/>
          <w:sz w:val="24"/>
          <w:szCs w:val="24"/>
        </w:rPr>
        <w:t xml:space="preserve">Código de Comercio, art. 709 (vigencia: vigente) dispone: </w:t>
      </w:r>
      <w:r>
        <w:rPr>
          <w:rFonts w:ascii="Times New Roman" w:cs="Times New Roman" w:eastAsia="Times New Roman" w:hAnsi="Times New Roman"/>
          <w:color w:val="000000"/>
          <w:sz w:val="24"/>
          <w:szCs w:val="24"/>
        </w:rPr>
        <w:t xml:space="preserve">«El pagaré debe contener, además de los requisitos que establece el»</w:t>
      </w:r>
      <w:r>
        <w:rPr>
          <w:rStyle w:val="FootnoteReference"/>
        </w:rPr>
        <w:footnoteReference w:id="12"/>
      </w:r>
    </w:p>
    <w:p>
      <w:pPr>
        <w:pStyle w:val="Heading2"/>
        <w:keepNext/>
        <w:spacing w:after="180" w:before="400"/>
      </w:pPr>
      <w:bookmarkStart w:name="_Toc_s6_2" w:id="1"/>
      <w:r>
        <w:rPr>
          <w:rFonts w:ascii="Times New Roman" w:cs="Times New Roman" w:eastAsia="Times New Roman" w:hAnsi="Times New Roman"/>
          <w:b/>
          <w:bCs/>
          <w:color w:val="000000"/>
          <w:sz w:val="24"/>
          <w:szCs w:val="24"/>
        </w:rPr>
        <w:t xml:space="preserve">6.2 — Prescripción de la acción cambiaria</w:t>
      </w:r>
      <w:bookmarkEnd w:id="1"/>
    </w:p>
    <w:p>
      <w:pPr>
        <w:spacing w:after="140" w:line="336"/>
        <w:jc w:val="both"/>
      </w:pPr>
      <w:r>
        <w:rPr>
          <w:rFonts w:ascii="Times New Roman" w:cs="Times New Roman" w:eastAsia="Times New Roman" w:hAnsi="Times New Roman"/>
          <w:color w:val="000000"/>
          <w:sz w:val="24"/>
          <w:szCs w:val="24"/>
        </w:rPr>
        <w:t xml:space="preserve">Código de Comercio, art. 789 (vigencia: vigente) dispone: </w:t>
      </w:r>
      <w:r>
        <w:rPr>
          <w:rFonts w:ascii="Times New Roman" w:cs="Times New Roman" w:eastAsia="Times New Roman" w:hAnsi="Times New Roman"/>
          <w:color w:val="000000"/>
          <w:sz w:val="24"/>
          <w:szCs w:val="24"/>
        </w:rPr>
        <w:t xml:space="preserve">«La acción cambiaria directa prescribe en tres años a partir del día del vencimiento.»</w:t>
      </w:r>
      <w:r>
        <w:rPr>
          <w:rStyle w:val="FootnoteReference"/>
        </w:rPr>
        <w:footnoteReference w:id="13"/>
      </w:r>
    </w:p>
    <w:p>
      <w:pPr>
        <w:pStyle w:val="Heading2"/>
        <w:keepNext/>
        <w:spacing w:after="180" w:before="400"/>
      </w:pPr>
      <w:bookmarkStart w:name="_Toc_s6_3" w:id="1"/>
      <w:r>
        <w:rPr>
          <w:rFonts w:ascii="Times New Roman" w:cs="Times New Roman" w:eastAsia="Times New Roman" w:hAnsi="Times New Roman"/>
          <w:b/>
          <w:bCs/>
          <w:color w:val="000000"/>
          <w:sz w:val="24"/>
          <w:szCs w:val="24"/>
        </w:rPr>
        <w:t xml:space="preserve">6.3 — Cuerpos normativos concurrentes y descartados</w:t>
      </w:r>
      <w:bookmarkEnd w:id="1"/>
    </w:p>
    <w:p>
      <w:pPr>
        <w:spacing w:after="100" w:line="336"/>
        <w:ind w:left="709"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Constitución Política de 1991 (aplicable): Regula el área principal (COMERCIAL).</w:t>
      </w:r>
    </w:p>
    <w:p>
      <w:pPr>
        <w:spacing w:after="100" w:line="336"/>
        <w:ind w:left="709"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Código Civil (aplicable): Regula el área principal (COMERCIAL).</w:t>
      </w:r>
    </w:p>
    <w:p>
      <w:pPr>
        <w:spacing w:after="100" w:line="336"/>
        <w:ind w:left="709"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Código de Comercio (aplicable): Regula el área principal (COMERCIAL).</w:t>
      </w:r>
    </w:p>
    <w:p>
      <w:pPr>
        <w:spacing w:after="100" w:line="336"/>
        <w:ind w:left="709"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Código General del Proceso (Ley 1564 de 2012) (aplicable): Regula el área principal (COMERCIAL).</w:t>
      </w:r>
    </w:p>
    <w:p>
      <w:pPr>
        <w:spacing w:after="100" w:line="336"/>
        <w:ind w:left="709"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Ley 2213 de 2022 (justicia digital) (supletorio): Aplicación transversal o supletoria.</w:t>
      </w:r>
    </w:p>
    <w:p>
      <w:pPr>
        <w:spacing w:after="100" w:line="336"/>
        <w:ind w:left="709"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Ley 2220 de 2022 (Estatuto de Conciliación) (aplicable): Regula el área principal (COMERCIAL).</w:t>
      </w:r>
    </w:p>
    <w:p>
      <w:pPr>
        <w:spacing w:after="100" w:line="336"/>
        <w:ind w:left="709"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Ley 1581 de 2012 (protección de datos personales) (supletorio): Aplicación transversal o supletoria.</w:t>
      </w:r>
    </w:p>
    <w:p>
      <w:pPr>
        <w:spacing w:after="100" w:line="336"/>
        <w:ind w:left="709"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Estatuto del Consumidor (Ley 1480 de 2011) (descartado): No se acreditó una relación de consumo entre las partes.</w:t>
      </w:r>
    </w:p>
    <w:p>
      <w:pPr>
        <w:pStyle w:val="Heading1"/>
        <w:keepNext/>
        <w:pageBreakBefore/>
        <w:spacing w:after="320"/>
      </w:pPr>
      <w:bookmarkStart w:name="_Toc_s7" w:id="1"/>
      <w:r>
        <w:rPr>
          <w:rFonts w:ascii="Times New Roman" w:cs="Times New Roman" w:eastAsia="Times New Roman" w:hAnsi="Times New Roman"/>
          <w:b/>
          <w:bCs/>
          <w:color w:val="000000"/>
          <w:sz w:val="26"/>
          <w:szCs w:val="26"/>
        </w:rPr>
        <w:t xml:space="preserve">VII. PRECEDENTE JUDICIAL Y FUERZA VINCULANTE</w:t>
      </w:r>
      <w:bookmarkEnd w:id="1"/>
    </w:p>
    <w:p>
      <w:pPr>
        <w:spacing w:after="140" w:line="336"/>
        <w:jc w:val="both"/>
      </w:pPr>
      <w:r>
        <w:rPr>
          <w:rFonts w:ascii="Times New Roman" w:cs="Times New Roman" w:eastAsia="Times New Roman" w:hAnsi="Times New Roman"/>
          <w:color w:val="000000"/>
          <w:sz w:val="24"/>
          <w:szCs w:val="24"/>
        </w:rPr>
        <w:t xml:space="preserve">No se verificó en fuente oficial precedente judicial específico para los problemas planteados. El vacío se declara expresamente y no se suple con memoria; el fundamento descansa en las normas verificadas.</w:t>
      </w:r>
    </w:p>
    <w:p>
      <w:pPr>
        <w:spacing w:after="140" w:line="336"/>
        <w:jc w:val="both"/>
      </w:pPr>
      <w:r>
        <w:rPr>
          <w:rFonts w:ascii="Times New Roman" w:cs="Times New Roman" w:eastAsia="Times New Roman" w:hAnsi="Times New Roman"/>
          <w:color w:val="000000"/>
          <w:sz w:val="24"/>
          <w:szCs w:val="24"/>
        </w:rPr>
        <w:t xml:space="preserve">No se verificó precedente en fuente oficial para los problemas planteados; el vacío se declara y no se suple con memoria.</w:t>
      </w:r>
    </w:p>
    <w:p>
      <w:pPr>
        <w:pStyle w:val="Heading1"/>
        <w:keepNext/>
        <w:pageBreakBefore/>
        <w:spacing w:after="320"/>
      </w:pPr>
      <w:bookmarkStart w:name="_Toc_s8" w:id="1"/>
      <w:r>
        <w:rPr>
          <w:rFonts w:ascii="Times New Roman" w:cs="Times New Roman" w:eastAsia="Times New Roman" w:hAnsi="Times New Roman"/>
          <w:b/>
          <w:bCs/>
          <w:color w:val="000000"/>
          <w:sz w:val="26"/>
          <w:szCs w:val="26"/>
        </w:rPr>
        <w:t xml:space="preserve">VIII. ANÁLISIS DE HECHO Y DE DERECHO</w:t>
      </w:r>
      <w:bookmarkEnd w:id="1"/>
    </w:p>
    <w:p>
      <w:pPr>
        <w:spacing w:after="140" w:line="336"/>
        <w:jc w:val="both"/>
      </w:pPr>
      <w:r>
        <w:rPr>
          <w:rFonts w:ascii="Times New Roman" w:cs="Times New Roman" w:eastAsia="Times New Roman" w:hAnsi="Times New Roman"/>
          <w:color w:val="000000"/>
          <w:sz w:val="24"/>
          <w:szCs w:val="24"/>
        </w:rPr>
        <w:t xml:space="preserve">El análisis conecta cada hecho soportado con la regla verificada que lo gobierna y expresa el grado de confianza de cada conclusión.</w:t>
      </w:r>
    </w:p>
    <w:p>
      <w:pPr>
        <w:pStyle w:val="Heading2"/>
        <w:keepNext/>
        <w:spacing w:after="180" w:before="400"/>
      </w:pPr>
      <w:bookmarkStart w:name="_Toc_s8_1" w:id="1"/>
      <w:r>
        <w:rPr>
          <w:rFonts w:ascii="Times New Roman" w:cs="Times New Roman" w:eastAsia="Times New Roman" w:hAnsi="Times New Roman"/>
          <w:b/>
          <w:bCs/>
          <w:color w:val="000000"/>
          <w:sz w:val="24"/>
          <w:szCs w:val="24"/>
        </w:rPr>
        <w:t xml:space="preserve">8.1 — ¿El pagaré aportado reúne los requisitos generales y particulares de los títulos valores y</w:t>
      </w:r>
      <w:bookmarkEnd w:id="1"/>
    </w:p>
    <w:p>
      <w:pPr>
        <w:spacing w:after="140" w:line="336"/>
        <w:jc w:val="both"/>
      </w:pPr>
      <w:r>
        <w:rPr>
          <w:rFonts w:ascii="Times New Roman" w:cs="Times New Roman" w:eastAsia="Times New Roman" w:hAnsi="Times New Roman"/>
          <w:color w:val="000000"/>
          <w:sz w:val="24"/>
          <w:szCs w:val="24"/>
        </w:rPr>
        <w:t xml:space="preserve">Regla: </w:t>
      </w:r>
      <w:r>
        <w:rPr>
          <w:rFonts w:ascii="Times New Roman" w:cs="Times New Roman" w:eastAsia="Times New Roman" w:hAnsi="Times New Roman"/>
          <w:color w:val="000000"/>
          <w:sz w:val="24"/>
          <w:szCs w:val="24"/>
        </w:rPr>
        <w:t xml:space="preserve">Ley 1564 de 2012, art. 422; Ley 1564 de 2012, art. 430; Código de Comercio, art. 621; Código de Comercio, art. 709: presta mérito ejecutivo la obligación clara, expresa y exigible que conste en documento proveniente del deudor; el pagaré exige los requisitos generales y particulares de los títulos valores.</w:t>
      </w:r>
      <w:r>
        <w:rPr>
          <w:rStyle w:val="FootnoteReference"/>
        </w:rPr>
        <w:footnoteReference w:id="14"/>
      </w:r>
    </w:p>
    <w:p>
      <w:pPr>
        <w:spacing w:after="140" w:line="336"/>
        <w:jc w:val="both"/>
      </w:pPr>
      <w:r>
        <w:rPr>
          <w:rFonts w:ascii="Times New Roman" w:cs="Times New Roman" w:eastAsia="Times New Roman" w:hAnsi="Times New Roman"/>
          <w:color w:val="000000"/>
          <w:sz w:val="24"/>
          <w:szCs w:val="24"/>
        </w:rPr>
        <w:t xml:space="preserve">Hechos: El pagaré contiene la promesa incondicional de pagar una suma determinada, a la orden de la acreedora, con fecha cierta de vencimiento, y está firmado por la deudora.</w:t>
      </w:r>
      <w:r>
        <w:rPr>
          <w:rFonts w:ascii="Times New Roman" w:cs="Times New Roman" w:eastAsia="Times New Roman" w:hAnsi="Times New Roman"/>
          <w:color w:val="000000"/>
          <w:sz w:val="24"/>
          <w:szCs w:val="24"/>
        </w:rPr>
        <w:t xml:space="preserve"/>
      </w:r>
      <w:r>
        <w:rPr>
          <w:rStyle w:val="FootnoteReference"/>
        </w:rPr>
        <w:footnoteReference w:id="15"/>
      </w:r>
    </w:p>
    <w:p>
      <w:pPr>
        <w:spacing w:after="140" w:line="336"/>
        <w:jc w:val="both"/>
      </w:pPr>
      <w:r>
        <w:rPr>
          <w:rFonts w:ascii="Times New Roman" w:cs="Times New Roman" w:eastAsia="Times New Roman" w:hAnsi="Times New Roman"/>
          <w:color w:val="000000"/>
          <w:sz w:val="24"/>
          <w:szCs w:val="24"/>
        </w:rPr>
        <w:t xml:space="preserve">Conclusión: El pagaré presta mérito ejecutivo y procede solicitar mandamiento de pago por capital e intereses moratorios. El eslabón más débil es la autenticidad de la firma, que la deudora podría tachar o desconocer en el trámite.</w:t>
      </w:r>
    </w:p>
    <w:p>
      <w:pPr>
        <w:pStyle w:val="Heading2"/>
        <w:keepNext/>
        <w:spacing w:after="180" w:before="400"/>
      </w:pPr>
      <w:bookmarkStart w:name="_Toc_s8_2" w:id="1"/>
      <w:r>
        <w:rPr>
          <w:rFonts w:ascii="Times New Roman" w:cs="Times New Roman" w:eastAsia="Times New Roman" w:hAnsi="Times New Roman"/>
          <w:b/>
          <w:bCs/>
          <w:color w:val="000000"/>
          <w:sz w:val="24"/>
          <w:szCs w:val="24"/>
        </w:rPr>
        <w:t xml:space="preserve">8.2 — ¿Está vigente la acción cambiaria directa frente al término de prescripción de tres años c</w:t>
      </w:r>
      <w:bookmarkEnd w:id="1"/>
    </w:p>
    <w:p>
      <w:pPr>
        <w:spacing w:after="140" w:line="336"/>
        <w:jc w:val="both"/>
      </w:pPr>
      <w:r>
        <w:rPr>
          <w:rFonts w:ascii="Times New Roman" w:cs="Times New Roman" w:eastAsia="Times New Roman" w:hAnsi="Times New Roman"/>
          <w:color w:val="000000"/>
          <w:sz w:val="24"/>
          <w:szCs w:val="24"/>
        </w:rPr>
        <w:t xml:space="preserve">Regla: </w:t>
      </w:r>
      <w:r>
        <w:rPr>
          <w:rFonts w:ascii="Times New Roman" w:cs="Times New Roman" w:eastAsia="Times New Roman" w:hAnsi="Times New Roman"/>
          <w:color w:val="000000"/>
          <w:sz w:val="24"/>
          <w:szCs w:val="24"/>
        </w:rPr>
        <w:t xml:space="preserve">Código de Comercio, art. 789: la acción cambiaria directa prescribe en tres años desde el vencimiento.</w:t>
      </w:r>
      <w:r>
        <w:rPr>
          <w:rStyle w:val="FootnoteReference"/>
        </w:rPr>
        <w:footnoteReference w:id="16"/>
      </w:r>
    </w:p>
    <w:p>
      <w:pPr>
        <w:spacing w:after="140" w:line="336"/>
        <w:jc w:val="both"/>
      </w:pPr>
      <w:r>
        <w:rPr>
          <w:rFonts w:ascii="Times New Roman" w:cs="Times New Roman" w:eastAsia="Times New Roman" w:hAnsi="Times New Roman"/>
          <w:color w:val="000000"/>
          <w:sz w:val="24"/>
          <w:szCs w:val="24"/>
        </w:rPr>
        <w:t xml:space="preserve">Hechos: El título venció en la fecha que consta en el documento; la acción se ejerce antes de cumplirse tres años desde entonces.</w:t>
      </w:r>
      <w:r>
        <w:rPr>
          <w:rFonts w:ascii="Times New Roman" w:cs="Times New Roman" w:eastAsia="Times New Roman" w:hAnsi="Times New Roman"/>
          <w:color w:val="000000"/>
          <w:sz w:val="24"/>
          <w:szCs w:val="24"/>
        </w:rPr>
        <w:t xml:space="preserve"/>
      </w:r>
      <w:r>
        <w:rPr>
          <w:rStyle w:val="FootnoteReference"/>
        </w:rPr>
        <w:footnoteReference w:id="17"/>
      </w:r>
    </w:p>
    <w:p>
      <w:pPr>
        <w:spacing w:after="140" w:line="336"/>
        <w:jc w:val="both"/>
      </w:pPr>
      <w:r>
        <w:rPr>
          <w:rFonts w:ascii="Times New Roman" w:cs="Times New Roman" w:eastAsia="Times New Roman" w:hAnsi="Times New Roman"/>
          <w:color w:val="000000"/>
          <w:sz w:val="24"/>
          <w:szCs w:val="24"/>
        </w:rPr>
        <w:t xml:space="preserve">Conclusión: La acción cambiaria directa está vigente a la fecha de corte, siempre que la demanda se presente y notifique a tiempo. El eslabón más débil es la fecha de notificación del mandamiento, que determina la interrupción de la prescripción.</w:t>
      </w:r>
    </w:p>
    <w:p>
      <w:pPr>
        <w:pStyle w:val="Heading1"/>
        <w:keepNext/>
        <w:pageBreakBefore/>
        <w:spacing w:after="320"/>
      </w:pPr>
      <w:bookmarkStart w:name="_Toc_s9" w:id="1"/>
      <w:r>
        <w:rPr>
          <w:rFonts w:ascii="Times New Roman" w:cs="Times New Roman" w:eastAsia="Times New Roman" w:hAnsi="Times New Roman"/>
          <w:b/>
          <w:bCs/>
          <w:color w:val="000000"/>
          <w:sz w:val="26"/>
          <w:szCs w:val="26"/>
        </w:rPr>
        <w:t xml:space="preserve">IX. TÉRMINOS, PRESCRIPCIÓN Y CADUCIDAD</w:t>
      </w:r>
      <w:bookmarkEnd w:id="1"/>
    </w:p>
    <w:p>
      <w:pPr>
        <w:keepNext/>
        <w:spacing w:after="60" w:before="280"/>
      </w:pPr>
      <w:r>
        <w:rPr>
          <w:rFonts w:ascii="Times New Roman" w:cs="Times New Roman" w:eastAsia="Times New Roman" w:hAnsi="Times New Roman"/>
          <w:b/>
          <w:bCs/>
          <w:color w:val="000000"/>
          <w:sz w:val="24"/>
          <w:szCs w:val="24"/>
        </w:rPr>
        <w:t xml:space="preserve">Tabla 4</w:t>
      </w:r>
    </w:p>
    <w:p>
      <w:pPr>
        <w:keepNext/>
        <w:spacing w:after="160"/>
      </w:pPr>
      <w:r>
        <w:rPr>
          <w:rFonts w:ascii="Times New Roman" w:cs="Times New Roman" w:eastAsia="Times New Roman" w:hAnsi="Times New Roman"/>
          <w:i/>
          <w:iCs/>
          <w:color w:val="000000"/>
          <w:sz w:val="24"/>
          <w:szCs w:val="24"/>
        </w:rPr>
        <w:t xml:space="preserve">Términos calculados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607"/>
        <w:gridCol w:w="2421"/>
        <w:gridCol w:w="1490"/>
        <w:gridCol w:w="1676"/>
        <w:gridCol w:w="1212"/>
      </w:tblGrid>
      <w:tr>
        <w:trPr>
          <w:cantSplit/>
          <w:tblHeader/>
        </w:trPr>
        <w:tc>
          <w:tcPr>
            <w:tcW w:type="dxa" w:w="2607"/>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Término</w:t>
            </w:r>
          </w:p>
        </w:tc>
        <w:tc>
          <w:tcPr>
            <w:tcW w:type="dxa" w:w="2421"/>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Norma</w:t>
            </w:r>
          </w:p>
        </w:tc>
        <w:tc>
          <w:tcPr>
            <w:tcW w:type="dxa" w:w="1490"/>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Inicio</w:t>
            </w:r>
          </w:p>
        </w:tc>
        <w:tc>
          <w:tcPr>
            <w:tcW w:type="dxa" w:w="1676"/>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Vencimiento</w:t>
            </w:r>
          </w:p>
        </w:tc>
        <w:tc>
          <w:tcPr>
            <w:tcW w:type="dxa" w:w="1212"/>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Estado</w:t>
            </w:r>
          </w:p>
        </w:tc>
      </w:tr>
      <w:tr>
        <w:trPr>
          <w:cantSplit/>
          <w:tblHeader w:val="false"/>
        </w:trPr>
        <w:tc>
          <w:tcPr>
            <w:tcW w:type="dxa" w:w="2607"/>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Prescripción de la acción cambiaria directa</w:t>
            </w:r>
          </w:p>
        </w:tc>
        <w:tc>
          <w:tcPr>
            <w:tcW w:type="dxa" w:w="2421"/>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Código de Comercio, art. 789</w:t>
            </w:r>
          </w:p>
        </w:tc>
        <w:tc>
          <w:tcPr>
            <w:tcW w:type="dxa" w:w="1490"/>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1 de marzo de 2024</w:t>
            </w:r>
          </w:p>
        </w:tc>
        <w:tc>
          <w:tcPr>
            <w:tcW w:type="dxa" w:w="1676"/>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1 de marzo de 2027</w:t>
            </w:r>
          </w:p>
        </w:tc>
        <w:tc>
          <w:tcPr>
            <w:tcW w:type="dxa" w:w="1212"/>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corriendo</w:t>
            </w:r>
          </w:p>
        </w:tc>
      </w:tr>
    </w:tbl>
    <w:p>
      <w:pPr>
        <w:spacing w:after="320" w:before="80"/>
        <w:jc w:val="both"/>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Días hábiles sin festivos (Ley 51 de 1983), vacancia judicial ni cierres del despacho; meses y años conservan el mismo número de día (art. 67 C.C.).</w:t>
      </w:r>
    </w:p>
    <w:p>
      <w:pPr>
        <w:spacing w:after="140" w:line="336"/>
        <w:jc w:val="both"/>
      </w:pPr>
      <w:r>
        <w:rPr>
          <w:rFonts w:ascii="Times New Roman" w:cs="Times New Roman" w:eastAsia="Times New Roman" w:hAnsi="Times New Roman"/>
          <w:color w:val="000000"/>
          <w:sz w:val="24"/>
          <w:szCs w:val="24"/>
        </w:rPr>
        <w:t xml:space="preserve">Prescripción de la acción cambiaria directa: vence el 1 de marzo de 2027. Interrupción: Presentación de la demanda notificada en término (art. 94 CGP).</w:t>
      </w:r>
      <w:r>
        <w:rPr>
          <w:rStyle w:val="FootnoteReference"/>
        </w:rPr>
        <w:footnoteReference w:id="18"/>
      </w:r>
    </w:p>
    <w:p>
      <w:pPr>
        <w:pStyle w:val="Heading1"/>
        <w:keepNext/>
        <w:pageBreakBefore/>
        <w:spacing w:after="320"/>
      </w:pPr>
      <w:bookmarkStart w:name="_Toc_s10" w:id="1"/>
      <w:r>
        <w:rPr>
          <w:rFonts w:ascii="Times New Roman" w:cs="Times New Roman" w:eastAsia="Times New Roman" w:hAnsi="Times New Roman"/>
          <w:b/>
          <w:bCs/>
          <w:color w:val="000000"/>
          <w:sz w:val="26"/>
          <w:szCs w:val="26"/>
        </w:rPr>
        <w:t xml:space="preserve">X. RIESGOS PROCESALES</w:t>
      </w:r>
      <w:bookmarkEnd w:id="1"/>
    </w:p>
    <w:p>
      <w:pPr>
        <w:spacing w:after="140" w:line="336"/>
        <w:jc w:val="both"/>
      </w:pPr>
      <w:r>
        <w:rPr>
          <w:rFonts w:ascii="Times New Roman" w:cs="Times New Roman" w:eastAsia="Times New Roman" w:hAnsi="Times New Roman"/>
          <w:color w:val="000000"/>
          <w:sz w:val="24"/>
          <w:szCs w:val="24"/>
        </w:rPr>
        <w:t xml:space="preserve">Se examinaron, con los motores de reglas del sistema, las nulidades del catálogo taxativo, la competencia por factores, los derechos fundamentales, la prueba disponible y las cargas procesales con plazo.</w:t>
      </w:r>
    </w:p>
    <w:p>
      <w:pPr>
        <w:pStyle w:val="Heading2"/>
        <w:keepNext/>
        <w:spacing w:after="180" w:before="400"/>
      </w:pPr>
      <w:bookmarkStart w:name="_Toc_s10_1" w:id="1"/>
      <w:r>
        <w:rPr>
          <w:rFonts w:ascii="Times New Roman" w:cs="Times New Roman" w:eastAsia="Times New Roman" w:hAnsi="Times New Roman"/>
          <w:b/>
          <w:bCs/>
          <w:color w:val="000000"/>
          <w:sz w:val="24"/>
          <w:szCs w:val="24"/>
        </w:rPr>
        <w:t xml:space="preserve">10.1 — Nulidades procesales</w:t>
      </w:r>
      <w:bookmarkEnd w:id="1"/>
    </w:p>
    <w:p>
      <w:pPr>
        <w:spacing w:after="140" w:line="336"/>
        <w:jc w:val="both"/>
      </w:pPr>
      <w:r>
        <w:rPr>
          <w:rFonts w:ascii="Times New Roman" w:cs="Times New Roman" w:eastAsia="Times New Roman" w:hAnsi="Times New Roman"/>
          <w:color w:val="000000"/>
          <w:sz w:val="24"/>
          <w:szCs w:val="24"/>
        </w:rPr>
        <w:t xml:space="preserve">No hay actuación judicial en curso: el catálogo de nulidades no se aplica.</w:t>
      </w:r>
    </w:p>
    <w:p>
      <w:pPr>
        <w:pStyle w:val="Heading2"/>
        <w:keepNext/>
        <w:spacing w:after="180" w:before="400"/>
      </w:pPr>
      <w:bookmarkStart w:name="_Toc_s10_2" w:id="1"/>
      <w:r>
        <w:rPr>
          <w:rFonts w:ascii="Times New Roman" w:cs="Times New Roman" w:eastAsia="Times New Roman" w:hAnsi="Times New Roman"/>
          <w:b/>
          <w:bCs/>
          <w:color w:val="000000"/>
          <w:sz w:val="24"/>
          <w:szCs w:val="24"/>
        </w:rPr>
        <w:t xml:space="preserve">10.2 — Competencia y jurisdicción</w:t>
      </w:r>
      <w:bookmarkEnd w:id="1"/>
    </w:p>
    <w:p>
      <w:pPr>
        <w:spacing w:after="140" w:line="336"/>
        <w:jc w:val="both"/>
      </w:pPr>
      <w:r>
        <w:rPr>
          <w:rFonts w:ascii="Times New Roman" w:cs="Times New Roman" w:eastAsia="Times New Roman" w:hAnsi="Times New Roman"/>
          <w:color w:val="000000"/>
          <w:sz w:val="24"/>
          <w:szCs w:val="24"/>
        </w:rPr>
        <w:t xml:space="preserve">Juez competente: [cuantía indeterminada]. Territorio: Domicilio del demandado (Bogotá D.C.) o, en procesos originados en contrato, también el lugar de cumplimiento (Bogotá D.C.) (art. 28, nums. 1 y 3 CGP).. Cuantía: Capital de $10.000.000; los intereses moratorios causados se liquidan a la fecha de la demanda. No hay SMMLV configurado para 2026.</w:t>
      </w:r>
    </w:p>
    <w:p>
      <w:pPr>
        <w:spacing w:after="100" w:line="336"/>
        <w:ind w:left="709"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Materia: comercial (jurisdicción ordinaria, cláusula general residual del CGP).</w:t>
      </w:r>
    </w:p>
    <w:p>
      <w:pPr>
        <w:spacing w:after="100" w:line="336"/>
        <w:ind w:left="709"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Cuantía: No hay SMMLV configurado para 2026.</w:t>
      </w:r>
    </w:p>
    <w:p>
      <w:pPr>
        <w:spacing w:after="100" w:line="336"/>
        <w:ind w:left="709"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Advertencia: Los factores objetivo y territorial son prorrogables por el silencio de las partes; el subjetivo y el funcional no (art. 16 CGP).</w:t>
      </w:r>
    </w:p>
    <w:p>
      <w:pPr>
        <w:pStyle w:val="Heading2"/>
        <w:keepNext/>
        <w:spacing w:after="180" w:before="400"/>
      </w:pPr>
      <w:bookmarkStart w:name="_Toc_s10_3" w:id="1"/>
      <w:r>
        <w:rPr>
          <w:rFonts w:ascii="Times New Roman" w:cs="Times New Roman" w:eastAsia="Times New Roman" w:hAnsi="Times New Roman"/>
          <w:b/>
          <w:bCs/>
          <w:color w:val="000000"/>
          <w:sz w:val="24"/>
          <w:szCs w:val="24"/>
        </w:rPr>
        <w:t xml:space="preserve">10.3 — Matriz de riesgo probatorio</w:t>
      </w:r>
      <w:bookmarkEnd w:id="1"/>
    </w:p>
    <w:p>
      <w:pPr>
        <w:keepNext/>
        <w:spacing w:after="60" w:before="280"/>
      </w:pPr>
      <w:r>
        <w:rPr>
          <w:rFonts w:ascii="Times New Roman" w:cs="Times New Roman" w:eastAsia="Times New Roman" w:hAnsi="Times New Roman"/>
          <w:b/>
          <w:bCs/>
          <w:color w:val="000000"/>
          <w:sz w:val="24"/>
          <w:szCs w:val="24"/>
        </w:rPr>
        <w:t xml:space="preserve">Tabla 5</w:t>
      </w:r>
    </w:p>
    <w:p>
      <w:pPr>
        <w:keepNext/>
        <w:spacing w:after="160"/>
      </w:pPr>
      <w:r>
        <w:rPr>
          <w:rFonts w:ascii="Times New Roman" w:cs="Times New Roman" w:eastAsia="Times New Roman" w:hAnsi="Times New Roman"/>
          <w:i/>
          <w:iCs/>
          <w:color w:val="000000"/>
          <w:sz w:val="24"/>
          <w:szCs w:val="24"/>
        </w:rPr>
        <w:t xml:space="preserve">Hechos y medios de prueba</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715"/>
        <w:gridCol w:w="2658"/>
        <w:gridCol w:w="817"/>
        <w:gridCol w:w="817"/>
        <w:gridCol w:w="817"/>
        <w:gridCol w:w="920"/>
        <w:gridCol w:w="2662"/>
      </w:tblGrid>
      <w:tr>
        <w:trPr>
          <w:cantSplit/>
          <w:tblHeader/>
        </w:trPr>
        <w:tc>
          <w:tcPr>
            <w:tcW w:type="dxa" w:w="715"/>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Hecho</w:t>
            </w:r>
          </w:p>
        </w:tc>
        <w:tc>
          <w:tcPr>
            <w:tcW w:type="dxa" w:w="2658"/>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Medio</w:t>
            </w:r>
          </w:p>
        </w:tc>
        <w:tc>
          <w:tcPr>
            <w:tcW w:type="dxa" w:w="817"/>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Pert.</w:t>
            </w:r>
          </w:p>
        </w:tc>
        <w:tc>
          <w:tcPr>
            <w:tcW w:type="dxa" w:w="817"/>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Cond.</w:t>
            </w:r>
          </w:p>
        </w:tc>
        <w:tc>
          <w:tcPr>
            <w:tcW w:type="dxa" w:w="817"/>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Util.</w:t>
            </w:r>
          </w:p>
        </w:tc>
        <w:tc>
          <w:tcPr>
            <w:tcW w:type="dxa" w:w="920"/>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Licitud</w:t>
            </w:r>
          </w:p>
        </w:tc>
        <w:tc>
          <w:tcPr>
            <w:tcW w:type="dxa" w:w="2662"/>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Vacío</w:t>
            </w:r>
          </w:p>
        </w:tc>
      </w:tr>
      <w:tr>
        <w:trPr>
          <w:cantSplit/>
          <w:tblHeader w:val="false"/>
        </w:trPr>
        <w:tc>
          <w:tcPr>
            <w:tcW w:type="dxa" w:w="715"/>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1</w:t>
            </w:r>
          </w:p>
        </w:tc>
        <w:tc>
          <w:tcPr>
            <w:tcW w:type="dxa" w:w="2658"/>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Documento del expediente</w:t>
            </w:r>
          </w:p>
        </w:tc>
        <w:tc>
          <w:tcPr>
            <w:tcW w:type="dxa" w:w="817"/>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ALTA</w:t>
            </w:r>
          </w:p>
        </w:tc>
        <w:tc>
          <w:tcPr>
            <w:tcW w:type="dxa" w:w="817"/>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ALTA</w:t>
            </w:r>
          </w:p>
        </w:tc>
        <w:tc>
          <w:tcPr>
            <w:tcW w:type="dxa" w:w="817"/>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ALTA</w:t>
            </w:r>
          </w:p>
        </w:tc>
        <w:tc>
          <w:tcPr>
            <w:tcW w:type="dxa" w:w="92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LICITA</w:t>
            </w:r>
          </w:p>
        </w:tc>
        <w:tc>
          <w:tcPr>
            <w:tcW w:type="dxa" w:w="2662"/>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No</w:t>
            </w:r>
          </w:p>
        </w:tc>
      </w:tr>
      <w:tr>
        <w:trPr>
          <w:cantSplit/>
          <w:tblHeader w:val="false"/>
        </w:trPr>
        <w:tc>
          <w:tcPr>
            <w:tcW w:type="dxa" w:w="715"/>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2</w:t>
            </w:r>
          </w:p>
        </w:tc>
        <w:tc>
          <w:tcPr>
            <w:tcW w:type="dxa" w:w="2658"/>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Documento del expediente</w:t>
            </w:r>
          </w:p>
        </w:tc>
        <w:tc>
          <w:tcPr>
            <w:tcW w:type="dxa" w:w="817"/>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ALTA</w:t>
            </w:r>
          </w:p>
        </w:tc>
        <w:tc>
          <w:tcPr>
            <w:tcW w:type="dxa" w:w="817"/>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ALTA</w:t>
            </w:r>
          </w:p>
        </w:tc>
        <w:tc>
          <w:tcPr>
            <w:tcW w:type="dxa" w:w="817"/>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ALTA</w:t>
            </w:r>
          </w:p>
        </w:tc>
        <w:tc>
          <w:tcPr>
            <w:tcW w:type="dxa" w:w="92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LICITA</w:t>
            </w:r>
          </w:p>
        </w:tc>
        <w:tc>
          <w:tcPr>
            <w:tcW w:type="dxa" w:w="2662"/>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No</w:t>
            </w:r>
          </w:p>
        </w:tc>
      </w:tr>
      <w:tr>
        <w:trPr>
          <w:cantSplit/>
          <w:tblHeader w:val="false"/>
        </w:trPr>
        <w:tc>
          <w:tcPr>
            <w:tcW w:type="dxa" w:w="715"/>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3</w:t>
            </w:r>
          </w:p>
        </w:tc>
        <w:tc>
          <w:tcPr>
            <w:tcW w:type="dxa" w:w="2658"/>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Documento del expediente</w:t>
            </w:r>
          </w:p>
        </w:tc>
        <w:tc>
          <w:tcPr>
            <w:tcW w:type="dxa" w:w="817"/>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ALTA</w:t>
            </w:r>
          </w:p>
        </w:tc>
        <w:tc>
          <w:tcPr>
            <w:tcW w:type="dxa" w:w="817"/>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ALTA</w:t>
            </w:r>
          </w:p>
        </w:tc>
        <w:tc>
          <w:tcPr>
            <w:tcW w:type="dxa" w:w="817"/>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ALTA</w:t>
            </w:r>
          </w:p>
        </w:tc>
        <w:tc>
          <w:tcPr>
            <w:tcW w:type="dxa" w:w="92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LICITA</w:t>
            </w:r>
          </w:p>
        </w:tc>
        <w:tc>
          <w:tcPr>
            <w:tcW w:type="dxa" w:w="2662"/>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No</w:t>
            </w:r>
          </w:p>
        </w:tc>
      </w:tr>
      <w:tr>
        <w:trPr>
          <w:cantSplit/>
          <w:tblHeader w:val="false"/>
        </w:trPr>
        <w:tc>
          <w:tcPr>
            <w:tcW w:type="dxa" w:w="715"/>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4</w:t>
            </w:r>
          </w:p>
        </w:tc>
        <w:tc>
          <w:tcPr>
            <w:tcW w:type="dxa" w:w="2658"/>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Documento del expediente</w:t>
            </w:r>
          </w:p>
        </w:tc>
        <w:tc>
          <w:tcPr>
            <w:tcW w:type="dxa" w:w="817"/>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ALTA</w:t>
            </w:r>
          </w:p>
        </w:tc>
        <w:tc>
          <w:tcPr>
            <w:tcW w:type="dxa" w:w="817"/>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ALTA</w:t>
            </w:r>
          </w:p>
        </w:tc>
        <w:tc>
          <w:tcPr>
            <w:tcW w:type="dxa" w:w="817"/>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ALTA</w:t>
            </w:r>
          </w:p>
        </w:tc>
        <w:tc>
          <w:tcPr>
            <w:tcW w:type="dxa" w:w="92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LICITA</w:t>
            </w:r>
          </w:p>
        </w:tc>
        <w:tc>
          <w:tcPr>
            <w:tcW w:type="dxa" w:w="2662"/>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No</w:t>
            </w:r>
          </w:p>
        </w:tc>
      </w:tr>
      <w:tr>
        <w:trPr>
          <w:cantSplit/>
          <w:tblHeader w:val="false"/>
        </w:trPr>
        <w:tc>
          <w:tcPr>
            <w:tcW w:type="dxa" w:w="715"/>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5</w:t>
            </w:r>
          </w:p>
        </w:tc>
        <w:tc>
          <w:tcPr>
            <w:tcW w:type="dxa" w:w="2658"/>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Relato del cliente</w:t>
            </w:r>
          </w:p>
        </w:tc>
        <w:tc>
          <w:tcPr>
            <w:tcW w:type="dxa" w:w="817"/>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ALTA</w:t>
            </w:r>
          </w:p>
        </w:tc>
        <w:tc>
          <w:tcPr>
            <w:tcW w:type="dxa" w:w="817"/>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BAJA</w:t>
            </w:r>
          </w:p>
        </w:tc>
        <w:tc>
          <w:tcPr>
            <w:tcW w:type="dxa" w:w="817"/>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MEDIA</w:t>
            </w:r>
          </w:p>
        </w:tc>
        <w:tc>
          <w:tcPr>
            <w:tcW w:type="dxa" w:w="92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LICITA</w:t>
            </w:r>
          </w:p>
        </w:tc>
        <w:tc>
          <w:tcPr>
            <w:tcW w:type="dxa" w:w="2662"/>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Sí: Aportar certificación contable o extractos que acrediten la ausencia de pagos, o solicitar interrogatorio de parte.</w:t>
            </w:r>
          </w:p>
        </w:tc>
      </w:tr>
      <w:tr>
        <w:trPr>
          <w:cantSplit/>
          <w:tblHeader w:val="false"/>
        </w:trPr>
        <w:tc>
          <w:tcPr>
            <w:tcW w:type="dxa" w:w="715"/>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6</w:t>
            </w:r>
          </w:p>
        </w:tc>
        <w:tc>
          <w:tcPr>
            <w:tcW w:type="dxa" w:w="2658"/>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Documento del expediente</w:t>
            </w:r>
          </w:p>
        </w:tc>
        <w:tc>
          <w:tcPr>
            <w:tcW w:type="dxa" w:w="817"/>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ALTA</w:t>
            </w:r>
          </w:p>
        </w:tc>
        <w:tc>
          <w:tcPr>
            <w:tcW w:type="dxa" w:w="817"/>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ALTA</w:t>
            </w:r>
          </w:p>
        </w:tc>
        <w:tc>
          <w:tcPr>
            <w:tcW w:type="dxa" w:w="817"/>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ALTA</w:t>
            </w:r>
          </w:p>
        </w:tc>
        <w:tc>
          <w:tcPr>
            <w:tcW w:type="dxa" w:w="920"/>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LICITA</w:t>
            </w:r>
          </w:p>
        </w:tc>
        <w:tc>
          <w:tcPr>
            <w:tcW w:type="dxa" w:w="2662"/>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No</w:t>
            </w:r>
          </w:p>
        </w:tc>
      </w:tr>
    </w:tbl>
    <w:p>
      <w:pPr>
        <w:spacing w:after="320" w:before="80"/>
        <w:jc w:val="both"/>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Una fila vacía indica la gestión probatoria concreta que falta.</w:t>
      </w:r>
    </w:p>
    <w:p>
      <w:pPr>
        <w:pStyle w:val="Heading2"/>
        <w:keepNext/>
        <w:spacing w:after="180" w:before="400"/>
      </w:pPr>
      <w:bookmarkStart w:name="_Toc_s10_4" w:id="1"/>
      <w:r>
        <w:rPr>
          <w:rFonts w:ascii="Times New Roman" w:cs="Times New Roman" w:eastAsia="Times New Roman" w:hAnsi="Times New Roman"/>
          <w:b/>
          <w:bCs/>
          <w:color w:val="000000"/>
          <w:sz w:val="24"/>
          <w:szCs w:val="24"/>
        </w:rPr>
        <w:t xml:space="preserve">10.4 — Trampas procesales y requisitos de procedibilidad</w:t>
      </w:r>
      <w:bookmarkEnd w:id="1"/>
    </w:p>
    <w:p>
      <w:pPr>
        <w:spacing w:after="100" w:line="336"/>
        <w:ind w:left="709"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Custodia del original del título. El despacho puede requerir la exhibición del original del pagaré: debe conservarse en custodia y disponible.</w:t>
      </w:r>
    </w:p>
    <w:p>
      <w:pPr>
        <w:pStyle w:val="Heading1"/>
        <w:keepNext/>
        <w:pageBreakBefore/>
        <w:spacing w:after="320"/>
      </w:pPr>
      <w:bookmarkStart w:name="_Toc_s11" w:id="1"/>
      <w:r>
        <w:rPr>
          <w:rFonts w:ascii="Times New Roman" w:cs="Times New Roman" w:eastAsia="Times New Roman" w:hAnsi="Times New Roman"/>
          <w:b/>
          <w:bCs/>
          <w:color w:val="000000"/>
          <w:sz w:val="26"/>
          <w:szCs w:val="26"/>
        </w:rPr>
        <w:t xml:space="preserve">XI. MECANISMOS ALTERNATIVOS Y ESTRATEGIA</w:t>
      </w:r>
      <w:bookmarkEnd w:id="1"/>
    </w:p>
    <w:p>
      <w:pPr>
        <w:spacing w:after="140" w:line="336"/>
        <w:jc w:val="both"/>
      </w:pPr>
      <w:r>
        <w:rPr>
          <w:rFonts w:ascii="Times New Roman" w:cs="Times New Roman" w:eastAsia="Times New Roman" w:hAnsi="Times New Roman"/>
          <w:color w:val="000000"/>
          <w:sz w:val="24"/>
          <w:szCs w:val="24"/>
        </w:rPr>
        <w:t xml:space="preserve">Sobre los mecanismos alternativos: Conveniencia baja: priorizar la vía litigiosa. Transigir sobre un derecho propio es decisión indelegable del cliente.</w:t>
      </w:r>
    </w:p>
    <w:p>
      <w:pPr>
        <w:spacing w:after="140" w:line="336"/>
        <w:jc w:val="both"/>
      </w:pPr>
      <w:r>
        <w:rPr>
          <w:rFonts w:ascii="Times New Roman" w:cs="Times New Roman" w:eastAsia="Times New Roman" w:hAnsi="Times New Roman"/>
          <w:color w:val="000000"/>
          <w:sz w:val="24"/>
          <w:szCs w:val="24"/>
        </w:rPr>
        <w:t xml:space="preserve">La vía principal recomendada es Proceso ejecutivo.</w:t>
      </w:r>
    </w:p>
    <w:p>
      <w:pPr>
        <w:spacing w:after="140" w:line="336"/>
        <w:jc w:val="both"/>
      </w:pPr>
      <w:r>
        <w:rPr>
          <w:rFonts w:ascii="Times New Roman" w:cs="Times New Roman" w:eastAsia="Times New Roman" w:hAnsi="Times New Roman"/>
          <w:color w:val="000000"/>
          <w:sz w:val="24"/>
          <w:szCs w:val="24"/>
        </w:rPr>
        <w:t xml:space="preserve">Ruta temporal: Actuar antes del 2027-03-01 (Prescripción de la acción cambiaria directa).</w:t>
      </w:r>
    </w:p>
    <w:p>
      <w:pPr>
        <w:pStyle w:val="Heading2"/>
        <w:keepNext/>
        <w:spacing w:after="180" w:before="400"/>
      </w:pPr>
      <w:bookmarkStart w:name="_Toc_s11_1" w:id="1"/>
      <w:r>
        <w:rPr>
          <w:rFonts w:ascii="Times New Roman" w:cs="Times New Roman" w:eastAsia="Times New Roman" w:hAnsi="Times New Roman"/>
          <w:b/>
          <w:bCs/>
          <w:color w:val="000000"/>
          <w:sz w:val="24"/>
          <w:szCs w:val="24"/>
        </w:rPr>
        <w:t xml:space="preserve">11.1 — Mecanismos alternativos de solución de conflictos</w:t>
      </w:r>
      <w:bookmarkEnd w:id="1"/>
    </w:p>
    <w:p>
      <w:pPr>
        <w:spacing w:after="140" w:line="336"/>
        <w:jc w:val="both"/>
      </w:pPr>
      <w:r>
        <w:rPr>
          <w:rFonts w:ascii="Times New Roman" w:cs="Times New Roman" w:eastAsia="Times New Roman" w:hAnsi="Times New Roman"/>
          <w:color w:val="000000"/>
          <w:sz w:val="24"/>
          <w:szCs w:val="24"/>
        </w:rPr>
        <w:t xml:space="preserve">Conciliable: si. Obligatoria como requisito de procedibilidad: no. Puntaje de conveniencia: 30/100. Conveniencia baja: priorizar la vía litigiosa. Transigir sobre un derecho propio es decisión indelegable del cliente.</w:t>
      </w:r>
    </w:p>
    <w:p>
      <w:pPr>
        <w:keepNext/>
        <w:spacing w:after="60" w:before="280"/>
      </w:pPr>
      <w:r>
        <w:rPr>
          <w:rFonts w:ascii="Times New Roman" w:cs="Times New Roman" w:eastAsia="Times New Roman" w:hAnsi="Times New Roman"/>
          <w:b/>
          <w:bCs/>
          <w:color w:val="000000"/>
          <w:sz w:val="24"/>
          <w:szCs w:val="24"/>
        </w:rPr>
        <w:t xml:space="preserve">Tabla 6</w:t>
      </w:r>
    </w:p>
    <w:p>
      <w:pPr>
        <w:keepNext/>
        <w:spacing w:after="160"/>
      </w:pPr>
      <w:r>
        <w:rPr>
          <w:rFonts w:ascii="Times New Roman" w:cs="Times New Roman" w:eastAsia="Times New Roman" w:hAnsi="Times New Roman"/>
          <w:i/>
          <w:iCs/>
          <w:color w:val="000000"/>
          <w:sz w:val="24"/>
          <w:szCs w:val="24"/>
        </w:rPr>
        <w:t xml:space="preserve">Factores de conveniencia</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351"/>
        <w:gridCol w:w="855"/>
        <w:gridCol w:w="855"/>
        <w:gridCol w:w="5345"/>
      </w:tblGrid>
      <w:tr>
        <w:trPr>
          <w:cantSplit/>
          <w:tblHeader/>
        </w:trPr>
        <w:tc>
          <w:tcPr>
            <w:tcW w:type="dxa" w:w="2351"/>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Factor</w:t>
            </w:r>
          </w:p>
        </w:tc>
        <w:tc>
          <w:tcPr>
            <w:tcW w:type="dxa" w:w="855"/>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Peso</w:t>
            </w:r>
          </w:p>
        </w:tc>
        <w:tc>
          <w:tcPr>
            <w:tcW w:type="dxa" w:w="855"/>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Valor</w:t>
            </w:r>
          </w:p>
        </w:tc>
        <w:tc>
          <w:tcPr>
            <w:tcW w:type="dxa" w:w="5345"/>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Razón</w:t>
            </w:r>
          </w:p>
        </w:tc>
      </w:tr>
      <w:tr>
        <w:trPr>
          <w:cantSplit/>
          <w:tblHeader w:val="false"/>
        </w:trPr>
        <w:tc>
          <w:tcPr>
            <w:tcW w:type="dxa" w:w="2351"/>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Relación entre las partes que conviene preservar</w:t>
            </w:r>
          </w:p>
        </w:tc>
        <w:tc>
          <w:tcPr>
            <w:tcW w:type="dxa" w:w="855"/>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0.2</w:t>
            </w:r>
          </w:p>
        </w:tc>
        <w:tc>
          <w:tcPr>
            <w:tcW w:type="dxa" w:w="855"/>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0.3</w:t>
            </w:r>
          </w:p>
        </w:tc>
        <w:tc>
          <w:tcPr>
            <w:tcW w:type="dxa" w:w="5345"/>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Un acuerdo protege relaciones que el litigio deteriora.</w:t>
            </w:r>
          </w:p>
        </w:tc>
      </w:tr>
      <w:tr>
        <w:trPr>
          <w:cantSplit/>
          <w:tblHeader w:val="false"/>
        </w:trPr>
        <w:tc>
          <w:tcPr>
            <w:tcW w:type="dxa" w:w="2351"/>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Costo del litigio frente a la cuantía</w:t>
            </w:r>
          </w:p>
        </w:tc>
        <w:tc>
          <w:tcPr>
            <w:tcW w:type="dxa" w:w="855"/>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0.2</w:t>
            </w:r>
          </w:p>
        </w:tc>
        <w:tc>
          <w:tcPr>
            <w:tcW w:type="dxa" w:w="855"/>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0.3</w:t>
            </w:r>
          </w:p>
        </w:tc>
        <w:tc>
          <w:tcPr>
            <w:tcW w:type="dxa" w:w="5345"/>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Cuanto más desproporcionado el costo, más conveniente el acuerdo.</w:t>
            </w:r>
          </w:p>
        </w:tc>
      </w:tr>
      <w:tr>
        <w:trPr>
          <w:cantSplit/>
          <w:tblHeader w:val="false"/>
        </w:trPr>
        <w:tc>
          <w:tcPr>
            <w:tcW w:type="dxa" w:w="2351"/>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Debilidad de la prueba propia</w:t>
            </w:r>
          </w:p>
        </w:tc>
        <w:tc>
          <w:tcPr>
            <w:tcW w:type="dxa" w:w="855"/>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0.25</w:t>
            </w:r>
          </w:p>
        </w:tc>
        <w:tc>
          <w:tcPr>
            <w:tcW w:type="dxa" w:w="855"/>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0.2</w:t>
            </w:r>
          </w:p>
        </w:tc>
        <w:tc>
          <w:tcPr>
            <w:tcW w:type="dxa" w:w="5345"/>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Con prueba débil, el acuerdo reduce el riesgo de perder (Módulo 13).</w:t>
            </w:r>
          </w:p>
        </w:tc>
      </w:tr>
      <w:tr>
        <w:trPr>
          <w:cantSplit/>
          <w:tblHeader w:val="false"/>
        </w:trPr>
        <w:tc>
          <w:tcPr>
            <w:tcW w:type="dxa" w:w="2351"/>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Duración estimada del proceso</w:t>
            </w:r>
          </w:p>
        </w:tc>
        <w:tc>
          <w:tcPr>
            <w:tcW w:type="dxa" w:w="855"/>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0.15</w:t>
            </w:r>
          </w:p>
        </w:tc>
        <w:tc>
          <w:tcPr>
            <w:tcW w:type="dxa" w:w="855"/>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0.6</w:t>
            </w:r>
          </w:p>
        </w:tc>
        <w:tc>
          <w:tcPr>
            <w:tcW w:type="dxa" w:w="5345"/>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Un proceso largo aumenta el costo de oportunidad.</w:t>
            </w:r>
          </w:p>
        </w:tc>
      </w:tr>
      <w:tr>
        <w:trPr>
          <w:cantSplit/>
          <w:tblHeader w:val="false"/>
        </w:trPr>
        <w:tc>
          <w:tcPr>
            <w:tcW w:type="dxa" w:w="2351"/>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Disposición manifestada por el cliente</w:t>
            </w:r>
          </w:p>
        </w:tc>
        <w:tc>
          <w:tcPr>
            <w:tcW w:type="dxa" w:w="855"/>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0.2</w:t>
            </w:r>
          </w:p>
        </w:tc>
        <w:tc>
          <w:tcPr>
            <w:tcW w:type="dxa" w:w="855"/>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0.2</w:t>
            </w:r>
          </w:p>
        </w:tc>
        <w:tc>
          <w:tcPr>
            <w:tcW w:type="dxa" w:w="5345"/>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Transigir sobre un derecho propio es decisión indelegable del cliente.</w:t>
            </w:r>
          </w:p>
        </w:tc>
      </w:tr>
    </w:tbl>
    <w:p>
      <w:pPr>
        <w:spacing w:after="320" w:before="80"/>
        <w:jc w:val="both"/>
      </w:pPr>
    </w:p>
    <w:p>
      <w:pPr>
        <w:pStyle w:val="Heading2"/>
        <w:keepNext/>
        <w:spacing w:after="180" w:before="400"/>
      </w:pPr>
      <w:bookmarkStart w:name="_Toc_s11_2" w:id="1"/>
      <w:r>
        <w:rPr>
          <w:rFonts w:ascii="Times New Roman" w:cs="Times New Roman" w:eastAsia="Times New Roman" w:hAnsi="Times New Roman"/>
          <w:b/>
          <w:bCs/>
          <w:color w:val="000000"/>
          <w:sz w:val="24"/>
          <w:szCs w:val="24"/>
        </w:rPr>
        <w:t xml:space="preserve">11.2 — Vía procesal</w:t>
      </w:r>
      <w:bookmarkEnd w:id="1"/>
    </w:p>
    <w:p>
      <w:pPr>
        <w:spacing w:after="140" w:line="336"/>
        <w:jc w:val="both"/>
      </w:pPr>
      <w:r>
        <w:rPr>
          <w:rFonts w:ascii="Times New Roman" w:cs="Times New Roman" w:eastAsia="Times New Roman" w:hAnsi="Times New Roman"/>
          <w:color w:val="000000"/>
          <w:sz w:val="24"/>
          <w:szCs w:val="24"/>
        </w:rPr>
        <w:t xml:space="preserve">Vía principal: Proceso ejecutivo. CGP arts. 422 y ss. Recorrido del árbol: Sin proceso en curso. Ruta temporal: Actuar antes del 2027-03-01 (Prescripción de la acción cambiaria directa).</w:t>
      </w:r>
    </w:p>
    <w:p>
      <w:pPr>
        <w:keepNext/>
        <w:spacing w:after="60" w:before="280"/>
      </w:pPr>
      <w:r>
        <w:rPr>
          <w:rFonts w:ascii="Times New Roman" w:cs="Times New Roman" w:eastAsia="Times New Roman" w:hAnsi="Times New Roman"/>
          <w:b/>
          <w:bCs/>
          <w:color w:val="000000"/>
          <w:sz w:val="24"/>
          <w:szCs w:val="24"/>
        </w:rPr>
        <w:t xml:space="preserve">Tabla 7</w:t>
      </w:r>
    </w:p>
    <w:p>
      <w:pPr>
        <w:keepNext/>
        <w:spacing w:after="160"/>
      </w:pPr>
      <w:r>
        <w:rPr>
          <w:rFonts w:ascii="Times New Roman" w:cs="Times New Roman" w:eastAsia="Times New Roman" w:hAnsi="Times New Roman"/>
          <w:i/>
          <w:iCs/>
          <w:color w:val="000000"/>
          <w:sz w:val="24"/>
          <w:szCs w:val="24"/>
        </w:rPr>
        <w:t xml:space="preserve">Vías descartadas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766"/>
        <w:gridCol w:w="6640"/>
      </w:tblGrid>
      <w:tr>
        <w:trPr>
          <w:cantSplit/>
          <w:tblHeader/>
        </w:trPr>
        <w:tc>
          <w:tcPr>
            <w:tcW w:type="dxa" w:w="2766"/>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Vía</w:t>
            </w:r>
          </w:p>
        </w:tc>
        <w:tc>
          <w:tcPr>
            <w:tcW w:type="dxa" w:w="6640"/>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Razón del descarte</w:t>
            </w:r>
          </w:p>
        </w:tc>
      </w:tr>
      <w:tr>
        <w:trPr>
          <w:cantSplit/>
          <w:tblHeader w:val="false"/>
        </w:trPr>
        <w:tc>
          <w:tcPr>
            <w:tcW w:type="dxa" w:w="2766"/>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Proceso declarativo</w:t>
            </w:r>
          </w:p>
        </w:tc>
        <w:tc>
          <w:tcPr>
            <w:tcW w:type="dxa" w:w="664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Existe título ejecutivo: el declarativo sería innecesario y más lento.</w:t>
            </w:r>
          </w:p>
        </w:tc>
      </w:tr>
      <w:tr>
        <w:trPr>
          <w:cantSplit/>
          <w:tblHeader w:val="false"/>
        </w:trPr>
        <w:tc>
          <w:tcPr>
            <w:tcW w:type="dxa" w:w="2766"/>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Acción de tutela</w:t>
            </w:r>
          </w:p>
        </w:tc>
        <w:tc>
          <w:tcPr>
            <w:tcW w:type="dxa" w:w="6640"/>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No se identifica derecho fundamental comprometido.</w:t>
            </w:r>
          </w:p>
        </w:tc>
      </w:tr>
    </w:tbl>
    <w:p>
      <w:pPr>
        <w:spacing w:after="320" w:before="80"/>
        <w:jc w:val="both"/>
      </w:pPr>
    </w:p>
    <w:p>
      <w:pPr>
        <w:pStyle w:val="Heading2"/>
        <w:keepNext/>
        <w:spacing w:after="180" w:before="400"/>
      </w:pPr>
      <w:bookmarkStart w:name="_Toc_s11_3" w:id="1"/>
      <w:r>
        <w:rPr>
          <w:rFonts w:ascii="Times New Roman" w:cs="Times New Roman" w:eastAsia="Times New Roman" w:hAnsi="Times New Roman"/>
          <w:b/>
          <w:bCs/>
          <w:color w:val="000000"/>
          <w:sz w:val="24"/>
          <w:szCs w:val="24"/>
        </w:rPr>
        <w:t xml:space="preserve">11.3 — Notificaciones y comunicaciones</w:t>
      </w:r>
      <w:bookmarkEnd w:id="1"/>
    </w:p>
    <w:p>
      <w:pPr>
        <w:spacing w:after="100" w:line="336"/>
        <w:ind w:left="709"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Despacho judicial (reparto): Radicación como mensaje de datos por el canal digital del despacho u oficina de reparto. Indicar el canal digital de notificación de partes, representantes, apoderados, testigos y peritos. (Ley 2213 de 2022, art. 6)</w:t>
      </w:r>
    </w:p>
    <w:p>
      <w:pPr>
        <w:spacing w:after="100" w:line="336"/>
        <w:ind w:left="709"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Demandado(s): Envío simultáneo de la demanda y sus anexos por medio electrónico (o físico si se desconoce el canal digital). Aportar constancia del envío; su omisión es causal de inadmisión. (Ley 2213 de 2022, art. 6, inc. 4)</w:t>
      </w:r>
    </w:p>
    <w:p>
      <w:pPr>
        <w:spacing w:after="100" w:line="336"/>
        <w:ind w:left="709"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Demandado(s): Notificación personal del auto admisorio por mensaje de datos a la dirección electrónica informada, con la manifestación bajo juramento de que es la utilizada por la persona. Informar cómo se obtuvo la dirección y aportar las evidencias. (Ley 2213 de 2022, art. 8)</w:t>
      </w:r>
    </w:p>
    <w:p>
      <w:pPr>
        <w:pStyle w:val="Heading1"/>
        <w:keepNext/>
        <w:pageBreakBefore/>
        <w:spacing w:after="320"/>
      </w:pPr>
      <w:bookmarkStart w:name="_Toc_s12" w:id="1"/>
      <w:r>
        <w:rPr>
          <w:rFonts w:ascii="Times New Roman" w:cs="Times New Roman" w:eastAsia="Times New Roman" w:hAnsi="Times New Roman"/>
          <w:b/>
          <w:bCs/>
          <w:color w:val="000000"/>
          <w:sz w:val="26"/>
          <w:szCs w:val="26"/>
        </w:rPr>
        <w:t xml:space="preserve">XII. CONTRADICCIÓN ANTICIPADA</w:t>
      </w:r>
      <w:bookmarkEnd w:id="1"/>
    </w:p>
    <w:p>
      <w:pPr>
        <w:keepNext/>
        <w:spacing w:after="60" w:before="280"/>
      </w:pPr>
      <w:r>
        <w:rPr>
          <w:rFonts w:ascii="Times New Roman" w:cs="Times New Roman" w:eastAsia="Times New Roman" w:hAnsi="Times New Roman"/>
          <w:b/>
          <w:bCs/>
          <w:color w:val="000000"/>
          <w:sz w:val="24"/>
          <w:szCs w:val="24"/>
        </w:rPr>
        <w:t xml:space="preserve">Tabla 8</w:t>
      </w:r>
    </w:p>
    <w:p>
      <w:pPr>
        <w:keepNext/>
        <w:spacing w:after="160"/>
      </w:pPr>
      <w:r>
        <w:rPr>
          <w:rFonts w:ascii="Times New Roman" w:cs="Times New Roman" w:eastAsia="Times New Roman" w:hAnsi="Times New Roman"/>
          <w:i/>
          <w:iCs/>
          <w:color w:val="000000"/>
          <w:sz w:val="24"/>
          <w:szCs w:val="24"/>
        </w:rPr>
        <w:t xml:space="preserve">Ataques previsibles de la contraparte</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675"/>
        <w:gridCol w:w="1081"/>
        <w:gridCol w:w="973"/>
        <w:gridCol w:w="3677"/>
      </w:tblGrid>
      <w:tr>
        <w:trPr>
          <w:cantSplit/>
          <w:tblHeader/>
        </w:trPr>
        <w:tc>
          <w:tcPr>
            <w:tcW w:type="dxa" w:w="3675"/>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Ataque</w:t>
            </w:r>
          </w:p>
        </w:tc>
        <w:tc>
          <w:tcPr>
            <w:tcW w:type="dxa" w:w="1081"/>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Severidad</w:t>
            </w:r>
          </w:p>
        </w:tc>
        <w:tc>
          <w:tcPr>
            <w:tcW w:type="dxa" w:w="973"/>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Resiste</w:t>
            </w:r>
          </w:p>
        </w:tc>
        <w:tc>
          <w:tcPr>
            <w:tcW w:type="dxa" w:w="3677"/>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Réplica</w:t>
            </w:r>
          </w:p>
        </w:tc>
      </w:tr>
      <w:tr>
        <w:trPr>
          <w:cantSplit/>
          <w:tblHeader w:val="false"/>
        </w:trPr>
        <w:tc>
          <w:tcPr>
            <w:tcW w:type="dxa" w:w="3675"/>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Excepción de prescripción de la acción cambiaria directa.</w:t>
            </w:r>
          </w:p>
        </w:tc>
        <w:tc>
          <w:tcPr>
            <w:tcW w:type="dxa" w:w="1081"/>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alta</w:t>
            </w:r>
          </w:p>
        </w:tc>
        <w:tc>
          <w:tcPr>
            <w:tcW w:type="dxa" w:w="973"/>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SI</w:t>
            </w:r>
          </w:p>
        </w:tc>
        <w:tc>
          <w:tcPr>
            <w:tcW w:type="dxa" w:w="3677"/>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La demanda se presenta antes de cumplirse tres años desde el vencimiento; la notificación oportuna del mandamiento interrumpe el término.</w:t>
            </w:r>
          </w:p>
        </w:tc>
      </w:tr>
      <w:tr>
        <w:trPr>
          <w:cantSplit/>
          <w:tblHeader w:val="false"/>
        </w:trPr>
        <w:tc>
          <w:tcPr>
            <w:tcW w:type="dxa" w:w="3675"/>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Tacha o desconocimiento de la firma del pagaré.</w:t>
            </w:r>
          </w:p>
        </w:tc>
        <w:tc>
          <w:tcPr>
            <w:tcW w:type="dxa" w:w="1081"/>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alta</w:t>
            </w:r>
          </w:p>
        </w:tc>
        <w:tc>
          <w:tcPr>
            <w:tcW w:type="dxa" w:w="973"/>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PARCIAL</w:t>
            </w:r>
          </w:p>
        </w:tc>
        <w:tc>
          <w:tcPr>
            <w:tcW w:type="dxa" w:w="3677"/>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Si se propone, solicitar el cotejo o dictamen grafológico y la exhibición del original.</w:t>
            </w:r>
          </w:p>
        </w:tc>
      </w:tr>
      <w:tr>
        <w:trPr>
          <w:cantSplit/>
          <w:tblHeader w:val="false"/>
        </w:trPr>
        <w:tc>
          <w:tcPr>
            <w:tcW w:type="dxa" w:w="3675"/>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Alegación de pagos parciales no reconocidos por la acreedora.</w:t>
            </w:r>
          </w:p>
        </w:tc>
        <w:tc>
          <w:tcPr>
            <w:tcW w:type="dxa" w:w="1081"/>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media</w:t>
            </w:r>
          </w:p>
        </w:tc>
        <w:tc>
          <w:tcPr>
            <w:tcW w:type="dxa" w:w="973"/>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NO</w:t>
            </w:r>
          </w:p>
        </w:tc>
        <w:tc>
          <w:tcPr>
            <w:tcW w:type="dxa" w:w="3677"/>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Sin réplica: requiere decisión</w:t>
            </w:r>
          </w:p>
        </w:tc>
      </w:tr>
    </w:tbl>
    <w:p>
      <w:pPr>
        <w:spacing w:after="320" w:before="80"/>
        <w:jc w:val="both"/>
      </w:pPr>
    </w:p>
    <w:p>
      <w:pPr>
        <w:pStyle w:val="Heading1"/>
        <w:keepNext/>
        <w:pageBreakBefore/>
        <w:spacing w:after="320"/>
      </w:pPr>
      <w:bookmarkStart w:name="_Toc_s13" w:id="1"/>
      <w:r>
        <w:rPr>
          <w:rFonts w:ascii="Times New Roman" w:cs="Times New Roman" w:eastAsia="Times New Roman" w:hAnsi="Times New Roman"/>
          <w:b/>
          <w:bCs/>
          <w:color w:val="000000"/>
          <w:sz w:val="26"/>
          <w:szCs w:val="26"/>
        </w:rPr>
        <w:t xml:space="preserve">XIII. ACTUACIÓN SIGUIENTE, LÍMITES Y GOBERNANZA</w:t>
      </w:r>
      <w:bookmarkEnd w:id="1"/>
    </w:p>
    <w:p>
      <w:pPr>
        <w:spacing w:after="140" w:line="336"/>
        <w:jc w:val="both"/>
      </w:pPr>
      <w:r>
        <w:rPr>
          <w:rFonts w:ascii="Times New Roman" w:cs="Times New Roman" w:eastAsia="Times New Roman" w:hAnsi="Times New Roman"/>
          <w:color w:val="000000"/>
          <w:sz w:val="24"/>
          <w:szCs w:val="24"/>
        </w:rPr>
        <w:t xml:space="preserve">El sistema preparó el análisis y los borradores; la decisión, la aprobación y la firma corresponden al ABOGADO (USUARIO).</w:t>
      </w:r>
    </w:p>
    <w:p>
      <w:pPr>
        <w:pStyle w:val="Heading2"/>
        <w:keepNext/>
        <w:spacing w:after="180" w:before="400"/>
      </w:pPr>
      <w:bookmarkStart w:name="_Toc_s13_1" w:id="1"/>
      <w:r>
        <w:rPr>
          <w:rFonts w:ascii="Times New Roman" w:cs="Times New Roman" w:eastAsia="Times New Roman" w:hAnsi="Times New Roman"/>
          <w:b/>
          <w:bCs/>
          <w:color w:val="000000"/>
          <w:sz w:val="24"/>
          <w:szCs w:val="24"/>
        </w:rPr>
        <w:t xml:space="preserve">13.1 — Actuación siguiente</w:t>
      </w:r>
      <w:bookmarkEnd w:id="1"/>
    </w:p>
    <w:p>
      <w:pPr>
        <w:spacing w:after="140" w:line="336"/>
        <w:jc w:val="both"/>
      </w:pPr>
      <w:r>
        <w:rPr>
          <w:rFonts w:ascii="Times New Roman" w:cs="Times New Roman" w:eastAsia="Times New Roman" w:hAnsi="Times New Roman"/>
          <w:color w:val="000000"/>
          <w:sz w:val="24"/>
          <w:szCs w:val="24"/>
        </w:rPr>
        <w:t xml:space="preserve">Demanda ejecutiva dirigida a Juez Civil Municipal de Bogotá D.C. (reparto), con el objetivo de obtener mandamiento de pago por el capital y los intereses moratorios del pagaré. Requiere derecho de postulación: la firma el ABOGADO (USUARIO). El borrador se entrega por separado y solo se convierte en versión radicable con la aprobación expresa del ABOGADO (USUARIO).</w:t>
      </w:r>
    </w:p>
    <w:p>
      <w:pPr>
        <w:pStyle w:val="Heading2"/>
        <w:keepNext/>
        <w:spacing w:after="180" w:before="400"/>
      </w:pPr>
      <w:bookmarkStart w:name="_Toc_s13_2" w:id="1"/>
      <w:r>
        <w:rPr>
          <w:rFonts w:ascii="Times New Roman" w:cs="Times New Roman" w:eastAsia="Times New Roman" w:hAnsi="Times New Roman"/>
          <w:b/>
          <w:bCs/>
          <w:color w:val="000000"/>
          <w:sz w:val="24"/>
          <w:szCs w:val="24"/>
        </w:rPr>
        <w:t xml:space="preserve">13.2 — Zonas grises</w:t>
      </w:r>
      <w:bookmarkEnd w:id="1"/>
    </w:p>
    <w:p>
      <w:pPr>
        <w:spacing w:after="100" w:line="336"/>
        <w:ind w:left="709"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La tasa de interés moratorio aplicable a cada periodo debe liquidarse con la certificación vigente de la Superintendencia Financiera.</w:t>
      </w:r>
    </w:p>
    <w:p>
      <w:pPr>
        <w:pStyle w:val="Heading2"/>
        <w:keepNext/>
        <w:spacing w:after="180" w:before="400"/>
      </w:pPr>
      <w:bookmarkStart w:name="_Toc_s13_3" w:id="1"/>
      <w:r>
        <w:rPr>
          <w:rFonts w:ascii="Times New Roman" w:cs="Times New Roman" w:eastAsia="Times New Roman" w:hAnsi="Times New Roman"/>
          <w:b/>
          <w:bCs/>
          <w:color w:val="000000"/>
          <w:sz w:val="24"/>
          <w:szCs w:val="24"/>
        </w:rPr>
        <w:t xml:space="preserve">13.3 — Etiquetas de confianza</w:t>
      </w:r>
      <w:bookmarkEnd w:id="1"/>
    </w:p>
    <w:p>
      <w:pPr>
        <w:spacing w:after="140" w:line="336"/>
        <w:jc w:val="both"/>
      </w:pPr>
      <w:r>
        <w:rPr>
          <w:rFonts w:ascii="Times New Roman" w:cs="Times New Roman" w:eastAsia="Times New Roman" w:hAnsi="Times New Roman"/>
          <w:color w:val="000000"/>
          <w:sz w:val="24"/>
          <w:szCs w:val="24"/>
        </w:rPr>
        <w:t xml:space="preserve">Distribución de las afirmaciones del informe y de la pieza: dato no verificado (20); hecho probado (23); hecho afirmado (2); conclusion consolidada (16).</w:t>
      </w:r>
    </w:p>
    <w:p>
      <w:pPr>
        <w:pStyle w:val="Heading2"/>
        <w:keepNext/>
        <w:spacing w:after="180" w:before="400"/>
      </w:pPr>
      <w:bookmarkStart w:name="_Toc_s13_4" w:id="1"/>
      <w:r>
        <w:rPr>
          <w:rFonts w:ascii="Times New Roman" w:cs="Times New Roman" w:eastAsia="Times New Roman" w:hAnsi="Times New Roman"/>
          <w:b/>
          <w:bCs/>
          <w:color w:val="000000"/>
          <w:sz w:val="24"/>
          <w:szCs w:val="24"/>
        </w:rPr>
        <w:t xml:space="preserve">13.4 — Sesgo y equidad</w:t>
      </w:r>
      <w:bookmarkEnd w:id="1"/>
    </w:p>
    <w:p>
      <w:pPr>
        <w:keepNext/>
        <w:spacing w:after="60" w:before="280"/>
      </w:pPr>
      <w:r>
        <w:rPr>
          <w:rFonts w:ascii="Times New Roman" w:cs="Times New Roman" w:eastAsia="Times New Roman" w:hAnsi="Times New Roman"/>
          <w:b/>
          <w:bCs/>
          <w:color w:val="000000"/>
          <w:sz w:val="24"/>
          <w:szCs w:val="24"/>
        </w:rPr>
        <w:t xml:space="preserve">Tabla 9</w:t>
      </w:r>
    </w:p>
    <w:p>
      <w:pPr>
        <w:keepNext/>
        <w:spacing w:after="160"/>
      </w:pPr>
      <w:r>
        <w:rPr>
          <w:rFonts w:ascii="Times New Roman" w:cs="Times New Roman" w:eastAsia="Times New Roman" w:hAnsi="Times New Roman"/>
          <w:i/>
          <w:iCs/>
          <w:color w:val="000000"/>
          <w:sz w:val="24"/>
          <w:szCs w:val="24"/>
        </w:rPr>
        <w:t xml:space="preserve">Lista de verificación con enfoque diferencial</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180"/>
        <w:gridCol w:w="5226"/>
      </w:tblGrid>
      <w:tr>
        <w:trPr>
          <w:cantSplit/>
          <w:tblHeader/>
        </w:trPr>
        <w:tc>
          <w:tcPr>
            <w:tcW w:type="dxa" w:w="4180"/>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Pregunta</w:t>
            </w:r>
          </w:p>
        </w:tc>
        <w:tc>
          <w:tcPr>
            <w:tcW w:type="dxa" w:w="5226"/>
            <w:tcBorders>
              <w:top w:val="single" w:color="000000" w:sz="12"/>
              <w:left w:val="none" w:color="FFFFFF" w:sz="0"/>
              <w:bottom w:val="single" w:color="000000" w:sz="6"/>
              <w:right w:val="none" w:color="FFFFFF" w:sz="0"/>
            </w:tcBorders>
            <w:shd w:fill="FFFFFF" w:color="auto" w:val="clear"/>
            <w:tcMar>
              <w:top w:type="dxa" w:w="70"/>
              <w:left w:type="dxa" w:w="90"/>
              <w:bottom w:type="dxa" w:w="70"/>
              <w:right w:type="dxa" w:w="90"/>
            </w:tcMar>
          </w:tcPr>
          <w:p>
            <w:pPr>
              <w:jc w:val="center"/>
            </w:pPr>
            <w:r>
              <w:rPr>
                <w:rFonts w:ascii="Times New Roman" w:cs="Times New Roman" w:eastAsia="Times New Roman" w:hAnsi="Times New Roman"/>
                <w:b/>
                <w:bCs/>
                <w:color w:val="000000"/>
                <w:sz w:val="20"/>
                <w:szCs w:val="20"/>
              </w:rPr>
              <w:t xml:space="preserve">Respuesta</w:t>
            </w:r>
          </w:p>
        </w:tc>
      </w:tr>
      <w:tr>
        <w:trPr>
          <w:cantSplit/>
          <w:tblHeader w:val="false"/>
        </w:trPr>
        <w:tc>
          <w:tcPr>
            <w:tcW w:type="dxa" w:w="418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¿Se valoran con el mismo estándar las pruebas de ambas partes?</w:t>
            </w:r>
          </w:p>
        </w:tc>
        <w:tc>
          <w:tcPr>
            <w:tcW w:type="dxa" w:w="5226"/>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Sí: la matriz probatoria marca como vacío el no pago afirmado por la acreedora.</w:t>
            </w:r>
          </w:p>
        </w:tc>
      </w:tr>
      <w:tr>
        <w:trPr>
          <w:cantSplit/>
          <w:tblHeader w:val="false"/>
        </w:trPr>
        <w:tc>
          <w:tcPr>
            <w:tcW w:type="dxa" w:w="418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¿Hay lenguaje estereotipado?</w:t>
            </w:r>
          </w:p>
        </w:tc>
        <w:tc>
          <w:tcPr>
            <w:tcW w:type="dxa" w:w="5226"/>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No se identificó.</w:t>
            </w:r>
          </w:p>
        </w:tc>
      </w:tr>
      <w:tr>
        <w:trPr>
          <w:cantSplit/>
          <w:tblHeader w:val="false"/>
        </w:trPr>
        <w:tc>
          <w:tcPr>
            <w:tcW w:type="dxa" w:w="418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¿Se consideraron sujetos de especial protección?</w:t>
            </w:r>
          </w:p>
        </w:tc>
        <w:tc>
          <w:tcPr>
            <w:tcW w:type="dxa" w:w="5226"/>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No se identificaron en el expediente.</w:t>
            </w:r>
          </w:p>
        </w:tc>
      </w:tr>
      <w:tr>
        <w:trPr>
          <w:cantSplit/>
          <w:tblHeader w:val="false"/>
        </w:trPr>
        <w:tc>
          <w:tcPr>
            <w:tcW w:type="dxa" w:w="418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¿Alguna inferencia descansa en generalizaciones sobre grupos?</w:t>
            </w:r>
          </w:p>
        </w:tc>
        <w:tc>
          <w:tcPr>
            <w:tcW w:type="dxa" w:w="5226"/>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No.</w:t>
            </w:r>
          </w:p>
        </w:tc>
      </w:tr>
      <w:tr>
        <w:trPr>
          <w:cantSplit/>
          <w:tblHeader w:val="false"/>
        </w:trPr>
        <w:tc>
          <w:tcPr>
            <w:tcW w:type="dxa" w:w="4180"/>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¿El relato del cliente se trata como hecho sin soporte?</w:t>
            </w:r>
          </w:p>
        </w:tc>
        <w:tc>
          <w:tcPr>
            <w:tcW w:type="dxa" w:w="5226"/>
            <w:tcBorders>
              <w:top w:val="none" w:color="FFFFFF" w:sz="0"/>
              <w:left w:val="none" w:color="FFFFFF" w:sz="0"/>
              <w:bottom w:val="none" w:color="FFFFFF" w:sz="0"/>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No: se etiqueta como afirmado por el cliente.</w:t>
            </w:r>
          </w:p>
        </w:tc>
      </w:tr>
      <w:tr>
        <w:trPr>
          <w:cantSplit/>
          <w:tblHeader w:val="false"/>
        </w:trPr>
        <w:tc>
          <w:tcPr>
            <w:tcW w:type="dxa" w:w="4180"/>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¿Se omitió alguna vía favorable a la parte más débil?</w:t>
            </w:r>
          </w:p>
        </w:tc>
        <w:tc>
          <w:tcPr>
            <w:tcW w:type="dxa" w:w="5226"/>
            <w:tcBorders>
              <w:top w:val="none" w:color="FFFFFF" w:sz="0"/>
              <w:left w:val="none" w:color="FFFFFF" w:sz="0"/>
              <w:bottom w:val="single" w:color="000000" w:sz="12"/>
              <w:right w:val="none" w:color="FFFFFF" w:sz="0"/>
            </w:tcBorders>
            <w:shd w:fill="FFFFFF" w:color="auto" w:val="clear"/>
            <w:tcMar>
              <w:top w:type="dxa" w:w="70"/>
              <w:left w:type="dxa" w:w="90"/>
              <w:bottom w:type="dxa" w:w="70"/>
              <w:right w:type="dxa" w:w="90"/>
            </w:tcMar>
          </w:tcPr>
          <w:p>
            <w:pPr>
              <w:jc w:val="left"/>
            </w:pPr>
            <w:r>
              <w:rPr>
                <w:rFonts w:ascii="Times New Roman" w:cs="Times New Roman" w:eastAsia="Times New Roman" w:hAnsi="Times New Roman"/>
                <w:b w:val="false"/>
                <w:bCs w:val="false"/>
                <w:color w:val="000000"/>
                <w:sz w:val="20"/>
                <w:szCs w:val="20"/>
              </w:rPr>
              <w:t xml:space="preserve">No aplica: no hay asimetría de protección identificada.</w:t>
            </w:r>
          </w:p>
        </w:tc>
      </w:tr>
    </w:tbl>
    <w:p>
      <w:pPr>
        <w:spacing w:after="320" w:before="80"/>
        <w:jc w:val="both"/>
      </w:pPr>
    </w:p>
    <w:p>
      <w:pPr>
        <w:pStyle w:val="Heading2"/>
        <w:keepNext/>
        <w:spacing w:after="180" w:before="400"/>
      </w:pPr>
      <w:bookmarkStart w:name="_Toc_s13_5" w:id="1"/>
      <w:r>
        <w:rPr>
          <w:rFonts w:ascii="Times New Roman" w:cs="Times New Roman" w:eastAsia="Times New Roman" w:hAnsi="Times New Roman"/>
          <w:b/>
          <w:bCs/>
          <w:color w:val="000000"/>
          <w:sz w:val="24"/>
          <w:szCs w:val="24"/>
        </w:rPr>
        <w:t xml:space="preserve">13.5 — Control del ejercicio profesional</w:t>
      </w:r>
      <w:bookmarkEnd w:id="1"/>
    </w:p>
    <w:p>
      <w:pPr>
        <w:spacing w:after="140" w:line="336"/>
        <w:jc w:val="both"/>
      </w:pPr>
      <w:r>
        <w:rPr>
          <w:rFonts w:ascii="Times New Roman" w:cs="Times New Roman" w:eastAsia="Times New Roman" w:hAnsi="Times New Roman"/>
          <w:color w:val="000000"/>
          <w:sz w:val="24"/>
          <w:szCs w:val="24"/>
        </w:rPr>
        <w:t xml:space="preserve">Actuación habilitada; requiere derecho de postulación.</w:t>
      </w:r>
    </w:p>
    <w:p>
      <w:pPr>
        <w:pStyle w:val="Heading2"/>
        <w:keepNext/>
        <w:spacing w:after="180" w:before="400"/>
      </w:pPr>
      <w:bookmarkStart w:name="_Toc_s13_6" w:id="1"/>
      <w:r>
        <w:rPr>
          <w:rFonts w:ascii="Times New Roman" w:cs="Times New Roman" w:eastAsia="Times New Roman" w:hAnsi="Times New Roman"/>
          <w:b/>
          <w:bCs/>
          <w:color w:val="000000"/>
          <w:sz w:val="24"/>
          <w:szCs w:val="24"/>
        </w:rPr>
        <w:t xml:space="preserve">13.6 — Ausencias declaradas y límites del análisis</w:t>
      </w:r>
      <w:bookmarkEnd w:id="1"/>
    </w:p>
    <w:p>
      <w:pPr>
        <w:spacing w:after="100" w:line="336"/>
        <w:ind w:left="709"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Vacío de precedente: No se halló precedente verificable para el problema principal en las fuentes consultadas.</w:t>
      </w:r>
    </w:p>
    <w:p>
      <w:pPr>
        <w:spacing w:after="100" w:line="336"/>
        <w:ind w:left="709"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20 afirmación(es) redactada(s) sin respaldo en hechos o fuentes (DATO NO VERIFICADO): revisar en informe I, informe VI, informe VII, informe VIII, informe XI, informe Introducción.</w:t>
      </w:r>
    </w:p>
    <w:p>
      <w:pPr>
        <w:pStyle w:val="Heading2"/>
        <w:keepNext/>
        <w:spacing w:after="180" w:before="400"/>
      </w:pPr>
      <w:bookmarkStart w:name="_Toc_s13_7" w:id="1"/>
      <w:r>
        <w:rPr>
          <w:rFonts w:ascii="Times New Roman" w:cs="Times New Roman" w:eastAsia="Times New Roman" w:hAnsi="Times New Roman"/>
          <w:b/>
          <w:bCs/>
          <w:color w:val="000000"/>
          <w:sz w:val="24"/>
          <w:szCs w:val="24"/>
        </w:rPr>
        <w:t xml:space="preserve">13.7 — Trazabilidad</w:t>
      </w:r>
      <w:bookmarkEnd w:id="1"/>
    </w:p>
    <w:p>
      <w:pPr>
        <w:spacing w:after="140" w:line="336"/>
        <w:jc w:val="both"/>
      </w:pPr>
      <w:r>
        <w:rPr>
          <w:rFonts w:ascii="Times New Roman" w:cs="Times New Roman" w:eastAsia="Times New Roman" w:hAnsi="Times New Roman"/>
          <w:color w:val="000000"/>
          <w:sz w:val="24"/>
          <w:szCs w:val="24"/>
        </w:rPr>
        <w:t xml:space="preserve">Cada afirmación del informe y de la pieza queda registrada con su hecho, documento y página, fuente y conclusión, encadenada por huellas SHA-256. Huella de cierre de la cadena: b98e6cd5f3af90c6f771e60638c134e1fe228a98c15a62c21129cdcba7ba84b1.</w:t>
      </w:r>
    </w:p>
    <w:p>
      <w:pPr>
        <w:pStyle w:val="Heading1"/>
        <w:keepNext/>
        <w:pageBreakBefore/>
        <w:spacing w:after="320"/>
      </w:pPr>
      <w:bookmarkStart w:name="_Toc_conclusiones" w:id="1"/>
      <w:r>
        <w:rPr>
          <w:rFonts w:ascii="Times New Roman" w:cs="Times New Roman" w:eastAsia="Times New Roman" w:hAnsi="Times New Roman"/>
          <w:b/>
          <w:bCs/>
          <w:color w:val="000000"/>
          <w:sz w:val="26"/>
          <w:szCs w:val="26"/>
        </w:rPr>
        <w:t xml:space="preserve">CONCLUSIONES</w:t>
      </w:r>
      <w:bookmarkEnd w:id="1"/>
    </w:p>
    <w:p>
      <w:pPr>
        <w:spacing w:after="140" w:line="336"/>
        <w:jc w:val="both"/>
      </w:pPr>
      <w:r>
        <w:rPr>
          <w:rFonts w:ascii="Times New Roman" w:cs="Times New Roman" w:eastAsia="Times New Roman" w:hAnsi="Times New Roman"/>
          <w:color w:val="000000"/>
          <w:sz w:val="24"/>
          <w:szCs w:val="24"/>
        </w:rPr>
        <w:t xml:space="preserve">Primera: el pagaré reúne, en principio, los requisitos para prestar mérito ejecutivo</w:t>
      </w:r>
      <w:r>
        <w:rPr>
          <w:rStyle w:val="FootnoteReference"/>
        </w:rPr>
        <w:footnoteReference w:id="19"/>
      </w:r>
      <w:r>
        <w:rPr>
          <w:rFonts w:ascii="Times New Roman" w:cs="Times New Roman" w:eastAsia="Times New Roman" w:hAnsi="Times New Roman"/>
          <w:color w:val="000000"/>
          <w:sz w:val="24"/>
          <w:szCs w:val="24"/>
        </w:rPr>
        <w:t xml:space="preserve">, sujeto a la verificación del original por el abogado responsable.</w:t>
      </w:r>
    </w:p>
    <w:p>
      <w:pPr>
        <w:spacing w:after="140" w:line="336"/>
        <w:jc w:val="both"/>
      </w:pPr>
      <w:r>
        <w:rPr>
          <w:rFonts w:ascii="Times New Roman" w:cs="Times New Roman" w:eastAsia="Times New Roman" w:hAnsi="Times New Roman"/>
          <w:color w:val="000000"/>
          <w:sz w:val="24"/>
          <w:szCs w:val="24"/>
        </w:rPr>
        <w:t xml:space="preserve">Segunda: la acción cambiaria directa está vigente a la fecha de corte</w:t>
      </w:r>
      <w:r>
        <w:rPr>
          <w:rStyle w:val="FootnoteReference"/>
        </w:rPr>
        <w:footnoteReference w:id="20"/>
      </w:r>
      <w:r>
        <w:rPr>
          <w:rFonts w:ascii="Times New Roman" w:cs="Times New Roman" w:eastAsia="Times New Roman" w:hAnsi="Times New Roman"/>
          <w:color w:val="000000"/>
          <w:sz w:val="24"/>
          <w:szCs w:val="24"/>
        </w:rPr>
        <w:t xml:space="preserve">; la demanda debe presentarse y notificarse antes del vencimiento del término.</w:t>
      </w:r>
    </w:p>
    <w:p>
      <w:pPr>
        <w:spacing w:after="140" w:line="336"/>
        <w:jc w:val="both"/>
      </w:pPr>
      <w:r>
        <w:rPr>
          <w:rFonts w:ascii="Times New Roman" w:cs="Times New Roman" w:eastAsia="Times New Roman" w:hAnsi="Times New Roman"/>
          <w:color w:val="000000"/>
          <w:sz w:val="24"/>
          <w:szCs w:val="24"/>
        </w:rPr>
        <w:t xml:space="preserve">Tercera: se recomienda la demanda ejecutiva singular con solicitud de medidas cautelares, cuyo borrador se entrega para revisión.</w:t>
      </w:r>
    </w:p>
    <w:p>
      <w:pPr>
        <w:pStyle w:val="Heading1"/>
        <w:keepNext/>
        <w:pageBreakBefore/>
        <w:spacing w:after="320"/>
      </w:pPr>
      <w:bookmarkStart w:name="_Toc_referencias" w:id="1"/>
      <w:r>
        <w:rPr>
          <w:rFonts w:ascii="Times New Roman" w:cs="Times New Roman" w:eastAsia="Times New Roman" w:hAnsi="Times New Roman"/>
          <w:b/>
          <w:bCs/>
          <w:color w:val="000000"/>
          <w:sz w:val="26"/>
          <w:szCs w:val="26"/>
        </w:rPr>
        <w:t xml:space="preserve">Referencias</w:t>
      </w:r>
      <w:bookmarkEnd w:id="1"/>
    </w:p>
    <w:p>
      <w:pPr>
        <w:spacing w:after="120" w:line="276"/>
        <w:ind w:left="709" w:hanging="709"/>
        <w:jc w:val="left"/>
      </w:pPr>
      <w:r>
        <w:rPr>
          <w:rFonts w:ascii="Times New Roman" w:cs="Times New Roman" w:eastAsia="Times New Roman" w:hAnsi="Times New Roman"/>
          <w:color w:val="000000"/>
          <w:sz w:val="22"/>
          <w:szCs w:val="22"/>
        </w:rPr>
        <w:t xml:space="preserve">Congreso de la República / Gobierno Nacional. (2012). Ley 1564 de 2012, art. 422. http://www.secretariasenado.gov.co/senado/basedoc/ley_1564_2012.html</w:t>
      </w:r>
    </w:p>
    <w:p>
      <w:pPr>
        <w:spacing w:after="120" w:line="276"/>
        <w:ind w:left="709" w:hanging="709"/>
        <w:jc w:val="left"/>
      </w:pPr>
      <w:r>
        <w:rPr>
          <w:rFonts w:ascii="Times New Roman" w:cs="Times New Roman" w:eastAsia="Times New Roman" w:hAnsi="Times New Roman"/>
          <w:color w:val="000000"/>
          <w:sz w:val="22"/>
          <w:szCs w:val="22"/>
        </w:rPr>
        <w:t xml:space="preserve">Congreso de la República / Gobierno Nacional. (2012). Ley 1564 de 2012, art. 430. http://www.secretariasenado.gov.co/senado/basedoc/ley_1564_2012.html</w:t>
      </w:r>
    </w:p>
    <w:p>
      <w:pPr>
        <w:spacing w:after="120" w:line="276"/>
        <w:ind w:left="709" w:hanging="709"/>
        <w:jc w:val="left"/>
      </w:pPr>
      <w:r>
        <w:rPr>
          <w:rFonts w:ascii="Times New Roman" w:cs="Times New Roman" w:eastAsia="Times New Roman" w:hAnsi="Times New Roman"/>
          <w:color w:val="000000"/>
          <w:sz w:val="22"/>
          <w:szCs w:val="22"/>
        </w:rPr>
        <w:t xml:space="preserve">Congreso de la República. (s. f.). Código de Comercio, art. 621. http://www.secretariasenado.gov.co/senado/basedoc/codigo_comercio.html</w:t>
      </w:r>
    </w:p>
    <w:p>
      <w:pPr>
        <w:spacing w:after="120" w:line="276"/>
        <w:ind w:left="709" w:hanging="709"/>
        <w:jc w:val="left"/>
      </w:pPr>
      <w:r>
        <w:rPr>
          <w:rFonts w:ascii="Times New Roman" w:cs="Times New Roman" w:eastAsia="Times New Roman" w:hAnsi="Times New Roman"/>
          <w:color w:val="000000"/>
          <w:sz w:val="22"/>
          <w:szCs w:val="22"/>
        </w:rPr>
        <w:t xml:space="preserve">Congreso de la República. (s. f.). Código de Comercio, art. 709. http://www.secretariasenado.gov.co/senado/basedoc/codigo_comercio.html</w:t>
      </w:r>
    </w:p>
    <w:p>
      <w:pPr>
        <w:spacing w:after="120" w:line="276"/>
        <w:ind w:left="709" w:hanging="709"/>
        <w:jc w:val="left"/>
      </w:pPr>
      <w:r>
        <w:rPr>
          <w:rFonts w:ascii="Times New Roman" w:cs="Times New Roman" w:eastAsia="Times New Roman" w:hAnsi="Times New Roman"/>
          <w:color w:val="000000"/>
          <w:sz w:val="22"/>
          <w:szCs w:val="22"/>
        </w:rPr>
        <w:t xml:space="preserve">Congreso de la República. (s. f.). Código de Comercio, art. 789. http://www.secretariasenado.gov.co/senado/basedoc/codigo_comercio.html</w:t>
      </w:r>
    </w:p>
    <w:p>
      <w:pPr>
        <w:spacing w:before="720"/>
        <w:jc w:val="center"/>
      </w:pPr>
      <w:r>
        <w:rPr>
          <w:rFonts w:ascii="Times New Roman" w:cs="Times New Roman" w:eastAsia="Times New Roman" w:hAnsi="Times New Roman"/>
          <w:color w:val="000000"/>
          <w:sz w:val="24"/>
          <w:szCs w:val="24"/>
        </w:rPr>
        <w:t xml:space="preserve">—Josué Ricardo Rojas Silva—</w:t>
      </w:r>
    </w:p>
    <w:sectPr>
      <w:headerReference w:type="default" r:id="rId7"/>
      <w:footerReference w:type="default" r:id="rId8"/>
      <w:pgSz w:w="12240" w:h="15840" w:orient="portrait"/>
      <w:pgMar w:top="1417" w:right="1417" w:bottom="1417" w:left="1417" w:header="850" w:footer="8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Página </w:t>
    </w:r>
    <w:r>
      <w:rPr>
        <w:rFonts w:ascii="Times New Roman" w:cs="Times New Roman" w:eastAsia="Times New Roman" w:hAnsi="Times New Roman"/>
        <w:color w:val="000000"/>
        <w:sz w:val="20"/>
        <w:szCs w:val="20"/>
      </w:rPr>
      <w:fldChar w:fldCharType="begin"/>
    </w:r>
    <w:r>
      <w:rPr>
        <w:rFonts w:ascii="Times New Roman" w:cs="Times New Roman" w:eastAsia="Times New Roman" w:hAnsi="Times New Roman"/>
        <w:color w:val="000000"/>
        <w:sz w:val="20"/>
        <w:szCs w:val="20"/>
      </w:rPr>
      <w:instrText xml:space="preserve">PAGE</w:instrText>
    </w:r>
    <w:r>
      <w:rPr>
        <w:rFonts w:ascii="Times New Roman" w:cs="Times New Roman" w:eastAsia="Times New Roman" w:hAnsi="Times New Roman"/>
        <w:color w:val="000000"/>
        <w:sz w:val="20"/>
        <w:szCs w:val="20"/>
      </w:rPr>
      <w:fldChar w:fldCharType="separate"/>
    </w:r>
    <w:r>
      <w:rPr>
        <w:rFonts w:ascii="Times New Roman" w:cs="Times New Roman" w:eastAsia="Times New Roman" w:hAnsi="Times New Roman"/>
        <w:color w:val="000000"/>
        <w:sz w:val="20"/>
        <w:szCs w:val="20"/>
        <w:noProof/>
      </w:rPr>
      <w:t>1</w:t>
    </w:r>
    <w:r>
      <w:rPr>
        <w:rFonts w:ascii="Times New Roman" w:cs="Times New Roman" w:eastAsia="Times New Roman" w:hAnsi="Times New Roman"/>
        <w:color w:val="000000"/>
        <w:sz w:val="20"/>
        <w:szCs w:val="20"/>
      </w:rPr>
      <w:fldChar w:fldCharType="end"/>
    </w:r>
    <w:r>
      <w:rPr>
        <w:rFonts w:ascii="Times New Roman" w:cs="Times New Roman" w:eastAsia="Times New Roman" w:hAnsi="Times New Roman"/>
        <w:color w:val="000000"/>
        <w:sz w:val="20"/>
        <w:szCs w:val="20"/>
      </w:rPr>
      <w:t xml:space="preserve"> de </w:t>
    </w:r>
    <w:r>
      <w:rPr>
        <w:rFonts w:ascii="Times New Roman" w:cs="Times New Roman" w:eastAsia="Times New Roman" w:hAnsi="Times New Roman"/>
        <w:color w:val="000000"/>
        <w:sz w:val="20"/>
        <w:szCs w:val="20"/>
      </w:rPr>
      <w:fldChar w:fldCharType="begin"/>
    </w:r>
    <w:r>
      <w:rPr>
        <w:rFonts w:ascii="Times New Roman" w:cs="Times New Roman" w:eastAsia="Times New Roman" w:hAnsi="Times New Roman"/>
        <w:color w:val="000000"/>
        <w:sz w:val="20"/>
        <w:szCs w:val="20"/>
      </w:rPr>
      <w:instrText xml:space="preserve">NUMPAGES</w:instrText>
    </w:r>
    <w:r>
      <w:rPr>
        <w:rFonts w:ascii="Times New Roman" w:cs="Times New Roman" w:eastAsia="Times New Roman" w:hAnsi="Times New Roman"/>
        <w:color w:val="000000"/>
        <w:sz w:val="20"/>
        <w:szCs w:val="20"/>
      </w:rPr>
      <w:fldChar w:fldCharType="separate"/>
    </w:r>
    <w:r>
      <w:rPr>
        <w:rFonts w:ascii="Times New Roman" w:cs="Times New Roman" w:eastAsia="Times New Roman" w:hAnsi="Times New Roman"/>
        <w:color w:val="000000"/>
        <w:sz w:val="20"/>
        <w:szCs w:val="20"/>
        <w:noProof/>
      </w:rPr>
      <w:t>24</w:t>
    </w:r>
    <w:r>
      <w:rPr>
        <w:rFonts w:ascii="Times New Roman" w:cs="Times New Roman" w:eastAsia="Times New Roman" w:hAnsi="Times New Roman"/>
        <w:color w:val="000000"/>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60" w:line="240"/>
        <w:jc w:val="both"/>
      </w:pPr>
      <w:r>
        <w:rPr>
          <w:rStyle w:val="FootnoteReference"/>
        </w:rPr>
        <w:footnoteRef/>
      </w:r>
      <w:r>
        <w:rPr>
          <w:rFonts w:ascii="Times New Roman" w:cs="Times New Roman" w:eastAsia="Times New Roman" w:hAnsi="Times New Roman"/>
          <w:color w:val="000000"/>
          <w:sz w:val="20"/>
          <w:szCs w:val="20"/>
        </w:rPr>
        <w:t xml:space="preserve"> Índice electrónico del expediente con nombre, fechas, orden, páginas, formato, tamaño, origen y huella de cada documento, conforme al Protocolo para la gestión de documentos electrónicos, digitalización y conformación del expediente del Consejo Superior de la Judicatura.</w:t>
      </w:r>
    </w:p>
  </w:footnote>
  <w:footnote w:id="2">
    <w:p>
      <w:pPr>
        <w:spacing w:after="60" w:line="240"/>
        <w:jc w:val="both"/>
      </w:pPr>
      <w:r>
        <w:rPr>
          <w:rStyle w:val="FootnoteReference"/>
        </w:rPr>
        <w:footnoteRef/>
      </w:r>
      <w:r>
        <w:rPr>
          <w:rFonts w:ascii="Times New Roman" w:cs="Times New Roman" w:eastAsia="Times New Roman" w:hAnsi="Times New Roman"/>
          <w:color w:val="000000"/>
          <w:sz w:val="20"/>
          <w:szCs w:val="20"/>
        </w:rPr>
        <w:t xml:space="preserve"> Soporte documental: Anexo 3 («03_PAGARE-PERSONA_NATURAL_FICTICIA_01-03-2023.pdf»), página 1.</w:t>
      </w:r>
    </w:p>
  </w:footnote>
  <w:footnote w:id="3">
    <w:p>
      <w:pPr>
        <w:spacing w:after="60" w:line="240"/>
        <w:jc w:val="both"/>
      </w:pPr>
      <w:r>
        <w:rPr>
          <w:rStyle w:val="FootnoteReference"/>
        </w:rPr>
        <w:footnoteRef/>
      </w:r>
      <w:r>
        <w:rPr>
          <w:rFonts w:ascii="Times New Roman" w:cs="Times New Roman" w:eastAsia="Times New Roman" w:hAnsi="Times New Roman"/>
          <w:color w:val="000000"/>
          <w:sz w:val="20"/>
          <w:szCs w:val="20"/>
        </w:rPr>
        <w:t xml:space="preserve"> Soporte documental: Anexo 3 («03_PAGARE-PERSONA_NATURAL_FICTICIA_01-03-2023.pdf»), página 1.</w:t>
      </w:r>
    </w:p>
  </w:footnote>
  <w:footnote w:id="4">
    <w:p>
      <w:pPr>
        <w:spacing w:after="60" w:line="240"/>
        <w:jc w:val="both"/>
      </w:pPr>
      <w:r>
        <w:rPr>
          <w:rStyle w:val="FootnoteReference"/>
        </w:rPr>
        <w:footnoteRef/>
      </w:r>
      <w:r>
        <w:rPr>
          <w:rFonts w:ascii="Times New Roman" w:cs="Times New Roman" w:eastAsia="Times New Roman" w:hAnsi="Times New Roman"/>
          <w:color w:val="000000"/>
          <w:sz w:val="20"/>
          <w:szCs w:val="20"/>
        </w:rPr>
        <w:t xml:space="preserve"> Soporte documental: Anexo 4 («04_REQUERIMIENTO_DE_PAGO-PERSONA_NATURAL_FICTICIA_15-04-2024.pdf»), página 1.</w:t>
      </w:r>
    </w:p>
  </w:footnote>
  <w:footnote w:id="5">
    <w:p>
      <w:pPr>
        <w:spacing w:after="60" w:line="240"/>
        <w:jc w:val="both"/>
      </w:pPr>
      <w:r>
        <w:rPr>
          <w:rStyle w:val="FootnoteReference"/>
        </w:rPr>
        <w:footnoteRef/>
      </w:r>
      <w:r>
        <w:rPr>
          <w:rFonts w:ascii="Times New Roman" w:cs="Times New Roman" w:eastAsia="Times New Roman" w:hAnsi="Times New Roman"/>
          <w:color w:val="000000"/>
          <w:sz w:val="20"/>
          <w:szCs w:val="20"/>
        </w:rPr>
        <w:t xml:space="preserve"> Soporte documental: Anexo 5 («05_CERTIFICADO_EXISTENCIA-SOCIEDAD_FICTICIA_UNO_S_A_S_01-09-2026.pdf»), página 1.</w:t>
      </w:r>
    </w:p>
  </w:footnote>
  <w:footnote w:id="6">
    <w:p>
      <w:pPr>
        <w:spacing w:after="60" w:line="240"/>
        <w:jc w:val="both"/>
      </w:pPr>
      <w:r>
        <w:rPr>
          <w:rStyle w:val="FootnoteReference"/>
        </w:rPr>
        <w:footnoteRef/>
      </w:r>
      <w:r>
        <w:rPr>
          <w:rFonts w:ascii="Times New Roman" w:cs="Times New Roman" w:eastAsia="Times New Roman" w:hAnsi="Times New Roman"/>
          <w:color w:val="000000"/>
          <w:sz w:val="20"/>
          <w:szCs w:val="20"/>
        </w:rPr>
        <w:t xml:space="preserve"> Soporte documental: Anexo 1 («01_RELATO_CLIENTE-SOCIEDAD_FICTICIA_UNO_S_A_S_02-09-2026.pdf»), página 1.</w:t>
      </w:r>
    </w:p>
  </w:footnote>
  <w:footnote w:id="7">
    <w:p>
      <w:pPr>
        <w:spacing w:after="60" w:line="240"/>
        <w:jc w:val="both"/>
      </w:pPr>
      <w:r>
        <w:rPr>
          <w:rStyle w:val="FootnoteReference"/>
        </w:rPr>
        <w:footnoteRef/>
      </w:r>
      <w:r>
        <w:rPr>
          <w:rFonts w:ascii="Times New Roman" w:cs="Times New Roman" w:eastAsia="Times New Roman" w:hAnsi="Times New Roman"/>
          <w:color w:val="000000"/>
          <w:sz w:val="20"/>
          <w:szCs w:val="20"/>
        </w:rPr>
        <w:t xml:space="preserve"> Soporte documental: Anexo 2 («02_PODER-PERSONA_FICTICIA_DOS_03-09-2026.pdf»), página 1.</w:t>
      </w:r>
    </w:p>
  </w:footnote>
  <w:footnote w:id="8">
    <w:p>
      <w:pPr>
        <w:spacing w:after="0" w:line="240"/>
        <w:jc w:val="both"/>
      </w:pPr>
      <w:r>
        <w:rPr>
          <w:rStyle w:val="FootnoteReference"/>
        </w:rPr>
        <w:footnoteRef/>
      </w:r>
      <w:r>
        <w:rPr>
          <w:rFonts w:ascii="Times New Roman" w:cs="Times New Roman" w:eastAsia="Times New Roman" w:hAnsi="Times New Roman"/>
          <w:color w:val="000000"/>
          <w:sz w:val="20"/>
          <w:szCs w:val="20"/>
        </w:rPr>
        <w:t xml:space="preserve"> Cita textual cotejada literalmente con Congreso de la República / Gobierno Nacional, Ley 1564 de 2012, art. 422. Verificación: texto obtenido de la fuente oficial. Vigencia: vigente.</w:t>
      </w:r>
    </w:p>
    <w:p>
      <w:pPr>
        <w:spacing w:after="60" w:line="240"/>
        <w:jc w:val="left"/>
      </w:pPr>
      <w:r>
        <w:rPr>
          <w:rFonts w:ascii="Times New Roman" w:cs="Times New Roman" w:eastAsia="Times New Roman" w:hAnsi="Times New Roman"/>
          <w:color w:val="000000"/>
          <w:sz w:val="20"/>
          <w:szCs w:val="20"/>
        </w:rPr>
        <w:t xml:space="preserve">Consultado el 26 de septiembre de 2026 en http://www.secretariasenado.gov.co/senado/basedoc/ley_1564_2012.html</w:t>
      </w:r>
    </w:p>
  </w:footnote>
  <w:footnote w:id="9">
    <w:p>
      <w:pPr>
        <w:spacing w:after="0" w:line="240"/>
        <w:jc w:val="both"/>
      </w:pPr>
      <w:r>
        <w:rPr>
          <w:rStyle w:val="FootnoteReference"/>
        </w:rPr>
        <w:footnoteRef/>
      </w:r>
      <w:r>
        <w:rPr>
          <w:rFonts w:ascii="Times New Roman" w:cs="Times New Roman" w:eastAsia="Times New Roman" w:hAnsi="Times New Roman"/>
          <w:color w:val="000000"/>
          <w:sz w:val="20"/>
          <w:szCs w:val="20"/>
        </w:rPr>
        <w:t xml:space="preserve"> Congreso de la República / Gobierno Nacional, Ley 1564 de 2012, art. 422. Verificación: texto obtenido de la fuente oficial. Vigencia: vigente.</w:t>
      </w:r>
    </w:p>
    <w:p>
      <w:pPr>
        <w:spacing w:after="60" w:line="240"/>
        <w:jc w:val="left"/>
      </w:pPr>
      <w:r>
        <w:rPr>
          <w:rFonts w:ascii="Times New Roman" w:cs="Times New Roman" w:eastAsia="Times New Roman" w:hAnsi="Times New Roman"/>
          <w:color w:val="000000"/>
          <w:sz w:val="20"/>
          <w:szCs w:val="20"/>
        </w:rPr>
        <w:t xml:space="preserve">Consultado el 26 de septiembre de 2026 en http://www.secretariasenado.gov.co/senado/basedoc/ley_1564_2012.html</w:t>
      </w:r>
    </w:p>
  </w:footnote>
  <w:footnote w:id="10">
    <w:p>
      <w:pPr>
        <w:spacing w:after="0" w:line="240"/>
        <w:jc w:val="both"/>
      </w:pPr>
      <w:r>
        <w:rPr>
          <w:rStyle w:val="FootnoteReference"/>
        </w:rPr>
        <w:footnoteRef/>
      </w:r>
      <w:r>
        <w:rPr>
          <w:rFonts w:ascii="Times New Roman" w:cs="Times New Roman" w:eastAsia="Times New Roman" w:hAnsi="Times New Roman"/>
          <w:color w:val="000000"/>
          <w:sz w:val="20"/>
          <w:szCs w:val="20"/>
        </w:rPr>
        <w:t xml:space="preserve"> Congreso de la República / Gobierno Nacional, Ley 1564 de 2012, art. 430. Verificación: texto obtenido de la fuente oficial. Vigencia: vigente.</w:t>
      </w:r>
    </w:p>
    <w:p>
      <w:pPr>
        <w:spacing w:after="60" w:line="240"/>
        <w:jc w:val="left"/>
      </w:pPr>
      <w:r>
        <w:rPr>
          <w:rFonts w:ascii="Times New Roman" w:cs="Times New Roman" w:eastAsia="Times New Roman" w:hAnsi="Times New Roman"/>
          <w:color w:val="000000"/>
          <w:sz w:val="20"/>
          <w:szCs w:val="20"/>
        </w:rPr>
        <w:t xml:space="preserve">Consultado el 26 de septiembre de 2026 en http://www.secretariasenado.gov.co/senado/basedoc/ley_1564_2012.html</w:t>
      </w:r>
    </w:p>
  </w:footnote>
  <w:footnote w:id="11">
    <w:p>
      <w:pPr>
        <w:spacing w:after="0" w:line="240"/>
        <w:jc w:val="both"/>
      </w:pPr>
      <w:r>
        <w:rPr>
          <w:rStyle w:val="FootnoteReference"/>
        </w:rPr>
        <w:footnoteRef/>
      </w:r>
      <w:r>
        <w:rPr>
          <w:rFonts w:ascii="Times New Roman" w:cs="Times New Roman" w:eastAsia="Times New Roman" w:hAnsi="Times New Roman"/>
          <w:color w:val="000000"/>
          <w:sz w:val="20"/>
          <w:szCs w:val="20"/>
        </w:rPr>
        <w:t xml:space="preserve"> Congreso de la República, Código de Comercio, art. 621. Verificación: texto obtenido de la fuente oficial. Vigencia: vigente.</w:t>
      </w:r>
    </w:p>
    <w:p>
      <w:pPr>
        <w:spacing w:after="60" w:line="240"/>
        <w:jc w:val="left"/>
      </w:pPr>
      <w:r>
        <w:rPr>
          <w:rFonts w:ascii="Times New Roman" w:cs="Times New Roman" w:eastAsia="Times New Roman" w:hAnsi="Times New Roman"/>
          <w:color w:val="000000"/>
          <w:sz w:val="20"/>
          <w:szCs w:val="20"/>
        </w:rPr>
        <w:t xml:space="preserve">Consultado el 26 de septiembre de 2026 en http://www.secretariasenado.gov.co/senado/basedoc/codigo_comercio.html</w:t>
      </w:r>
    </w:p>
  </w:footnote>
  <w:footnote w:id="12">
    <w:p>
      <w:pPr>
        <w:spacing w:after="0" w:line="240"/>
        <w:jc w:val="both"/>
      </w:pPr>
      <w:r>
        <w:rPr>
          <w:rStyle w:val="FootnoteReference"/>
        </w:rPr>
        <w:footnoteRef/>
      </w:r>
      <w:r>
        <w:rPr>
          <w:rFonts w:ascii="Times New Roman" w:cs="Times New Roman" w:eastAsia="Times New Roman" w:hAnsi="Times New Roman"/>
          <w:color w:val="000000"/>
          <w:sz w:val="20"/>
          <w:szCs w:val="20"/>
        </w:rPr>
        <w:t xml:space="preserve"> Congreso de la República, Código de Comercio, art. 709. Verificación: texto obtenido de la fuente oficial. Vigencia: vigente.</w:t>
      </w:r>
    </w:p>
    <w:p>
      <w:pPr>
        <w:spacing w:after="60" w:line="240"/>
        <w:jc w:val="left"/>
      </w:pPr>
      <w:r>
        <w:rPr>
          <w:rFonts w:ascii="Times New Roman" w:cs="Times New Roman" w:eastAsia="Times New Roman" w:hAnsi="Times New Roman"/>
          <w:color w:val="000000"/>
          <w:sz w:val="20"/>
          <w:szCs w:val="20"/>
        </w:rPr>
        <w:t xml:space="preserve">Consultado el 26 de septiembre de 2026 en http://www.secretariasenado.gov.co/senado/basedoc/codigo_comercio.html</w:t>
      </w:r>
    </w:p>
  </w:footnote>
  <w:footnote w:id="13">
    <w:p>
      <w:pPr>
        <w:spacing w:after="0" w:line="240"/>
        <w:jc w:val="both"/>
      </w:pPr>
      <w:r>
        <w:rPr>
          <w:rStyle w:val="FootnoteReference"/>
        </w:rPr>
        <w:footnoteRef/>
      </w:r>
      <w:r>
        <w:rPr>
          <w:rFonts w:ascii="Times New Roman" w:cs="Times New Roman" w:eastAsia="Times New Roman" w:hAnsi="Times New Roman"/>
          <w:color w:val="000000"/>
          <w:sz w:val="20"/>
          <w:szCs w:val="20"/>
        </w:rPr>
        <w:t xml:space="preserve"> Congreso de la República, Código de Comercio, art. 789. Verificación: texto obtenido de la fuente oficial. Vigencia: vigente.</w:t>
      </w:r>
    </w:p>
    <w:p>
      <w:pPr>
        <w:spacing w:after="60" w:line="240"/>
        <w:jc w:val="left"/>
      </w:pPr>
      <w:r>
        <w:rPr>
          <w:rFonts w:ascii="Times New Roman" w:cs="Times New Roman" w:eastAsia="Times New Roman" w:hAnsi="Times New Roman"/>
          <w:color w:val="000000"/>
          <w:sz w:val="20"/>
          <w:szCs w:val="20"/>
        </w:rPr>
        <w:t xml:space="preserve">Consultado el 26 de septiembre de 2026 en http://www.secretariasenado.gov.co/senado/basedoc/codigo_comercio.html</w:t>
      </w:r>
    </w:p>
  </w:footnote>
  <w:footnote w:id="14">
    <w:p>
      <w:pPr>
        <w:spacing w:after="0" w:line="240"/>
        <w:jc w:val="both"/>
      </w:pPr>
      <w:r>
        <w:rPr>
          <w:rStyle w:val="FootnoteReference"/>
        </w:rPr>
        <w:footnoteRef/>
      </w:r>
      <w:r>
        <w:rPr>
          <w:rFonts w:ascii="Times New Roman" w:cs="Times New Roman" w:eastAsia="Times New Roman" w:hAnsi="Times New Roman"/>
          <w:color w:val="000000"/>
          <w:sz w:val="20"/>
          <w:szCs w:val="20"/>
        </w:rPr>
        <w:t xml:space="preserve"> Congreso de la República / Gobierno Nacional, Ley 1564 de 2012, art. 422. Verificación: texto obtenido de la fuente oficial. Vigencia: vigente.</w:t>
      </w:r>
    </w:p>
    <w:p>
      <w:pPr>
        <w:spacing w:after="60" w:line="240"/>
        <w:jc w:val="left"/>
      </w:pPr>
      <w:r>
        <w:rPr>
          <w:rFonts w:ascii="Times New Roman" w:cs="Times New Roman" w:eastAsia="Times New Roman" w:hAnsi="Times New Roman"/>
          <w:color w:val="000000"/>
          <w:sz w:val="20"/>
          <w:szCs w:val="20"/>
        </w:rPr>
        <w:t xml:space="preserve">Consultado el 26 de septiembre de 2026 en http://www.secretariasenado.gov.co/senado/basedoc/ley_1564_2012.html</w:t>
      </w:r>
    </w:p>
  </w:footnote>
  <w:footnote w:id="15">
    <w:p>
      <w:pPr>
        <w:spacing w:after="60" w:line="240"/>
        <w:jc w:val="both"/>
      </w:pPr>
      <w:r>
        <w:rPr>
          <w:rStyle w:val="FootnoteReference"/>
        </w:rPr>
        <w:footnoteRef/>
      </w:r>
      <w:r>
        <w:rPr>
          <w:rFonts w:ascii="Times New Roman" w:cs="Times New Roman" w:eastAsia="Times New Roman" w:hAnsi="Times New Roman"/>
          <w:color w:val="000000"/>
          <w:sz w:val="20"/>
          <w:szCs w:val="20"/>
        </w:rPr>
        <w:t xml:space="preserve"> Soporte documental: Anexo 3 («03_PAGARE-PERSONA_NATURAL_FICTICIA_01-03-2023.pdf»), página 1.</w:t>
      </w:r>
    </w:p>
  </w:footnote>
  <w:footnote w:id="16">
    <w:p>
      <w:pPr>
        <w:spacing w:after="0" w:line="240"/>
        <w:jc w:val="both"/>
      </w:pPr>
      <w:r>
        <w:rPr>
          <w:rStyle w:val="FootnoteReference"/>
        </w:rPr>
        <w:footnoteRef/>
      </w:r>
      <w:r>
        <w:rPr>
          <w:rFonts w:ascii="Times New Roman" w:cs="Times New Roman" w:eastAsia="Times New Roman" w:hAnsi="Times New Roman"/>
          <w:color w:val="000000"/>
          <w:sz w:val="20"/>
          <w:szCs w:val="20"/>
        </w:rPr>
        <w:t xml:space="preserve"> Congreso de la República, Código de Comercio, art. 789. Verificación: texto obtenido de la fuente oficial. Vigencia: vigente.</w:t>
      </w:r>
    </w:p>
    <w:p>
      <w:pPr>
        <w:spacing w:after="60" w:line="240"/>
        <w:jc w:val="left"/>
      </w:pPr>
      <w:r>
        <w:rPr>
          <w:rFonts w:ascii="Times New Roman" w:cs="Times New Roman" w:eastAsia="Times New Roman" w:hAnsi="Times New Roman"/>
          <w:color w:val="000000"/>
          <w:sz w:val="20"/>
          <w:szCs w:val="20"/>
        </w:rPr>
        <w:t xml:space="preserve">Consultado el 26 de septiembre de 2026 en http://www.secretariasenado.gov.co/senado/basedoc/codigo_comercio.html</w:t>
      </w:r>
    </w:p>
  </w:footnote>
  <w:footnote w:id="17">
    <w:p>
      <w:pPr>
        <w:spacing w:after="60" w:line="240"/>
        <w:jc w:val="both"/>
      </w:pPr>
      <w:r>
        <w:rPr>
          <w:rStyle w:val="FootnoteReference"/>
        </w:rPr>
        <w:footnoteRef/>
      </w:r>
      <w:r>
        <w:rPr>
          <w:rFonts w:ascii="Times New Roman" w:cs="Times New Roman" w:eastAsia="Times New Roman" w:hAnsi="Times New Roman"/>
          <w:color w:val="000000"/>
          <w:sz w:val="20"/>
          <w:szCs w:val="20"/>
        </w:rPr>
        <w:t xml:space="preserve"> Soporte documental: Anexo 3 («03_PAGARE-PERSONA_NATURAL_FICTICIA_01-03-2023.pdf»), página 1.</w:t>
      </w:r>
    </w:p>
  </w:footnote>
  <w:footnote w:id="18">
    <w:p>
      <w:pPr>
        <w:spacing w:after="60" w:line="240"/>
        <w:jc w:val="both"/>
      </w:pPr>
      <w:r>
        <w:rPr>
          <w:rStyle w:val="FootnoteReference"/>
        </w:rPr>
        <w:footnoteRef/>
      </w:r>
      <w:r>
        <w:rPr>
          <w:rFonts w:ascii="Times New Roman" w:cs="Times New Roman" w:eastAsia="Times New Roman" w:hAnsi="Times New Roman"/>
          <w:color w:val="000000"/>
          <w:sz w:val="20"/>
          <w:szCs w:val="20"/>
        </w:rPr>
        <w:t xml:space="preserve"> Código de Comercio, art. 789. Verificación de la norma: PENDIENTE de verificación en fuente oficial. Fecha inicial tomada de: Pagaré No. DEMO-001, fecha de vencimiento (arc_bf580dfeeb55499b8fd1#p1). Término con verificación PENDIENTE de verificación en fuente oficial: confirmar en fuente oficial antes de radicar con base en él. La prescripción debe alegarse; no se declara de oficio (art. 282 CGP). Verificar interrupción y suspensión. Si la fecha de pago coincide con la de creación, el título nace vencido y el término corre desde esa fecha. Fecha inicial extraída automáticamente: debe confirmarla el ABOGADO (USUARIO) antes de sustentar una actuación.</w:t>
      </w:r>
    </w:p>
  </w:footnote>
  <w:footnote w:id="19">
    <w:p>
      <w:pPr>
        <w:spacing w:after="0" w:line="240"/>
        <w:jc w:val="both"/>
      </w:pPr>
      <w:r>
        <w:rPr>
          <w:rStyle w:val="FootnoteReference"/>
        </w:rPr>
        <w:footnoteRef/>
      </w:r>
      <w:r>
        <w:rPr>
          <w:rFonts w:ascii="Times New Roman" w:cs="Times New Roman" w:eastAsia="Times New Roman" w:hAnsi="Times New Roman"/>
          <w:color w:val="000000"/>
          <w:sz w:val="20"/>
          <w:szCs w:val="20"/>
        </w:rPr>
        <w:t xml:space="preserve"> Congreso de la República / Gobierno Nacional, Ley 1564 de 2012, art. 422. Verificación: texto obtenido de la fuente oficial. Vigencia: vigente.</w:t>
      </w:r>
    </w:p>
    <w:p>
      <w:pPr>
        <w:spacing w:after="60" w:line="240"/>
        <w:jc w:val="left"/>
      </w:pPr>
      <w:r>
        <w:rPr>
          <w:rFonts w:ascii="Times New Roman" w:cs="Times New Roman" w:eastAsia="Times New Roman" w:hAnsi="Times New Roman"/>
          <w:color w:val="000000"/>
          <w:sz w:val="20"/>
          <w:szCs w:val="20"/>
        </w:rPr>
        <w:t xml:space="preserve">Consultado el 26 de septiembre de 2026 en http://www.secretariasenado.gov.co/senado/basedoc/ley_1564_2012.html</w:t>
      </w:r>
    </w:p>
  </w:footnote>
  <w:footnote w:id="20">
    <w:p>
      <w:pPr>
        <w:spacing w:after="0" w:line="240"/>
        <w:jc w:val="both"/>
      </w:pPr>
      <w:r>
        <w:rPr>
          <w:rStyle w:val="FootnoteReference"/>
        </w:rPr>
        <w:footnoteRef/>
      </w:r>
      <w:r>
        <w:rPr>
          <w:rFonts w:ascii="Times New Roman" w:cs="Times New Roman" w:eastAsia="Times New Roman" w:hAnsi="Times New Roman"/>
          <w:color w:val="000000"/>
          <w:sz w:val="20"/>
          <w:szCs w:val="20"/>
        </w:rPr>
        <w:t xml:space="preserve"> Congreso de la República, Código de Comercio, art. 789. Verificación: texto obtenido de la fuente oficial. Vigencia: vigente.</w:t>
      </w:r>
    </w:p>
    <w:p>
      <w:pPr>
        <w:spacing w:after="60" w:line="240"/>
        <w:jc w:val="left"/>
      </w:pPr>
      <w:r>
        <w:rPr>
          <w:rFonts w:ascii="Times New Roman" w:cs="Times New Roman" w:eastAsia="Times New Roman" w:hAnsi="Times New Roman"/>
          <w:color w:val="000000"/>
          <w:sz w:val="20"/>
          <w:szCs w:val="20"/>
        </w:rPr>
        <w:t xml:space="preserve">Consultado el 26 de septiembre de 2026 en http://www.secretariasenado.gov.co/senado/basedoc/codigo_comercio.html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Times New Roman" w:cs="Times New Roman" w:eastAsia="Times New Roman" w:hAnsi="Times New Roman"/>
        <w:color w:val="000000"/>
        <w:sz w:val="18"/>
        <w:szCs w:val="18"/>
      </w:rPr>
      <w:t xml:space="preserve">EXPEDIENTE MALEABLE · INFORME TÉCNICO · DERECHO COMERCIAL · 26 DE SEPTIEMBRE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36"/>
      </w:pPr>
    </w:pPrDefault>
  </w:docDefaults>
  <w:style w:type="paragraph" w:styleId="Title">
    <w:name w:val="Title"/>
    <w:basedOn w:val="Normal"/>
    <w:next w:val="Normal"/>
    <w:qFormat/>
    <w:pPr>
      <w:jc w:val="center"/>
    </w:pPr>
    <w:rPr>
      <w:rFonts w:ascii="Times New Roman" w:cs="Times New Roman" w:eastAsia="Times New Roman" w:hAnsi="Times New Roman"/>
      <w:b/>
      <w:bCs/>
      <w:color w:val="000000"/>
      <w:sz w:val="34"/>
      <w:szCs w:val="34"/>
    </w:rPr>
  </w:style>
  <w:style w:type="paragraph" w:styleId="Heading1">
    <w:name w:val="Heading 1"/>
    <w:basedOn w:val="Normal"/>
    <w:next w:val="Normal"/>
    <w:qFormat/>
    <w:pPr>
      <w:keepNext/>
      <w:spacing w:after="32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keepNext/>
      <w:spacing w:after="180" w:before="40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160" w:before="380"/>
      <w:outlineLvl w:val="2"/>
    </w:pPr>
    <w:rPr>
      <w:rFonts w:ascii="Times New Roman" w:cs="Times New Roman" w:eastAsia="Times New Roman" w:hAnsi="Times New Roman"/>
      <w:b/>
      <w:bCs/>
      <w:color w:val="000000"/>
      <w:sz w:val="24"/>
      <w:szCs w:val="24"/>
    </w:rPr>
  </w:style>
  <w:style w:type="paragraph" w:styleId="Heading4">
    <w:name w:val="Heading 4"/>
    <w:basedOn w:val="Normal"/>
    <w:next w:val="Normal"/>
    <w:qFormat/>
    <w:pPr>
      <w:keepNext/>
      <w:spacing w:after="120" w:before="240"/>
      <w:outlineLvl w:val="3"/>
    </w:pPr>
    <w:rPr>
      <w:rFonts w:ascii="Times New Roman" w:cs="Times New Roman" w:eastAsia="Times New Roman" w:hAnsi="Times New Roman"/>
      <w:b/>
      <w:bCs/>
      <w:color w:val="000000"/>
      <w:sz w:val="24"/>
      <w:szCs w:val="24"/>
    </w:rPr>
  </w:style>
  <w:style w:type="paragraph" w:styleId="Heading5">
    <w:name w:val="Heading 5"/>
    <w:basedOn w:val="Normal"/>
    <w:next w:val="Normal"/>
    <w:qFormat/>
    <w:pPr>
      <w:keepNext/>
      <w:spacing w:after="120" w:before="240"/>
      <w:outlineLvl w:val="4"/>
    </w:pPr>
    <w:rPr>
      <w:rFonts w:ascii="Times New Roman" w:cs="Times New Roman" w:eastAsia="Times New Roman" w:hAnsi="Times New Roman"/>
      <w:b/>
      <w:bCs/>
      <w:color w:val="000000"/>
      <w:sz w:val="24"/>
      <w:szCs w:val="24"/>
    </w:rPr>
  </w:style>
  <w:style w:type="paragraph" w:styleId="Heading6">
    <w:name w:val="Heading 6"/>
    <w:basedOn w:val="Normal"/>
    <w:next w:val="Normal"/>
    <w:qFormat/>
    <w:pPr>
      <w:keepNext/>
      <w:spacing w:after="120" w:before="240"/>
      <w:outlineLvl w:val="5"/>
    </w:pPr>
    <w:rPr>
      <w:rFonts w:ascii="Times New Roman" w:cs="Times New Roman" w:eastAsia="Times New Roman" w:hAnsi="Times New Roman"/>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rFonts w:ascii="Times New Roman" w:cs="Times New Roman" w:eastAsia="Times New Roman" w:hAnsi="Times New Roman"/>
      <w:color w:val="00000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pPr>
    <w:rPr>
      <w:rFonts w:ascii="Times New Roman" w:cs="Times New Roman" w:eastAsia="Times New Roman" w:hAnsi="Times New Roman"/>
      <w:color w:val="000000"/>
      <w:sz w:val="20"/>
      <w:szCs w:val="20"/>
    </w:rPr>
  </w:style>
  <w:style w:type="character" w:styleId="FootnoteTextChar">
    <w:name w:val="Footnote Text Char"/>
    <w:basedOn w:val="DefaultParagraphFont"/>
    <w:link w:val="FootnoteText"/>
    <w:uiPriority w:val="99"/>
    <w:semiHidden/>
    <w:unhideWhenUsed/>
    <w:rPr>
      <w:rFonts w:ascii="Times New Roman" w:cs="Times New Roman" w:eastAsia="Times New Roman" w:hAnsi="Times New Roman"/>
      <w:color w:val="000000"/>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pPr>
    <w:rPr>
      <w:rFonts w:ascii="Times New Roman" w:cs="Times New Roman" w:eastAsia="Times New Roman" w:hAnsi="Times New Roman"/>
      <w:color w:val="000000"/>
      <w:sz w:val="20"/>
      <w:szCs w:val="20"/>
    </w:rPr>
  </w:style>
  <w:style w:type="character" w:styleId="EndnoteTextChar">
    <w:name w:val="Endnote Text Char"/>
    <w:basedOn w:val="DefaultParagraphFont"/>
    <w:link w:val="EndnoteText"/>
    <w:uiPriority w:val="99"/>
    <w:semiHidden/>
    <w:unhideWhenUsed/>
    <w:rPr>
      <w:rFonts w:ascii="Times New Roman" w:cs="Times New Roman" w:eastAsia="Times New Roman" w:hAnsi="Times New Roman"/>
      <w:color w:val="000000"/>
      <w:sz w:val="20"/>
      <w:szCs w:val="20"/>
    </w:rPr>
  </w:style>
  <w:style w:type="paragraph" w:styleId="TOC1">
    <w:name w:val="toc 1"/>
    <w:basedOn w:val="Normal"/>
    <w:next w:val="Normal"/>
    <w:pPr>
      <w:spacing w:after="60" w:before="120"/>
    </w:pPr>
    <w:rPr>
      <w:rFonts w:ascii="Times New Roman" w:cs="Times New Roman" w:eastAsia="Times New Roman" w:hAnsi="Times New Roman"/>
      <w:b/>
      <w:bCs/>
      <w:color w:val="000000"/>
    </w:rPr>
  </w:style>
  <w:style w:type="paragraph" w:styleId="TOC2">
    <w:name w:val="toc 2"/>
    <w:basedOn w:val="Normal"/>
    <w:next w:val="Normal"/>
    <w:pPr>
      <w:ind w:left="240"/>
    </w:pPr>
    <w:rPr>
      <w:rFonts w:ascii="Times New Roman" w:cs="Times New Roman" w:eastAsia="Times New Roman" w:hAnsi="Times New Roman"/>
      <w:color w:val="000000"/>
      <w:sz w:val="23"/>
      <w:szCs w:val="23"/>
    </w:rPr>
  </w:style>
  <w:style w:type="paragraph" w:styleId="TOC3">
    <w:name w:val="toc 3"/>
    <w:basedOn w:val="Normal"/>
    <w:next w:val="Normal"/>
    <w:pPr>
      <w:ind w:left="480"/>
    </w:pPr>
    <w:rPr>
      <w:rFonts w:ascii="Times New Roman" w:cs="Times New Roman" w:eastAsia="Times New Roman" w:hAnsi="Times New Roman"/>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Cobro ejecutivo de un pagaré vencido: mérito ejecutivo, prescripción y ruta procesal</dc:title>
  <dc:subject>Derecho comercial: Proceso ejecutivo singular por título valor</dc:subject>
  <dc:creator>Josué Ricardo Rojas Silva</dc:creator>
  <cp:keywords>proceso ejecutivo; pagaré; título valor; prescripción cambiaria; medidas cautelares; trazabilidad</cp:keywords>
  <dc:description>La SOCIEDAD FICTICIA UNO S.A.S. busca el cobro judicial del pagaré No. DEMO-001 por $10.000.000, vencido el 1 de marzo de 2024 y no pagado por la PERSONA NATURAL FICTICIA. El informe reconstruye los hechos con su soporte documental, verifica cada nor</dc:description>
  <cp:lastModifiedBy>Un-named</cp:lastModifiedBy>
  <cp:revision>1</cp:revision>
  <dcterms:created xsi:type="dcterms:W3CDTF">2026-09-26T18:49:26.503Z</dcterms:created>
  <dcterms:modified xsi:type="dcterms:W3CDTF">2026-09-26T18:49:26.503Z</dcterms:modified>
</cp:coreProperties>
</file>

<file path=docProps/custom.xml><?xml version="1.0" encoding="utf-8"?>
<Properties xmlns="http://schemas.openxmlformats.org/officeDocument/2006/custom-properties" xmlns:vt="http://schemas.openxmlformats.org/officeDocument/2006/docPropsVTypes"/>
</file>