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0"/>
        <w:jc w:val="center"/>
      </w:pPr>
      <w:r>
        <w:rPr>
          <w:b/>
          <w:i w:val="0"/>
          <w:color w:val="1F2A44"/>
          <w:sz w:val="60"/>
        </w:rPr>
        <w:t>Theological Review</w:t>
      </w:r>
    </w:p>
    <w:p>
      <w:pPr>
        <w:spacing w:after="360"/>
        <w:jc w:val="center"/>
      </w:pPr>
      <w:r>
        <w:rPr>
          <w:b w:val="0"/>
          <w:i w:val="0"/>
          <w:color w:val="9B7228"/>
          <w:sz w:val="30"/>
        </w:rPr>
        <w:t>Lake City Church — Sermon Series Analysis</w:t>
      </w:r>
    </w:p>
    <w:p>
      <w:pPr>
        <w:spacing w:after="40"/>
        <w:jc w:val="center"/>
      </w:pPr>
      <w:r>
        <w:rPr>
          <w:b w:val="0"/>
          <w:i/>
          <w:color w:val="555555"/>
          <w:sz w:val="26"/>
        </w:rPr>
        <w:t>The “Sowing and Reaping” Series</w:t>
      </w:r>
    </w:p>
    <w:p>
      <w:pPr>
        <w:spacing w:after="480"/>
        <w:jc w:val="center"/>
      </w:pPr>
      <w:r>
        <w:rPr>
          <w:b w:val="0"/>
          <w:i/>
          <w:color w:val="555555"/>
          <w:sz w:val="22"/>
        </w:rPr>
        <w:t>with the “Trusting in Tough Times” finale for comparison</w:t>
      </w:r>
    </w:p>
    <w:p>
      <w:pPr>
        <w:spacing w:after="40"/>
        <w:jc w:val="center"/>
      </w:pPr>
      <w:r>
        <w:rPr>
          <w:b w:val="0"/>
          <w:i w:val="0"/>
          <w:color w:val="555555"/>
        </w:rPr>
        <w:t>Lake City Church — Mooresville, North Carolina</w:t>
      </w:r>
    </w:p>
    <w:p>
      <w:pPr>
        <w:spacing w:after="40"/>
        <w:jc w:val="center"/>
      </w:pPr>
      <w:r>
        <w:rPr>
          <w:b w:val="0"/>
          <w:i w:val="0"/>
          <w:color w:val="555555"/>
        </w:rPr>
        <w:t>Teaching pastors: Pastor Rob (Robert) &amp; Diana</w:t>
      </w:r>
    </w:p>
    <w:p>
      <w:pPr>
        <w:spacing w:after="40"/>
        <w:jc w:val="center"/>
      </w:pPr>
      <w:r>
        <w:rPr>
          <w:b w:val="0"/>
          <w:i w:val="0"/>
          <w:color w:val="555555"/>
        </w:rPr>
        <w:t>Measured against Scripture, the Ecumenical Creeds, and the Reformation Confessions</w:t>
      </w:r>
    </w:p>
    <w:p>
      <w:pPr>
        <w:spacing w:after="600"/>
        <w:jc w:val="center"/>
      </w:pPr>
      <w:r>
        <w:rPr>
          <w:b w:val="0"/>
          <w:i w:val="0"/>
          <w:color w:val="555555"/>
        </w:rPr>
        <w:t>Prepared for Josue Zuniga · June 5, 2026</w:t>
      </w:r>
    </w:p>
    <w:p>
      <w:pPr>
        <w:pStyle w:val="Heading1"/>
      </w:pPr>
      <w:r>
        <w:t>How to Read This Review</w:t>
      </w:r>
    </w:p>
    <w:p>
      <w:pPr>
        <w:spacing w:after="160"/>
      </w:pPr>
      <w:r>
        <w:rPr>
          <w:b w:val="0"/>
          <w:i w:val="0"/>
        </w:rPr>
        <w:t>Each sermon is assessed on two independent axes, because soundness and inspiration are not the same thing.</w:t>
      </w:r>
    </w:p>
    <w:p>
      <w:pPr>
        <w:spacing w:after="120"/>
      </w:pPr>
      <w:r>
        <w:rPr>
          <w:b/>
          <w:color w:val="1F2A44"/>
        </w:rPr>
        <w:t xml:space="preserve">1. Doctrine — </w:t>
      </w:r>
      <w:r>
        <w:t>Is it true? Right handling of Scripture and the real content of the gospel: God’s holiness, sin, Christ’s substitutionary atonement, grace, repentance, justification by faith. This drives the overall verdict.</w:t>
      </w:r>
    </w:p>
    <w:p>
      <w:pPr>
        <w:spacing w:after="120"/>
      </w:pPr>
      <w:r>
        <w:rPr>
          <w:b/>
          <w:color w:val="1F2A44"/>
        </w:rPr>
        <w:t xml:space="preserve">2. Depth — </w:t>
      </w:r>
      <w:r>
        <w:t>Even where nothing is heretical: is the cross actually preached, or only referenced? Is it gospel substance, or motivational uplift and self-improvement decorated with verses? A warm, energizing tone earns no doctrinal credit.</w:t>
      </w:r>
    </w:p>
    <w:p>
      <w:pPr>
        <w:spacing w:after="80" w:before="120"/>
      </w:pPr>
      <w:r>
        <w:rPr>
          <w:b/>
          <w:i w:val="0"/>
        </w:rPr>
        <w:t>Per-claim labels used throughout:</w:t>
      </w:r>
    </w:p>
    <w:p>
      <w:pPr>
        <w:pStyle w:val="ListBullet"/>
      </w:pPr>
      <w:r>
        <w:rPr>
          <w:b/>
          <w:i w:val="0"/>
          <w:color w:val="2E6B2E"/>
        </w:rPr>
        <w:t>ALIGNED</w:t>
      </w:r>
      <w:r>
        <w:rPr>
          <w:b w:val="0"/>
          <w:i w:val="0"/>
        </w:rPr>
        <w:t xml:space="preserve"> — sound; rightly handles Scripture.</w:t>
      </w:r>
    </w:p>
    <w:p>
      <w:pPr>
        <w:pStyle w:val="ListBullet"/>
      </w:pPr>
      <w:r>
        <w:rPr>
          <w:b/>
          <w:i w:val="0"/>
          <w:color w:val="B56A00"/>
        </w:rPr>
        <w:t>CAUTION</w:t>
      </w:r>
      <w:r>
        <w:rPr>
          <w:b w:val="0"/>
          <w:i w:val="0"/>
        </w:rPr>
        <w:t xml:space="preserve"> — worth watching; loose, imprecise, or drifting, but not heresy.</w:t>
      </w:r>
    </w:p>
    <w:p>
      <w:pPr>
        <w:pStyle w:val="ListBullet"/>
      </w:pPr>
      <w:r>
        <w:rPr>
          <w:b/>
          <w:i w:val="0"/>
          <w:color w:val="A41E1E"/>
        </w:rPr>
        <w:t>RED FLAG</w:t>
      </w:r>
      <w:r>
        <w:rPr>
          <w:b w:val="0"/>
          <w:i w:val="0"/>
        </w:rPr>
        <w:t xml:space="preserve"> — a clear contradiction of Scripture or historic orthodoxy.</w:t>
      </w:r>
    </w:p>
    <w:p>
      <w:pPr>
        <w:spacing w:after="40" w:before="120"/>
      </w:pPr>
      <w:r>
        <w:rPr>
          <w:b/>
          <w:i w:val="0"/>
        </w:rPr>
        <w:t xml:space="preserve">Two limits of method, stated plainly: </w:t>
      </w:r>
    </w:p>
    <w:p>
      <w:pPr>
        <w:spacing w:after="160"/>
      </w:pPr>
      <w:r>
        <w:rPr>
          <w:b w:val="0"/>
          <w:i w:val="0"/>
        </w:rPr>
        <w:t>First, only what is actually said can be judged — a sermon may be silent on, say, the two natures of Christ without that silence being error. Second, timestamps are taken from the transcripts as provided.</w:t>
      </w:r>
    </w:p>
    <w:p>
      <w:pPr>
        <w:pStyle w:val="Heading1"/>
      </w:pPr>
      <w:r>
        <w:t>Executive Summary</w:t>
      </w:r>
    </w:p>
    <w:p>
      <w:pPr>
        <w:spacing w:after="160"/>
      </w:pPr>
      <w:r>
        <w:rPr>
          <w:b w:val="0"/>
          <w:i w:val="0"/>
        </w:rPr>
        <w:t>Across the six messages reviewed, the gospel itself — the cross, repentance, justification, and Holy Communion — is consistently orthodox. No Trinitarian or Christological heresy appears in any sermon. The recurring weaknesses are two, and they are worth naming precisely:</w:t>
      </w:r>
    </w:p>
    <w:p>
      <w:pPr>
        <w:spacing w:after="120"/>
      </w:pPr>
      <w:r>
        <w:rPr>
          <w:b/>
          <w:color w:val="1F2A44"/>
        </w:rPr>
        <w:t xml:space="preserve">The doctrinal soft spot is means-as-mechanism. </w:t>
      </w:r>
      <w:r>
        <w:t xml:space="preserve"> The “sowing and reaping” principle (Galatians 6:7) is repeatedly hardened into an “immutable spiritual law,” and faith, seed, fasting, disciplines, giving, and even relationships are each framed as a lever that obligates God to produce a result. At its worst — Week 5 — this becomes outright Word-of-Faith error.</w:t>
      </w:r>
    </w:p>
    <w:p>
      <w:pPr>
        <w:spacing w:after="120"/>
      </w:pPr>
      <w:r>
        <w:rPr>
          <w:b/>
          <w:color w:val="1F2A44"/>
        </w:rPr>
        <w:t xml:space="preserve">The depth problem is a “bolt-on gospel.” </w:t>
      </w:r>
      <w:r>
        <w:t xml:space="preserve"> Substitutionary atonement reliably appears in the closing communion prayer but rarely drives the sermon’s actual argument, which tends toward “do this and you will get that.” Several sermons are doctrinally orthodox yet thin — motivational exhortation rather than gospel proclamation.</w:t>
      </w:r>
    </w:p>
    <w:p>
      <w:pPr>
        <w:spacing w:after="80" w:before="160"/>
      </w:pPr>
      <w:r>
        <w:rPr>
          <w:b/>
          <w:i w:val="0"/>
        </w:rPr>
        <w:t>Series scoreboard (best to most concerning):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Sermon</w:t>
            </w:r>
          </w:p>
        </w:tc>
        <w:tc>
          <w:tcPr>
            <w:tcW w:type="dxa" w:w="1728"/>
          </w:tcPr>
          <w:p>
            <w:r/>
            <w:r>
              <w:rPr>
                <w:b/>
                <w:sz w:val="20"/>
              </w:rPr>
              <w:t>Doctrine</w:t>
            </w:r>
          </w:p>
        </w:tc>
        <w:tc>
          <w:tcPr>
            <w:tcW w:type="dxa" w:w="1728"/>
          </w:tcPr>
          <w:p>
            <w:r/>
            <w:r>
              <w:rPr>
                <w:b/>
                <w:sz w:val="20"/>
              </w:rPr>
              <w:t>Depth</w:t>
            </w:r>
          </w:p>
        </w:tc>
        <w:tc>
          <w:tcPr>
            <w:tcW w:type="dxa" w:w="1728"/>
          </w:tcPr>
          <w:p>
            <w:r/>
            <w:r>
              <w:rPr>
                <w:b/>
                <w:sz w:val="20"/>
              </w:rPr>
              <w:t>Red Flags</w:t>
            </w:r>
          </w:p>
        </w:tc>
        <w:tc>
          <w:tcPr>
            <w:tcW w:type="dxa" w:w="1728"/>
          </w:tcPr>
          <w:p>
            <w:r/>
            <w:r>
              <w:rPr>
                <w:b/>
                <w:sz w:val="20"/>
              </w:rPr>
              <w:t>Overall</w:t>
            </w:r>
          </w:p>
        </w:tc>
      </w:tr>
      <w:tr>
        <w:tc>
          <w:tcPr>
            <w:tcW w:type="dxa" w:w="1728"/>
          </w:tcPr>
          <w:p>
            <w:r/>
            <w:r>
              <w:rPr>
                <w:sz w:val="19"/>
              </w:rPr>
              <w:t>“Trusting God in Times of Mourning” (finale of prior series)</w:t>
            </w:r>
          </w:p>
        </w:tc>
        <w:tc>
          <w:tcPr>
            <w:tcW w:type="dxa" w:w="1728"/>
          </w:tcPr>
          <w:p>
            <w:r/>
            <w:r>
              <w:rPr>
                <w:sz w:val="19"/>
              </w:rPr>
              <w:t>Orthodox</w:t>
            </w:r>
          </w:p>
        </w:tc>
        <w:tc>
          <w:tcPr>
            <w:tcW w:type="dxa" w:w="1728"/>
          </w:tcPr>
          <w:p>
            <w:r/>
            <w:r>
              <w:rPr>
                <w:sz w:val="19"/>
              </w:rPr>
              <w:t>Substantive</w:t>
            </w:r>
          </w:p>
        </w:tc>
        <w:tc>
          <w:tcPr>
            <w:tcW w:type="dxa" w:w="1728"/>
          </w:tcPr>
          <w:p>
            <w:r/>
            <w:r>
              <w:rPr>
                <w:sz w:val="19"/>
              </w:rPr>
              <w:t>0</w:t>
            </w:r>
          </w:p>
        </w:tc>
        <w:tc>
          <w:tcPr>
            <w:tcW w:type="dxa" w:w="1728"/>
          </w:tcPr>
          <w:p>
            <w:r/>
            <w:r>
              <w:rPr>
                <w:b/>
                <w:color w:val="2E6B2E"/>
                <w:sz w:val="19"/>
              </w:rPr>
              <w:t>SOUND</w:t>
            </w:r>
          </w:p>
        </w:tc>
      </w:tr>
      <w:tr>
        <w:tc>
          <w:tcPr>
            <w:tcW w:type="dxa" w:w="1728"/>
          </w:tcPr>
          <w:p>
            <w:r/>
            <w:r>
              <w:rPr>
                <w:sz w:val="19"/>
              </w:rPr>
              <w:t>Week 3 — A Heart for God</w:t>
            </w:r>
          </w:p>
        </w:tc>
        <w:tc>
          <w:tcPr>
            <w:tcW w:type="dxa" w:w="1728"/>
          </w:tcPr>
          <w:p>
            <w:r/>
            <w:r>
              <w:rPr>
                <w:sz w:val="19"/>
              </w:rPr>
              <w:t>Orthodox</w:t>
            </w:r>
          </w:p>
        </w:tc>
        <w:tc>
          <w:tcPr>
            <w:tcW w:type="dxa" w:w="1728"/>
          </w:tcPr>
          <w:p>
            <w:r/>
            <w:r>
              <w:rPr>
                <w:sz w:val="19"/>
              </w:rPr>
              <w:t>Thin / moralistic</w:t>
            </w:r>
          </w:p>
        </w:tc>
        <w:tc>
          <w:tcPr>
            <w:tcW w:type="dxa" w:w="1728"/>
          </w:tcPr>
          <w:p>
            <w:r/>
            <w:r>
              <w:rPr>
                <w:sz w:val="19"/>
              </w:rPr>
              <w:t>0</w:t>
            </w:r>
          </w:p>
        </w:tc>
        <w:tc>
          <w:tcPr>
            <w:tcW w:type="dxa" w:w="1728"/>
          </w:tcPr>
          <w:p>
            <w:r/>
            <w:r>
              <w:rPr>
                <w:b/>
                <w:color w:val="555555"/>
                <w:sz w:val="19"/>
              </w:rPr>
              <w:t>Orthodox but thin</w:t>
            </w:r>
          </w:p>
        </w:tc>
      </w:tr>
      <w:tr>
        <w:tc>
          <w:tcPr>
            <w:tcW w:type="dxa" w:w="1728"/>
          </w:tcPr>
          <w:p>
            <w:r/>
            <w:r>
              <w:rPr>
                <w:sz w:val="19"/>
              </w:rPr>
              <w:t>Finale — Sowing Relationships</w:t>
            </w:r>
          </w:p>
        </w:tc>
        <w:tc>
          <w:tcPr>
            <w:tcW w:type="dxa" w:w="1728"/>
          </w:tcPr>
          <w:p>
            <w:r/>
            <w:r>
              <w:rPr>
                <w:sz w:val="19"/>
              </w:rPr>
              <w:t>Orthodox</w:t>
            </w:r>
          </w:p>
        </w:tc>
        <w:tc>
          <w:tcPr>
            <w:tcW w:type="dxa" w:w="1728"/>
          </w:tcPr>
          <w:p>
            <w:r/>
            <w:r>
              <w:rPr>
                <w:sz w:val="19"/>
              </w:rPr>
              <w:t>Thinnest / promotional</w:t>
            </w:r>
          </w:p>
        </w:tc>
        <w:tc>
          <w:tcPr>
            <w:tcW w:type="dxa" w:w="1728"/>
          </w:tcPr>
          <w:p>
            <w:r/>
            <w:r>
              <w:rPr>
                <w:sz w:val="19"/>
              </w:rPr>
              <w:t>0</w:t>
            </w:r>
          </w:p>
        </w:tc>
        <w:tc>
          <w:tcPr>
            <w:tcW w:type="dxa" w:w="1728"/>
          </w:tcPr>
          <w:p>
            <w:r/>
            <w:r>
              <w:rPr>
                <w:b/>
                <w:color w:val="555555"/>
                <w:sz w:val="19"/>
              </w:rPr>
              <w:t>Orthodox but thin</w:t>
            </w:r>
          </w:p>
        </w:tc>
      </w:tr>
      <w:tr>
        <w:tc>
          <w:tcPr>
            <w:tcW w:type="dxa" w:w="1728"/>
          </w:tcPr>
          <w:p>
            <w:r/>
            <w:r>
              <w:rPr>
                <w:sz w:val="19"/>
              </w:rPr>
              <w:t>Week 2 — Fasting</w:t>
            </w:r>
          </w:p>
        </w:tc>
        <w:tc>
          <w:tcPr>
            <w:tcW w:type="dxa" w:w="1728"/>
          </w:tcPr>
          <w:p>
            <w:r/>
            <w:r>
              <w:rPr>
                <w:sz w:val="19"/>
              </w:rPr>
              <w:t>Orthodox (semi-Pelagian framing)</w:t>
            </w:r>
          </w:p>
        </w:tc>
        <w:tc>
          <w:tcPr>
            <w:tcW w:type="dxa" w:w="1728"/>
          </w:tcPr>
          <w:p>
            <w:r/>
            <w:r>
              <w:rPr>
                <w:sz w:val="19"/>
              </w:rPr>
              <w:t>Mixed</w:t>
            </w:r>
          </w:p>
        </w:tc>
        <w:tc>
          <w:tcPr>
            <w:tcW w:type="dxa" w:w="1728"/>
          </w:tcPr>
          <w:p>
            <w:r/>
            <w:r>
              <w:rPr>
                <w:sz w:val="19"/>
              </w:rPr>
              <w:t>0</w:t>
            </w:r>
          </w:p>
        </w:tc>
        <w:tc>
          <w:tcPr>
            <w:tcW w:type="dxa" w:w="1728"/>
          </w:tcPr>
          <w:p>
            <w:r/>
            <w:r>
              <w:rPr>
                <w:b/>
                <w:color w:val="B56A00"/>
                <w:sz w:val="19"/>
              </w:rPr>
              <w:t>MIXED</w:t>
            </w:r>
          </w:p>
        </w:tc>
      </w:tr>
      <w:tr>
        <w:tc>
          <w:tcPr>
            <w:tcW w:type="dxa" w:w="1728"/>
          </w:tcPr>
          <w:p>
            <w:r/>
            <w:r>
              <w:rPr>
                <w:sz w:val="19"/>
              </w:rPr>
              <w:t>Week 1 — Sowing for the Future</w:t>
            </w:r>
          </w:p>
        </w:tc>
        <w:tc>
          <w:tcPr>
            <w:tcW w:type="dxa" w:w="1728"/>
          </w:tcPr>
          <w:p>
            <w:r/>
            <w:r>
              <w:rPr>
                <w:sz w:val="19"/>
              </w:rPr>
              <w:t>Orthodox w/ drift</w:t>
            </w:r>
          </w:p>
        </w:tc>
        <w:tc>
          <w:tcPr>
            <w:tcW w:type="dxa" w:w="1728"/>
          </w:tcPr>
          <w:p>
            <w:r/>
            <w:r>
              <w:rPr>
                <w:sz w:val="19"/>
              </w:rPr>
              <w:t>Thin</w:t>
            </w:r>
          </w:p>
        </w:tc>
        <w:tc>
          <w:tcPr>
            <w:tcW w:type="dxa" w:w="1728"/>
          </w:tcPr>
          <w:p>
            <w:r/>
            <w:r>
              <w:rPr>
                <w:sz w:val="19"/>
              </w:rPr>
              <w:t>1</w:t>
            </w:r>
          </w:p>
        </w:tc>
        <w:tc>
          <w:tcPr>
            <w:tcW w:type="dxa" w:w="1728"/>
          </w:tcPr>
          <w:p>
            <w:r/>
            <w:r>
              <w:rPr>
                <w:b/>
                <w:color w:val="B56A00"/>
                <w:sz w:val="19"/>
              </w:rPr>
              <w:t>MIXED</w:t>
            </w:r>
          </w:p>
        </w:tc>
      </w:tr>
      <w:tr>
        <w:tc>
          <w:tcPr>
            <w:tcW w:type="dxa" w:w="1728"/>
          </w:tcPr>
          <w:p>
            <w:r/>
            <w:r>
              <w:rPr>
                <w:sz w:val="19"/>
              </w:rPr>
              <w:t>Week 5 — Sowing Seeds of Faith</w:t>
            </w:r>
          </w:p>
        </w:tc>
        <w:tc>
          <w:tcPr>
            <w:tcW w:type="dxa" w:w="1728"/>
          </w:tcPr>
          <w:p>
            <w:r/>
            <w:r>
              <w:rPr>
                <w:sz w:val="19"/>
              </w:rPr>
              <w:t>Contains error</w:t>
            </w:r>
          </w:p>
        </w:tc>
        <w:tc>
          <w:tcPr>
            <w:tcW w:type="dxa" w:w="1728"/>
          </w:tcPr>
          <w:p>
            <w:r/>
            <w:r>
              <w:rPr>
                <w:sz w:val="19"/>
              </w:rPr>
              <w:t>Thin + bolt-on gospel</w:t>
            </w:r>
          </w:p>
        </w:tc>
        <w:tc>
          <w:tcPr>
            <w:tcW w:type="dxa" w:w="1728"/>
          </w:tcPr>
          <w:p>
            <w:r/>
            <w:r>
              <w:rPr>
                <w:sz w:val="19"/>
              </w:rPr>
              <w:t>2</w:t>
            </w:r>
          </w:p>
        </w:tc>
        <w:tc>
          <w:tcPr>
            <w:tcW w:type="dxa" w:w="1728"/>
          </w:tcPr>
          <w:p>
            <w:r/>
            <w:r>
              <w:rPr>
                <w:b/>
                <w:color w:val="A41E1E"/>
                <w:sz w:val="19"/>
              </w:rPr>
              <w:t>SERIOUS CONCERNS</w:t>
            </w:r>
          </w:p>
        </w:tc>
      </w:tr>
    </w:tbl>
    <w:p>
      <w:pPr>
        <w:spacing w:before="120"/>
      </w:pPr>
      <w:r>
        <w:rPr>
          <w:b w:val="0"/>
          <w:i/>
          <w:color w:val="555555"/>
          <w:sz w:val="19"/>
        </w:rPr>
        <w:t>Note: Week 4 of the series was not provided and is not assessed here.</w:t>
      </w:r>
    </w:p>
    <w:p>
      <w:r>
        <w:br w:type="page"/>
      </w:r>
    </w:p>
    <w:p>
      <w:pPr>
        <w:pStyle w:val="Heading1"/>
      </w:pPr>
      <w:r>
        <w:t>Week 5 — “Sowing Seeds of Faith”</w:t>
      </w:r>
    </w:p>
    <w:p>
      <w:pPr>
        <w:spacing w:after="120"/>
      </w:pPr>
      <w:r>
        <w:rPr>
          <w:b/>
          <w:color w:val="1F2A44"/>
        </w:rPr>
        <w:t xml:space="preserve">Overall: </w:t>
      </w:r>
      <w:r/>
    </w:p>
    <w:p>
      <w:pPr>
        <w:spacing w:after="120"/>
      </w:pPr>
      <w:r>
        <w:rPr>
          <w:b/>
          <w:i w:val="0"/>
          <w:color w:val="A41E1E"/>
        </w:rPr>
        <w:t>SERIOUS CONCERNS — a Word-of-Faith framework. The most concerning message in the series.</w:t>
      </w:r>
    </w:p>
    <w:p>
      <w:pPr>
        <w:spacing w:after="120"/>
      </w:pPr>
      <w:r>
        <w:rPr>
          <w:b/>
          <w:color w:val="1F2A44"/>
        </w:rPr>
        <w:t xml:space="preserve">Doctrine: </w:t>
      </w:r>
      <w:r>
        <w:t xml:space="preserve"> Contains genuine error (two red flags). </w:t>
      </w:r>
    </w:p>
    <w:p>
      <w:pPr>
        <w:spacing w:after="120"/>
      </w:pPr>
      <w:r>
        <w:rPr>
          <w:b/>
          <w:color w:val="1F2A44"/>
        </w:rPr>
        <w:t xml:space="preserve">Depth: </w:t>
      </w:r>
      <w:r>
        <w:t xml:space="preserve"> Thin; a true gospel appears only at the close.</w:t>
      </w:r>
    </w:p>
    <w:p>
      <w:pPr>
        <w:spacing w:after="120" w:before="80"/>
      </w:pPr>
      <w:r>
        <w:rPr>
          <w:b w:val="0"/>
          <w:i w:val="0"/>
        </w:rPr>
        <w:t>The sermon is warm and Scripture-saturated, and it ends with a genuine gospel presentation. But running underneath it is the teaching that faith is the force that obligates God to produce the outcome you believe for — “you get what you believe for.” That crosses from imprecision into contradicting fundamentals at two points.</w:t>
      </w:r>
    </w:p>
    <w:p>
      <w:pPr>
        <w:pStyle w:val="Heading2"/>
      </w:pPr>
      <w:r>
        <w:t>Red Flags</w:t>
      </w:r>
    </w:p>
    <w:p>
      <w:pPr>
        <w:spacing w:before="160" w:after="40"/>
      </w:pPr>
      <w:r>
        <w:rPr>
          <w:b/>
          <w:color w:val="1F2A44"/>
        </w:rPr>
        <w:t xml:space="preserve">08:33–08:48  </w:t>
      </w:r>
      <w:r>
        <w:rPr>
          <w:b/>
          <w:color w:val="A41E1E"/>
        </w:rPr>
        <w:t>RED FLAG</w:t>
      </w:r>
    </w:p>
    <w:p>
      <w:pPr>
        <w:spacing w:after="80"/>
        <w:ind w:left="432"/>
      </w:pPr>
      <w:r>
        <w:rPr>
          <w:i/>
          <w:color w:val="555555"/>
          <w:sz w:val="21"/>
        </w:rPr>
        <w:t>“The reason some people don’t experience miraculous things in their lives is because they don’t believe for miraculous things… You get what you believe for.”</w:t>
      </w:r>
    </w:p>
    <w:p>
      <w:pPr>
        <w:spacing w:after="80"/>
        <w:ind w:left="432"/>
      </w:pPr>
      <w:r>
        <w:rPr>
          <w:b/>
          <w:i w:val="0"/>
        </w:rPr>
        <w:t xml:space="preserve">The error: </w:t>
      </w:r>
      <w:r>
        <w:rPr>
          <w:b w:val="0"/>
          <w:i w:val="0"/>
        </w:rPr>
        <w:t xml:space="preserve">the claim makes the believer’s faith the </w:t>
      </w:r>
      <w:r>
        <w:rPr>
          <w:b w:val="0"/>
          <w:i/>
        </w:rPr>
        <w:t>cause</w:t>
      </w:r>
      <w:r>
        <w:rPr>
          <w:b w:val="0"/>
          <w:i w:val="0"/>
        </w:rPr>
        <w:t xml:space="preserve"> that produces the outcome, and locates the reason for unanswered prayer in deficient believing. Scripture places the cause in God’s sovereign will, not the strength of human faith.</w:t>
      </w:r>
    </w:p>
    <w:p>
      <w:pPr>
        <w:spacing w:after="80"/>
        <w:ind w:left="432"/>
      </w:pPr>
      <w:r>
        <w:rPr>
          <w:b/>
          <w:i w:val="0"/>
          <w:color w:val="9B7228"/>
        </w:rPr>
        <w:t xml:space="preserve">Scripture contrast: </w:t>
      </w:r>
      <w:r>
        <w:rPr>
          <w:b w:val="0"/>
          <w:i w:val="0"/>
        </w:rPr>
        <w:t xml:space="preserve">“This is the confidence we have… that if we ask anything </w:t>
      </w:r>
      <w:r>
        <w:rPr>
          <w:b w:val="0"/>
          <w:i/>
        </w:rPr>
        <w:t>according to his will</w:t>
      </w:r>
      <w:r>
        <w:rPr>
          <w:b w:val="0"/>
          <w:i w:val="0"/>
        </w:rPr>
        <w:t xml:space="preserve">, he hears us” (1 John 5:14). Paul asked three times for his thorn to be removed; God said no and left it (2 Corinthians 12:7–9) — by this sermon’s logic Paul lacked faith, but Scripture says his weakness was the point. And Hebrews 11, the faith chapter itself: “All these… </w:t>
      </w:r>
      <w:r>
        <w:rPr>
          <w:b w:val="0"/>
          <w:i/>
        </w:rPr>
        <w:t>did not receive what was promised</w:t>
      </w:r>
      <w:r>
        <w:rPr>
          <w:b w:val="0"/>
          <w:i w:val="0"/>
        </w:rPr>
        <w:t>” (Hebrews 11:39).</w:t>
      </w:r>
    </w:p>
    <w:p>
      <w:pPr>
        <w:spacing w:after="80"/>
        <w:ind w:left="432"/>
      </w:pPr>
      <w:r>
        <w:rPr>
          <w:b/>
          <w:i w:val="0"/>
          <w:color w:val="9B7228"/>
        </w:rPr>
        <w:t xml:space="preserve">Confessions: </w:t>
      </w:r>
      <w:r>
        <w:rPr>
          <w:b w:val="0"/>
          <w:i w:val="0"/>
        </w:rPr>
        <w:t>Westminster Confession 5.1–5.2 — God orders all things by His providence, working through means but never bound by them. Westminster 21.5 and Larger Catechism Q.185 — prayer is to be made “for things agreeable to God’s will,” submitting to it; this sermon reverses the order. Canons of Dort 5.7 — even saving faith is God’s preserved gift, not a force the believer musters.</w:t>
      </w:r>
    </w:p>
    <w:p>
      <w:pPr>
        <w:spacing w:before="160" w:after="40"/>
      </w:pPr>
      <w:r>
        <w:rPr>
          <w:b/>
          <w:color w:val="1F2A44"/>
        </w:rPr>
        <w:t xml:space="preserve">13:01–13:31  </w:t>
      </w:r>
      <w:r>
        <w:rPr>
          <w:b/>
          <w:color w:val="A41E1E"/>
        </w:rPr>
        <w:t>RED FLAG</w:t>
      </w:r>
    </w:p>
    <w:p>
      <w:pPr>
        <w:spacing w:after="80"/>
        <w:ind w:left="432"/>
      </w:pPr>
      <w:r>
        <w:rPr>
          <w:i/>
          <w:color w:val="555555"/>
          <w:sz w:val="21"/>
        </w:rPr>
        <w:t>“Some people have faith for sickness. ‘I believe I’m getting the flu.’ They do. Some people have faith for poverty… ‘I don’t believe I’ll ever have enough money.’ They don’t… because Jesus said, ‘According to your faith, will it be done to you.’”</w:t>
      </w:r>
    </w:p>
    <w:p>
      <w:pPr>
        <w:spacing w:after="80"/>
        <w:ind w:left="432"/>
      </w:pPr>
      <w:r>
        <w:rPr>
          <w:b/>
          <w:i w:val="0"/>
        </w:rPr>
        <w:t xml:space="preserve">The error: </w:t>
      </w:r>
      <w:r>
        <w:rPr>
          <w:b w:val="0"/>
          <w:i w:val="0"/>
        </w:rPr>
        <w:t xml:space="preserve">belief is treated as a creative force that determines whether you become sick or stay poor — which implicitly blames the sick and the poor for their condition. It also misapplies Matthew 9:29: Christ’s words to the blind men describe </w:t>
      </w:r>
      <w:r>
        <w:rPr>
          <w:b w:val="0"/>
          <w:i/>
        </w:rPr>
        <w:t>His</w:t>
      </w:r>
      <w:r>
        <w:rPr>
          <w:b w:val="0"/>
          <w:i w:val="0"/>
        </w:rPr>
        <w:t xml:space="preserve"> response to faith in a specific healing, not a universal law that thoughts manifest reality.</w:t>
      </w:r>
    </w:p>
    <w:p>
      <w:pPr>
        <w:spacing w:after="80"/>
        <w:ind w:left="432"/>
      </w:pPr>
      <w:r>
        <w:rPr>
          <w:b/>
          <w:i w:val="0"/>
          <w:color w:val="9B7228"/>
        </w:rPr>
        <w:t xml:space="preserve">Scripture contrast: </w:t>
      </w:r>
      <w:r>
        <w:rPr>
          <w:b w:val="0"/>
          <w:i w:val="0"/>
        </w:rPr>
        <w:t>Jesus directly rejects the sickness-equals-deficient-faith logic: the man was born blind “not that this man sinned… but that the works of God might be displayed” (John 9:1–3). Job suffered loss and illness while God calls him “blameless and upright” (Job 1:8; 2:7). Sickness and poverty fall under God’s providence and the curse of a fallen world (Romans 8:20–23), not the believer’s power to think them away.</w:t>
      </w:r>
    </w:p>
    <w:p>
      <w:pPr>
        <w:spacing w:after="80"/>
        <w:ind w:left="432"/>
      </w:pPr>
      <w:r>
        <w:rPr>
          <w:b/>
          <w:i w:val="0"/>
          <w:color w:val="9B7228"/>
        </w:rPr>
        <w:t xml:space="preserve">Confessions: </w:t>
      </w:r>
      <w:r>
        <w:rPr>
          <w:b w:val="0"/>
          <w:i w:val="0"/>
        </w:rPr>
        <w:t>Heidelberg Catechism Q.27–28 — “health and sickness, riches and poverty… come to us not by chance but from [God’s] fatherly hand.” The catechism assigns sickness and poverty to God’s hand; the sermon assigns them to the believer’s level of belief. Belgic Confession Art. 13 and Westminster 5.5–5.6 — God’s providence governs all things, and even His children pass through afflictions as fatherly chastening, not as proof of inadequate faith.</w:t>
      </w:r>
    </w:p>
    <w:p>
      <w:pPr>
        <w:pStyle w:val="Heading2"/>
      </w:pPr>
      <w:r>
        <w:t>Cautions</w:t>
      </w:r>
    </w:p>
    <w:p>
      <w:pPr>
        <w:spacing w:before="160" w:after="40"/>
      </w:pPr>
      <w:r>
        <w:rPr>
          <w:b/>
          <w:color w:val="1F2A44"/>
        </w:rPr>
        <w:t xml:space="preserve">05:45–06:01  </w:t>
      </w:r>
      <w:r>
        <w:rPr>
          <w:b/>
          <w:color w:val="B56A00"/>
        </w:rPr>
        <w:t>CAUTION</w:t>
      </w:r>
    </w:p>
    <w:p>
      <w:pPr>
        <w:spacing w:after="80"/>
        <w:ind w:left="432"/>
      </w:pPr>
      <w:r>
        <w:rPr>
          <w:i/>
          <w:color w:val="555555"/>
          <w:sz w:val="21"/>
        </w:rPr>
        <w:t>“Everything you receive from God, you receive on the basis of faith. Whether it’s faith for salvation, faith for healing, faith for answered prayers…”</w:t>
      </w:r>
    </w:p>
    <w:p>
      <w:pPr>
        <w:spacing w:after="80"/>
        <w:ind w:left="432"/>
      </w:pPr>
      <w:r>
        <w:rPr>
          <w:b w:val="0"/>
          <w:i w:val="0"/>
        </w:rPr>
        <w:t>Flattens salvation, healing, and answered prayer onto a single “faith principle.” Scripture treats saving faith as a gift of God (Ephesians 2:8–9) and does not promise healing or prosperity on the same terms. This sets up the two red flags that follow.</w:t>
      </w:r>
    </w:p>
    <w:p>
      <w:pPr>
        <w:spacing w:before="160" w:after="40"/>
      </w:pPr>
      <w:r>
        <w:rPr>
          <w:b/>
          <w:color w:val="1F2A44"/>
        </w:rPr>
        <w:t xml:space="preserve">09:05–09:17  </w:t>
      </w:r>
      <w:r>
        <w:rPr>
          <w:b/>
          <w:color w:val="B56A00"/>
        </w:rPr>
        <w:t>CAUTION</w:t>
      </w:r>
    </w:p>
    <w:p>
      <w:pPr>
        <w:spacing w:after="80"/>
        <w:ind w:left="432"/>
      </w:pPr>
      <w:r>
        <w:rPr>
          <w:i/>
          <w:color w:val="555555"/>
          <w:sz w:val="21"/>
        </w:rPr>
        <w:t>“Faith is spelled R-I-S-K. Risk.”</w:t>
      </w:r>
    </w:p>
    <w:p>
      <w:pPr>
        <w:spacing w:after="80"/>
        <w:ind w:left="432"/>
      </w:pPr>
      <w:r>
        <w:rPr>
          <w:b w:val="0"/>
          <w:i w:val="0"/>
        </w:rPr>
        <w:t>Memorable but reinforces faith as a force the believer exerts rather than trust in a Person. Biblical faith rests on the trustworthiness of God (Hebrews 11:1, 6), not on the magnitude of risk undertaken.</w:t>
      </w:r>
    </w:p>
    <w:p>
      <w:pPr>
        <w:spacing w:before="160" w:after="40"/>
      </w:pPr>
      <w:r>
        <w:rPr>
          <w:b/>
          <w:color w:val="1F2A44"/>
        </w:rPr>
        <w:t xml:space="preserve">15:02–15:07  </w:t>
      </w:r>
      <w:r>
        <w:rPr>
          <w:b/>
          <w:color w:val="B56A00"/>
        </w:rPr>
        <w:t>CAUTION</w:t>
      </w:r>
    </w:p>
    <w:p>
      <w:pPr>
        <w:spacing w:after="80"/>
        <w:ind w:left="432"/>
      </w:pPr>
      <w:r>
        <w:rPr>
          <w:i/>
          <w:color w:val="555555"/>
          <w:sz w:val="21"/>
        </w:rPr>
        <w:t>“I’m… living proof… that God can do anything, even raise the dead.”</w:t>
      </w:r>
    </w:p>
    <w:p>
      <w:pPr>
        <w:spacing w:after="80"/>
        <w:ind w:left="432"/>
      </w:pPr>
      <w:r>
        <w:rPr>
          <w:b w:val="0"/>
          <w:i w:val="0"/>
        </w:rPr>
        <w:t xml:space="preserve">The healing testimony itself is not the problem; the concern is that it is deployed as proof of the faith-formula. The Reformed tradition affirms God </w:t>
      </w:r>
      <w:r>
        <w:rPr>
          <w:b w:val="0"/>
          <w:i/>
        </w:rPr>
        <w:t>can</w:t>
      </w:r>
      <w:r>
        <w:rPr>
          <w:b w:val="0"/>
          <w:i w:val="0"/>
        </w:rPr>
        <w:t xml:space="preserve"> heal while denying any guaranteed or on-demand miracle (Westminster 5.3 on God’s freedom over means).</w:t>
      </w:r>
    </w:p>
    <w:p>
      <w:pPr>
        <w:spacing w:before="160" w:after="40"/>
      </w:pPr>
      <w:r>
        <w:rPr>
          <w:b/>
          <w:color w:val="1F2A44"/>
        </w:rPr>
        <w:t xml:space="preserve">18:54–19:45  </w:t>
      </w:r>
      <w:r>
        <w:rPr>
          <w:b/>
          <w:color w:val="B56A00"/>
        </w:rPr>
        <w:t>CAUTION</w:t>
      </w:r>
    </w:p>
    <w:p>
      <w:pPr>
        <w:spacing w:after="80"/>
        <w:ind w:left="432"/>
      </w:pPr>
      <w:r>
        <w:rPr>
          <w:i/>
          <w:color w:val="555555"/>
          <w:sz w:val="21"/>
        </w:rPr>
        <w:t>“Speak the word… spoken words have great power… the tongue has the power of life and death.”</w:t>
      </w:r>
    </w:p>
    <w:p>
      <w:pPr>
        <w:spacing w:after="80"/>
        <w:ind w:left="432"/>
      </w:pPr>
      <w:r>
        <w:rPr>
          <w:b w:val="0"/>
          <w:i w:val="0"/>
        </w:rPr>
        <w:t>Proverbs 18:21 is wisdom literature about the real consequences of speech, not a doctrine of word-as-creative-force. Framed here as positive confession (“speak faith-filled words and it will cause your faith to grow”), it leans toward the Word-of-Faith use. The cursing/damnation riff is a strained reading of “cursing.”</w:t>
      </w:r>
    </w:p>
    <w:p>
      <w:pPr>
        <w:pStyle w:val="Heading2"/>
      </w:pPr>
      <w:r>
        <w:t>Minor &amp; Other Notes</w:t>
      </w:r>
    </w:p>
    <w:p>
      <w:pPr>
        <w:spacing w:before="160" w:after="40"/>
      </w:pPr>
      <w:r>
        <w:rPr>
          <w:b/>
          <w:color w:val="1F2A44"/>
        </w:rPr>
        <w:t xml:space="preserve">18:18–18:43  </w:t>
      </w:r>
      <w:r>
        <w:rPr>
          <w:b/>
          <w:color w:val="555555"/>
        </w:rPr>
        <w:t>MINOR</w:t>
      </w:r>
    </w:p>
    <w:p>
      <w:pPr>
        <w:spacing w:after="80"/>
        <w:ind w:left="432"/>
      </w:pPr>
      <w:r>
        <w:rPr>
          <w:i/>
          <w:color w:val="555555"/>
          <w:sz w:val="21"/>
        </w:rPr>
        <w:t>“Bad Bunny is a bad idea… Go to the Great American Halftime Show.”</w:t>
      </w:r>
    </w:p>
    <w:p>
      <w:pPr>
        <w:spacing w:after="80"/>
        <w:ind w:left="432"/>
      </w:pPr>
      <w:r>
        <w:rPr>
          <w:b w:val="0"/>
          <w:i w:val="0"/>
        </w:rPr>
        <w:t>A cultural aside, not a theological claim. Noted only because the request was to flag everything outside doctrine as well. Editorializing from the pulpit on entertainment choices is a matter of pastoral wisdom and Christian liberty (Romans 14), not doctrine.</w:t>
      </w:r>
    </w:p>
    <w:p>
      <w:pPr>
        <w:spacing w:before="160" w:after="40"/>
      </w:pPr>
      <w:r>
        <w:rPr>
          <w:b/>
          <w:color w:val="1F2A44"/>
        </w:rPr>
        <w:t xml:space="preserve">16:35–18:10  </w:t>
      </w:r>
      <w:r>
        <w:rPr>
          <w:b/>
          <w:color w:val="2E6B2E"/>
        </w:rPr>
        <w:t>ALIGNED</w:t>
      </w:r>
    </w:p>
    <w:p>
      <w:pPr>
        <w:spacing w:after="80"/>
        <w:ind w:left="432"/>
      </w:pPr>
      <w:r>
        <w:rPr>
          <w:i/>
          <w:color w:val="555555"/>
          <w:sz w:val="21"/>
        </w:rPr>
        <w:t>“These trials have come so that your faith… may be proved genuine… (1 Peter 1:7); faith comes by hearing the word of God (Romans 10:17).”</w:t>
      </w:r>
    </w:p>
    <w:p>
      <w:pPr>
        <w:spacing w:after="80"/>
        <w:ind w:left="432"/>
      </w:pPr>
      <w:r>
        <w:rPr>
          <w:b w:val="0"/>
          <w:i w:val="0"/>
        </w:rPr>
        <w:t>Sound and well-handled. Trials refining faith and the Word producing faith are both biblical and confessional (Westminster 14.1 — faith is ordinarily wrought by the ministry of the Word).</w:t>
      </w:r>
    </w:p>
    <w:p>
      <w:pPr>
        <w:spacing w:before="160" w:after="40"/>
      </w:pPr>
      <w:r>
        <w:rPr>
          <w:b/>
          <w:color w:val="1F2A44"/>
        </w:rPr>
        <w:t xml:space="preserve">20:06–21:01  </w:t>
      </w:r>
      <w:r>
        <w:rPr>
          <w:b/>
          <w:color w:val="2E6B2E"/>
        </w:rPr>
        <w:t>ALIGNED</w:t>
      </w:r>
    </w:p>
    <w:p>
      <w:pPr>
        <w:spacing w:after="80"/>
        <w:ind w:left="432"/>
      </w:pPr>
      <w:r>
        <w:rPr>
          <w:i/>
          <w:color w:val="555555"/>
          <w:sz w:val="21"/>
        </w:rPr>
        <w:t>“Lord, increase my faith (Luke 17:5).”</w:t>
      </w:r>
    </w:p>
    <w:p>
      <w:pPr>
        <w:spacing w:after="80"/>
        <w:ind w:left="432"/>
      </w:pPr>
      <w:r>
        <w:rPr>
          <w:b w:val="0"/>
          <w:i w:val="0"/>
        </w:rPr>
        <w:t xml:space="preserve">The theological high point and the internal </w:t>
      </w:r>
      <w:r>
        <w:rPr>
          <w:b w:val="0"/>
          <w:i/>
        </w:rPr>
        <w:t>corrective</w:t>
      </w:r>
      <w:r>
        <w:rPr>
          <w:b w:val="0"/>
          <w:i w:val="0"/>
        </w:rPr>
        <w:t xml:space="preserve"> to the rest of the sermon: it locates faith as a gift God grants, not a force the believer generates. Held against 08:33 and 13:01, the contradiction inside the message is visible — faith cannot be both a gift God must give and a lever that obligates Him.</w:t>
      </w:r>
    </w:p>
    <w:p>
      <w:pPr>
        <w:spacing w:after="40" w:before="120"/>
      </w:pPr>
      <w:r>
        <w:rPr>
          <w:b/>
          <w:i w:val="0"/>
        </w:rPr>
        <w:t xml:space="preserve">Why not FALSE TEACHING: </w:t>
      </w:r>
    </w:p>
    <w:p>
      <w:pPr>
        <w:spacing w:after="80"/>
      </w:pPr>
      <w:r>
        <w:rPr>
          <w:b w:val="0"/>
          <w:i w:val="0"/>
        </w:rPr>
        <w:t>Because the gospel is preached truly at the close (23:00–25:18) — Christ’s death for sins, repentance, Jesus as Savior and Lord, no forgiveness without the shedding of blood (Hebrews 9:22). A true gospel wrapped in a faulty mechanism lands at SERIOUS CONCERNS, not FALSE TEACHING.</w:t>
      </w:r>
    </w:p>
    <w:p>
      <w:r>
        <w:br w:type="page"/>
      </w:r>
    </w:p>
    <w:p>
      <w:pPr>
        <w:pStyle w:val="Heading1"/>
      </w:pPr>
      <w:r>
        <w:t>Week 1 — “Sowing for the Future”</w:t>
      </w:r>
    </w:p>
    <w:p>
      <w:pPr>
        <w:spacing w:after="120"/>
      </w:pPr>
      <w:r>
        <w:rPr>
          <w:b/>
          <w:color w:val="1F2A44"/>
        </w:rPr>
        <w:t xml:space="preserve">Overall: </w:t>
      </w:r>
      <w:r/>
    </w:p>
    <w:p>
      <w:pPr>
        <w:spacing w:after="120"/>
      </w:pPr>
      <w:r>
        <w:rPr>
          <w:b/>
          <w:i w:val="0"/>
          <w:color w:val="B56A00"/>
        </w:rPr>
        <w:t>MIXED — orthodox but with a thought-creates-reality drift, and thin in structure.</w:t>
      </w:r>
    </w:p>
    <w:p>
      <w:pPr>
        <w:spacing w:after="120"/>
      </w:pPr>
      <w:r>
        <w:rPr>
          <w:b w:val="0"/>
          <w:i w:val="0"/>
        </w:rPr>
        <w:t>The series opener handles Galatians 6:7 mostly well — the genuinely biblical principle that moral and spiritual choices have consequences you eventually harvest. The center is solid and the gospel close is excellent. What keeps it from SOUND is a recurring drift: the harvest is extended to guaranteed material outcomes, and the “your thoughts create your reality” thread appears in a milder form than Week 5.</w:t>
      </w:r>
    </w:p>
    <w:p>
      <w:pPr>
        <w:pStyle w:val="Heading2"/>
      </w:pPr>
      <w:r>
        <w:t>Red Flag</w:t>
      </w:r>
    </w:p>
    <w:p>
      <w:pPr>
        <w:spacing w:before="160" w:after="40"/>
      </w:pPr>
      <w:r>
        <w:rPr>
          <w:b/>
          <w:color w:val="1F2A44"/>
        </w:rPr>
        <w:t xml:space="preserve">17:53–18:34  </w:t>
      </w:r>
      <w:r>
        <w:rPr>
          <w:b/>
          <w:color w:val="A41E1E"/>
        </w:rPr>
        <w:t>RED FLAG</w:t>
      </w:r>
    </w:p>
    <w:p>
      <w:pPr>
        <w:spacing w:after="80"/>
        <w:ind w:left="432"/>
      </w:pPr>
      <w:r>
        <w:rPr>
          <w:i/>
          <w:color w:val="555555"/>
          <w:sz w:val="21"/>
        </w:rPr>
        <w:t>“I knew a man who always thought he was going to be poor… he told people he was going to die poor. And guess what? He did. … ‘I know I’m going to have a headache…’ THEY’RE GONNA HAVE IT. TRUST ME.”</w:t>
      </w:r>
    </w:p>
    <w:p>
      <w:pPr>
        <w:spacing w:after="80"/>
        <w:ind w:left="432"/>
      </w:pPr>
      <w:r>
        <w:rPr>
          <w:b/>
          <w:i w:val="0"/>
        </w:rPr>
        <w:t xml:space="preserve">The error: </w:t>
      </w:r>
      <w:r>
        <w:rPr>
          <w:b w:val="0"/>
          <w:i w:val="0"/>
        </w:rPr>
        <w:t>thought-creates-reality / law-of-attraction teaching — the mind manifesting poverty and sickness. This is the same logic as Week 5’s 13:01, applied to one’s own thought-life.</w:t>
      </w:r>
    </w:p>
    <w:p>
      <w:pPr>
        <w:spacing w:after="80"/>
        <w:ind w:left="432"/>
      </w:pPr>
      <w:r>
        <w:rPr>
          <w:b/>
          <w:i w:val="0"/>
          <w:color w:val="9B7228"/>
        </w:rPr>
        <w:t xml:space="preserve">Scripture contrast: </w:t>
      </w:r>
      <w:r>
        <w:rPr>
          <w:b w:val="0"/>
          <w:i w:val="0"/>
        </w:rPr>
        <w:t>Proverbs 4:23 (“guard your heart, for it is the wellspring of life”) concerns the moral source of life, not the mind manifesting outcomes. Scripture grounds poverty and sickness in providence and a fallen world, never in the power of thought (John 9:1–3; Ecclesiastes 9:11 — “time and chance happen to them all”).</w:t>
      </w:r>
    </w:p>
    <w:p>
      <w:pPr>
        <w:spacing w:after="80"/>
        <w:ind w:left="432"/>
      </w:pPr>
      <w:r>
        <w:rPr>
          <w:b/>
          <w:i w:val="0"/>
          <w:color w:val="9B7228"/>
        </w:rPr>
        <w:t xml:space="preserve">Confessions: </w:t>
      </w:r>
      <w:r>
        <w:rPr>
          <w:b w:val="0"/>
          <w:i w:val="0"/>
        </w:rPr>
        <w:t>Heidelberg Catechism Q.27–28 — sickness and poverty come “from [God’s] fatherly hand,” not from the believer’s thinking. Westminster 5.1 — God, not human cognition, is the first cause that orders all things.</w:t>
      </w:r>
    </w:p>
    <w:p>
      <w:pPr>
        <w:pStyle w:val="Heading2"/>
      </w:pPr>
      <w:r>
        <w:t>Cautions</w:t>
      </w:r>
    </w:p>
    <w:p>
      <w:pPr>
        <w:spacing w:before="160" w:after="40"/>
      </w:pPr>
      <w:r>
        <w:rPr>
          <w:b/>
          <w:color w:val="1F2A44"/>
        </w:rPr>
        <w:t xml:space="preserve">01:14–01:30  </w:t>
      </w:r>
      <w:r>
        <w:rPr>
          <w:b/>
          <w:color w:val="B56A00"/>
        </w:rPr>
        <w:t>CAUTION</w:t>
      </w:r>
    </w:p>
    <w:p>
      <w:pPr>
        <w:spacing w:after="80"/>
        <w:ind w:left="432"/>
      </w:pPr>
      <w:r>
        <w:rPr>
          <w:i/>
          <w:color w:val="555555"/>
          <w:sz w:val="21"/>
        </w:rPr>
        <w:t>“I just speak that over you and over your family, your finances, your business.”</w:t>
      </w:r>
    </w:p>
    <w:p>
      <w:pPr>
        <w:spacing w:after="80"/>
        <w:ind w:left="432"/>
      </w:pPr>
      <w:r>
        <w:rPr>
          <w:b w:val="0"/>
          <w:i w:val="0"/>
        </w:rPr>
        <w:t>Declarative “I speak it over your finances” is positive-confession idiom — the preacher’s word framed as bringing about the outcome. Mild and celebratory here, but it is the Word-of-Faith register. Contrast with James 4:13–15, which rebukes confident declarations over the future apart from “if the Lord wills.”</w:t>
      </w:r>
    </w:p>
    <w:p>
      <w:pPr>
        <w:spacing w:before="160" w:after="40"/>
      </w:pPr>
      <w:r>
        <w:rPr>
          <w:b/>
          <w:color w:val="1F2A44"/>
        </w:rPr>
        <w:t xml:space="preserve">02:06–03:06  </w:t>
      </w:r>
      <w:r>
        <w:rPr>
          <w:b/>
          <w:color w:val="B56A00"/>
        </w:rPr>
        <w:t>CAUTION</w:t>
      </w:r>
    </w:p>
    <w:p>
      <w:pPr>
        <w:spacing w:after="80"/>
        <w:ind w:left="432"/>
      </w:pPr>
      <w:r>
        <w:rPr>
          <w:i/>
          <w:color w:val="555555"/>
          <w:sz w:val="21"/>
        </w:rPr>
        <w:t>“Set your year up for the best year of your life… the most powerful fast we’ve ever engaged in with signs and wonders, miracles taking place.”</w:t>
      </w:r>
    </w:p>
    <w:p>
      <w:pPr>
        <w:spacing w:after="80"/>
        <w:ind w:left="432"/>
      </w:pPr>
      <w:r>
        <w:rPr>
          <w:b w:val="0"/>
          <w:i w:val="0"/>
        </w:rPr>
        <w:t>Fasting sold by outcome — framed as a lever that produces life-change and miracles. Scripture ties fasting to humility and seeking God (Joel 2:12–13; Matthew 6:16–18), not guaranteed results. Westminster 21 treats such practices as means God may bless, never mechanisms that obligate Him.</w:t>
      </w:r>
    </w:p>
    <w:p>
      <w:pPr>
        <w:spacing w:before="160" w:after="40"/>
      </w:pPr>
      <w:r>
        <w:rPr>
          <w:b/>
          <w:color w:val="1F2A44"/>
        </w:rPr>
        <w:t xml:space="preserve">05:11–05:43 / 16:36–16:47  </w:t>
      </w:r>
      <w:r>
        <w:rPr>
          <w:b/>
          <w:color w:val="B56A00"/>
        </w:rPr>
        <w:t>CAUTION</w:t>
      </w:r>
    </w:p>
    <w:p>
      <w:pPr>
        <w:spacing w:after="80"/>
        <w:ind w:left="432"/>
      </w:pPr>
      <w:r>
        <w:rPr>
          <w:i/>
          <w:color w:val="555555"/>
          <w:sz w:val="21"/>
        </w:rPr>
        <w:t>“Everything in your life is grown from the things you have sown. This includes your health… finances… business, career. … If I plant good seed… I’ll reap good things every time. No exceptions.”</w:t>
      </w:r>
    </w:p>
    <w:p>
      <w:pPr>
        <w:spacing w:after="80"/>
        <w:ind w:left="432"/>
      </w:pPr>
      <w:r>
        <w:rPr>
          <w:b w:val="0"/>
          <w:i w:val="0"/>
        </w:rPr>
        <w:t xml:space="preserve">Stretches Galatians 6 past its meaning. Paul’s harvest is </w:t>
      </w:r>
      <w:r>
        <w:rPr>
          <w:b w:val="0"/>
          <w:i/>
        </w:rPr>
        <w:t>eternal life vs. corruption</w:t>
      </w:r>
      <w:r>
        <w:rPr>
          <w:b w:val="0"/>
          <w:i w:val="0"/>
        </w:rPr>
        <w:t xml:space="preserve"> (Galatians 6:8), not a guaranteed this-life return on health and money. The “every time, no exceptions” absolutism collides with Job, Ecclesiastes, and Jesus on the man born blind (John 9:1–3). This is the softer cousin of Week 5’s “you get what you believe for.”</w:t>
      </w:r>
    </w:p>
    <w:p>
      <w:pPr>
        <w:pStyle w:val="Heading2"/>
      </w:pPr>
      <w:r>
        <w:t>Aligned &amp; Strong</w:t>
      </w:r>
    </w:p>
    <w:p>
      <w:pPr>
        <w:spacing w:before="160" w:after="40"/>
      </w:pPr>
      <w:r>
        <w:rPr>
          <w:b/>
          <w:color w:val="1F2A44"/>
        </w:rPr>
        <w:t xml:space="preserve">04:38–08:20  </w:t>
      </w:r>
      <w:r>
        <w:rPr>
          <w:b/>
          <w:color w:val="2E6B2E"/>
        </w:rPr>
        <w:t>ALIGNED</w:t>
      </w:r>
    </w:p>
    <w:p>
      <w:pPr>
        <w:spacing w:after="80"/>
        <w:ind w:left="432"/>
      </w:pPr>
      <w:r>
        <w:rPr>
          <w:i/>
          <w:color w:val="555555"/>
          <w:sz w:val="21"/>
        </w:rPr>
        <w:t>“Sowing to the flesh vs. sowing to the Spirit; harvesting ‘real life, eternal life’ (Galatians 6:8–9).”</w:t>
      </w:r>
    </w:p>
    <w:p>
      <w:pPr>
        <w:spacing w:after="80"/>
        <w:ind w:left="432"/>
      </w:pPr>
      <w:r>
        <w:rPr>
          <w:b w:val="0"/>
          <w:i w:val="0"/>
        </w:rPr>
        <w:t>Galatians 6:7 framed correctly, anchoring the harvest in eternal life rather than earthly payoff. The right reading.</w:t>
      </w:r>
    </w:p>
    <w:p>
      <w:pPr>
        <w:spacing w:before="160" w:after="40"/>
      </w:pPr>
      <w:r>
        <w:rPr>
          <w:b/>
          <w:color w:val="1F2A44"/>
        </w:rPr>
        <w:t xml:space="preserve">23:01–24:14  </w:t>
      </w:r>
      <w:r>
        <w:rPr>
          <w:b/>
          <w:color w:val="2E6B2E"/>
        </w:rPr>
        <w:t>ALIGNED</w:t>
      </w:r>
    </w:p>
    <w:p>
      <w:pPr>
        <w:spacing w:after="80"/>
        <w:ind w:left="432"/>
      </w:pPr>
      <w:r>
        <w:rPr>
          <w:i/>
          <w:color w:val="555555"/>
          <w:sz w:val="21"/>
        </w:rPr>
        <w:t>“Such were some of you… but you were washed, sanctified, justified (1 Corinthians 6:9–11).”</w:t>
      </w:r>
    </w:p>
    <w:p>
      <w:pPr>
        <w:spacing w:after="80"/>
        <w:ind w:left="432"/>
      </w:pPr>
      <w:r>
        <w:rPr>
          <w:b w:val="0"/>
          <w:i w:val="0"/>
        </w:rPr>
        <w:t>The high point. Justification is correctly defined and the “new seed” is tied to union with Christ, not self-improvement. Confessionally excellent (Westminster 11; Heidelberg Q.60 — righteous before God “only by true faith in Jesus Christ”).</w:t>
      </w:r>
    </w:p>
    <w:p>
      <w:r>
        <w:br w:type="page"/>
      </w:r>
    </w:p>
    <w:p>
      <w:pPr>
        <w:pStyle w:val="Heading1"/>
      </w:pPr>
      <w:r>
        <w:t>Week 2 — Fasting</w:t>
      </w:r>
    </w:p>
    <w:p>
      <w:pPr>
        <w:spacing w:after="120"/>
      </w:pPr>
      <w:r>
        <w:rPr>
          <w:b/>
          <w:color w:val="1F2A44"/>
        </w:rPr>
        <w:t xml:space="preserve">Overall: </w:t>
      </w:r>
      <w:r/>
    </w:p>
    <w:p>
      <w:pPr>
        <w:spacing w:after="120"/>
      </w:pPr>
      <w:r>
        <w:rPr>
          <w:b/>
          <w:i w:val="0"/>
          <w:color w:val="B56A00"/>
        </w:rPr>
        <w:t>MIXED — fasting framed as a technique that unlocks God’s action.</w:t>
      </w:r>
    </w:p>
    <w:p>
      <w:pPr>
        <w:spacing w:after="120"/>
      </w:pPr>
      <w:r>
        <w:rPr>
          <w:b/>
          <w:color w:val="1F2A44"/>
        </w:rPr>
        <w:t xml:space="preserve">Doctrine: </w:t>
      </w:r>
      <w:r>
        <w:t xml:space="preserve"> Orthodox, but with a semi-Pelagian framing problem. The subject is biblical, the communion close is orthodox on Christ’s incarnation and atonement, and the definition of biblical fasting is careful. The structural weakness is that fasting is repeatedly framed as a key/gateway that unlocks God’s supernatural action — shifting the initiative from God’s grace to human practice.</w:t>
      </w:r>
    </w:p>
    <w:p>
      <w:pPr>
        <w:pStyle w:val="Heading2"/>
      </w:pPr>
      <w:r>
        <w:t>Red Flags</w:t>
      </w:r>
    </w:p>
    <w:p>
      <w:pPr>
        <w:spacing w:after="80"/>
      </w:pPr>
      <w:r>
        <w:rPr>
          <w:b w:val="0"/>
          <w:i/>
          <w:color w:val="555555"/>
        </w:rPr>
        <w:t>None outright. The semi-Pelagian instinct is real but stays at the level of framing; they also confess “only God can do it” and define biblical fasting correctly.</w:t>
      </w:r>
    </w:p>
    <w:p>
      <w:pPr>
        <w:pStyle w:val="Heading2"/>
      </w:pPr>
      <w:r>
        <w:t>Cautions</w:t>
      </w:r>
    </w:p>
    <w:p>
      <w:pPr>
        <w:spacing w:before="160" w:after="40"/>
      </w:pPr>
      <w:r>
        <w:rPr>
          <w:b/>
          <w:color w:val="1F2A44"/>
        </w:rPr>
        <w:t xml:space="preserve">05:51–05:60  </w:t>
      </w:r>
      <w:r>
        <w:rPr>
          <w:b/>
          <w:color w:val="B56A00"/>
        </w:rPr>
        <w:t>CAUTION</w:t>
      </w:r>
    </w:p>
    <w:p>
      <w:pPr>
        <w:spacing w:after="80"/>
        <w:ind w:left="432"/>
      </w:pPr>
      <w:r>
        <w:rPr>
          <w:i/>
          <w:color w:val="555555"/>
          <w:sz w:val="21"/>
        </w:rPr>
        <w:t>“Fasting is the gateway to the supernatural. And if we want to see God move in supernatural ways… fasting is one of the keys.”</w:t>
      </w:r>
    </w:p>
    <w:p>
      <w:pPr>
        <w:spacing w:after="80"/>
        <w:ind w:left="432"/>
      </w:pPr>
      <w:r>
        <w:rPr>
          <w:b w:val="0"/>
          <w:i w:val="0"/>
        </w:rPr>
        <w:t>The controlling idea, and the core issue: a discipline turned into a lever that causes God to move. Recurs at 11:54–11:57 (“a tremendous way to dig… go deeper”) and 13:34–13:38 (“keys… in order to see supernatural things happen”).</w:t>
      </w:r>
    </w:p>
    <w:p>
      <w:pPr>
        <w:spacing w:after="80"/>
        <w:ind w:left="432"/>
      </w:pPr>
      <w:r>
        <w:rPr>
          <w:b/>
          <w:i w:val="0"/>
          <w:color w:val="9B7228"/>
        </w:rPr>
        <w:t xml:space="preserve">Scripture contrast: </w:t>
      </w:r>
      <w:r>
        <w:rPr>
          <w:b w:val="0"/>
          <w:i w:val="0"/>
        </w:rPr>
        <w:t xml:space="preserve">Scripture presents fasting as humbling oneself and seeking God (Joel 2:12; Matthew 6:16–18), not a key that </w:t>
      </w:r>
      <w:r>
        <w:rPr>
          <w:b w:val="0"/>
          <w:i/>
        </w:rPr>
        <w:t>causes</w:t>
      </w:r>
      <w:r>
        <w:rPr>
          <w:b w:val="0"/>
          <w:i w:val="0"/>
        </w:rPr>
        <w:t xml:space="preserve"> God to act. God moves by sovereign grace (Romans 9:16 — “it depends not on human will or exertion, but on God, who has mercy”).</w:t>
      </w:r>
    </w:p>
    <w:p>
      <w:pPr>
        <w:spacing w:after="80"/>
        <w:ind w:left="432"/>
      </w:pPr>
      <w:r>
        <w:rPr>
          <w:b/>
          <w:i w:val="0"/>
          <w:color w:val="9B7228"/>
        </w:rPr>
        <w:t xml:space="preserve">Confessions: </w:t>
      </w:r>
      <w:r>
        <w:rPr>
          <w:b w:val="0"/>
          <w:i w:val="0"/>
        </w:rPr>
        <w:t>Westminster 21 and Heidelberg on prayer treat fasting as a means God may bless, never a lever that obligates Him. Canons of Dort 3/4.12 — the supernatural work of grace is God’s, not unlocked by technique.</w:t>
      </w:r>
    </w:p>
    <w:p>
      <w:pPr>
        <w:spacing w:before="160" w:after="40"/>
      </w:pPr>
      <w:r>
        <w:rPr>
          <w:b/>
          <w:color w:val="1F2A44"/>
        </w:rPr>
        <w:t xml:space="preserve">06:07–06:21 / 23:20–25:19  </w:t>
      </w:r>
      <w:r>
        <w:rPr>
          <w:b/>
          <w:color w:val="B56A00"/>
        </w:rPr>
        <w:t>CAUTION</w:t>
      </w:r>
    </w:p>
    <w:p>
      <w:pPr>
        <w:spacing w:after="80"/>
        <w:ind w:left="432"/>
      </w:pPr>
      <w:r>
        <w:rPr>
          <w:i/>
          <w:color w:val="555555"/>
          <w:sz w:val="21"/>
        </w:rPr>
        <w:t>“You need a miracle and only God can do it. Fasting is a wonderful way to seek God for that. … (the daughter’s-surgery testimony) I went back to the Holy Spirit telling me to fast… and God brought her back.”</w:t>
      </w:r>
    </w:p>
    <w:p>
      <w:pPr>
        <w:spacing w:after="80"/>
        <w:ind w:left="432"/>
      </w:pPr>
      <w:r>
        <w:rPr>
          <w:b w:val="0"/>
          <w:i w:val="0"/>
        </w:rPr>
        <w:t xml:space="preserve">The testimony is moving and the instinct — urgent prayer in crisis — is right, but the framing makes fasting the thing that </w:t>
      </w:r>
      <w:r>
        <w:rPr>
          <w:b w:val="0"/>
          <w:i/>
        </w:rPr>
        <w:t>secured</w:t>
      </w:r>
      <w:r>
        <w:rPr>
          <w:b w:val="0"/>
          <w:i w:val="0"/>
        </w:rPr>
        <w:t xml:space="preserve"> the outcome. It stays CAUTION rather than RED FLAG because they also confess “only God can do it.” Contrast 2 Samuel 12:16–23, where David fasts for his child and the child still dies — and David worships anyway.</w:t>
      </w:r>
    </w:p>
    <w:p>
      <w:pPr>
        <w:spacing w:before="160" w:after="40"/>
      </w:pPr>
      <w:r>
        <w:rPr>
          <w:b/>
          <w:color w:val="1F2A44"/>
        </w:rPr>
        <w:t xml:space="preserve">10:09–10:18  </w:t>
      </w:r>
      <w:r>
        <w:rPr>
          <w:b/>
          <w:color w:val="B56A00"/>
        </w:rPr>
        <w:t>CAUTION</w:t>
      </w:r>
    </w:p>
    <w:p>
      <w:pPr>
        <w:spacing w:after="80"/>
        <w:ind w:left="432"/>
      </w:pPr>
      <w:r>
        <w:rPr>
          <w:i/>
          <w:color w:val="555555"/>
          <w:sz w:val="21"/>
        </w:rPr>
        <w:t>“Out of that fast came the ten commandments… fasting changed every one of our lives.”</w:t>
      </w:r>
    </w:p>
    <w:p>
      <w:pPr>
        <w:spacing w:after="80"/>
        <w:ind w:left="432"/>
      </w:pPr>
      <w:r>
        <w:rPr>
          <w:b w:val="0"/>
          <w:i w:val="0"/>
        </w:rPr>
        <w:t xml:space="preserve">Exodus 34:28 says Moses was with the Lord forty days without eating; the Decalogue came from God’s revelation, not was produced </w:t>
      </w:r>
      <w:r>
        <w:rPr>
          <w:b w:val="0"/>
          <w:i/>
        </w:rPr>
        <w:t>by</w:t>
      </w:r>
      <w:r>
        <w:rPr>
          <w:b w:val="0"/>
          <w:i w:val="0"/>
        </w:rPr>
        <w:t xml:space="preserve"> the fast. Minor eisegesis making the fast the cause of what God did.</w:t>
      </w:r>
    </w:p>
    <w:p>
      <w:pPr>
        <w:spacing w:before="160" w:after="40"/>
      </w:pPr>
      <w:r>
        <w:rPr>
          <w:b/>
          <w:color w:val="1F2A44"/>
        </w:rPr>
        <w:t xml:space="preserve">10:18–11:23  </w:t>
      </w:r>
      <w:r>
        <w:rPr>
          <w:b/>
          <w:color w:val="B56A00"/>
        </w:rPr>
        <w:t>CAUTION</w:t>
      </w:r>
    </w:p>
    <w:p>
      <w:pPr>
        <w:spacing w:after="80"/>
        <w:ind w:left="432"/>
      </w:pPr>
      <w:r>
        <w:rPr>
          <w:i/>
          <w:color w:val="555555"/>
          <w:sz w:val="21"/>
        </w:rPr>
        <w:t>“Your healing will quickly appear… your light will break forth like the dawn (Isaiah 58).”</w:t>
      </w:r>
    </w:p>
    <w:p>
      <w:pPr>
        <w:spacing w:after="80"/>
        <w:ind w:left="432"/>
      </w:pPr>
      <w:r>
        <w:rPr>
          <w:b w:val="0"/>
          <w:i w:val="0"/>
        </w:rPr>
        <w:t xml:space="preserve">Isaiah 58 is a </w:t>
      </w:r>
      <w:r>
        <w:rPr>
          <w:b w:val="0"/>
          <w:i/>
        </w:rPr>
        <w:t>rebuke</w:t>
      </w:r>
      <w:r>
        <w:rPr>
          <w:b w:val="0"/>
          <w:i w:val="0"/>
        </w:rPr>
        <w:t>: God rejects ritual fasting and ties those promises specifically to fasting expressed as justice and mercy to the oppressed (loosing chains, feeding the hungry). Lifting the promises off that condition and applying them to a generic three-day fast softens the prophet’s actual point. The “anybody need healing? your healing will quickly appear” framing also brushes the guaranteed-healing thread.</w:t>
      </w:r>
    </w:p>
    <w:p>
      <w:pPr>
        <w:spacing w:before="160" w:after="40"/>
      </w:pPr>
      <w:r>
        <w:rPr>
          <w:b/>
          <w:color w:val="1F2A44"/>
        </w:rPr>
        <w:t xml:space="preserve">14:38–15:07  </w:t>
      </w:r>
      <w:r>
        <w:rPr>
          <w:b/>
          <w:color w:val="B56A00"/>
        </w:rPr>
        <w:t>CAUTION</w:t>
      </w:r>
    </w:p>
    <w:p>
      <w:pPr>
        <w:spacing w:after="80"/>
        <w:ind w:left="432"/>
      </w:pPr>
      <w:r>
        <w:rPr>
          <w:i/>
          <w:color w:val="555555"/>
          <w:sz w:val="21"/>
        </w:rPr>
        <w:t>“(favorably quoting Bill Johnson of Bethel) nothing ever gets bigger than my consciousness of God.”</w:t>
      </w:r>
    </w:p>
    <w:p>
      <w:pPr>
        <w:spacing w:after="80"/>
        <w:ind w:left="432"/>
      </w:pPr>
      <w:r>
        <w:rPr>
          <w:b w:val="0"/>
          <w:i w:val="0"/>
        </w:rPr>
        <w:t>The quoted line itself is unobjectionable, but Bethel/Bill Johnson is associated with contested teaching, including problematic Christology and revelatory claims. Citing the source approvingly is worth noting for a discernment log (1 Thessalonians 5:21 — “test everything; hold fast what is good”).</w:t>
      </w:r>
    </w:p>
    <w:p>
      <w:pPr>
        <w:spacing w:before="160" w:after="40"/>
      </w:pPr>
      <w:r>
        <w:rPr>
          <w:b/>
          <w:color w:val="1F2A44"/>
        </w:rPr>
        <w:t xml:space="preserve">10:58–11:10 / 16:58–17:20  </w:t>
      </w:r>
      <w:r>
        <w:rPr>
          <w:b/>
          <w:color w:val="B56A00"/>
        </w:rPr>
        <w:t>CAUTION</w:t>
      </w:r>
    </w:p>
    <w:p>
      <w:pPr>
        <w:spacing w:after="80"/>
        <w:ind w:left="432"/>
      </w:pPr>
      <w:r>
        <w:rPr>
          <w:i/>
          <w:color w:val="555555"/>
          <w:sz w:val="21"/>
        </w:rPr>
        <w:t>“The word imprinted on my heart for 2026 is ‘unmuted.’ … the Lord put this word in my mind… ‘transformation.’”</w:t>
      </w:r>
    </w:p>
    <w:p>
      <w:pPr>
        <w:spacing w:after="80"/>
        <w:ind w:left="432"/>
      </w:pPr>
      <w:r>
        <w:rPr>
          <w:b w:val="0"/>
          <w:i w:val="0"/>
        </w:rPr>
        <w:t>Presented as impressions, which is the gentler end. The pressure point is the authority of private revelation: watch that “words for the year” stay clearly subordinate to Scripture and are not treated as binding revelation (Westminster 1.1, 1.6 — Scripture alone is the final rule; new revelation is not to be added).</w:t>
      </w:r>
    </w:p>
    <w:p>
      <w:pPr>
        <w:pStyle w:val="Heading2"/>
      </w:pPr>
      <w:r>
        <w:t>Minor &amp; Other Notes</w:t>
      </w:r>
    </w:p>
    <w:p>
      <w:pPr>
        <w:spacing w:before="160" w:after="40"/>
      </w:pPr>
      <w:r>
        <w:rPr>
          <w:b/>
          <w:color w:val="1F2A44"/>
        </w:rPr>
        <w:t xml:space="preserve">02:15–03:04  </w:t>
      </w:r>
      <w:r>
        <w:rPr>
          <w:b/>
          <w:color w:val="2E6B2E"/>
        </w:rPr>
        <w:t>ALIGNED</w:t>
      </w:r>
    </w:p>
    <w:p>
      <w:pPr>
        <w:spacing w:after="80"/>
        <w:ind w:left="432"/>
      </w:pPr>
      <w:r>
        <w:rPr>
          <w:i/>
          <w:color w:val="555555"/>
          <w:sz w:val="21"/>
        </w:rPr>
        <w:t>“We raised over $58,000 in our fight against human trafficking… we won’t know till we get to heaven how many lives we saved.”</w:t>
      </w:r>
    </w:p>
    <w:p>
      <w:pPr>
        <w:spacing w:after="80"/>
        <w:ind w:left="432"/>
      </w:pPr>
      <w:r>
        <w:rPr>
          <w:b w:val="0"/>
          <w:i w:val="0"/>
        </w:rPr>
        <w:t>A healthy contrast to the give-to-get thread elsewhere: generosity for a cause, with the hope-of-reward located explicitly in heaven, not in personal financial return (Matthew 6:19–21). Logged as sound.</w:t>
      </w:r>
    </w:p>
    <w:p>
      <w:pPr>
        <w:spacing w:before="160" w:after="40"/>
      </w:pPr>
      <w:r>
        <w:rPr>
          <w:b/>
          <w:color w:val="1F2A44"/>
        </w:rPr>
        <w:t xml:space="preserve">06:36–07:23  </w:t>
      </w:r>
      <w:r>
        <w:rPr>
          <w:b/>
          <w:color w:val="2E6B2E"/>
        </w:rPr>
        <w:t>ALIGNED</w:t>
      </w:r>
    </w:p>
    <w:p>
      <w:pPr>
        <w:spacing w:after="80"/>
        <w:ind w:left="432"/>
      </w:pPr>
      <w:r>
        <w:rPr>
          <w:i/>
          <w:color w:val="555555"/>
          <w:sz w:val="21"/>
        </w:rPr>
        <w:t>“Biblical fasting is not about dieting… not about proving how spiritual you are… choosing to go without physical food in order to seek after God.”</w:t>
      </w:r>
    </w:p>
    <w:p>
      <w:pPr>
        <w:spacing w:after="80"/>
        <w:ind w:left="432"/>
      </w:pPr>
      <w:r>
        <w:rPr>
          <w:b w:val="0"/>
          <w:i w:val="0"/>
        </w:rPr>
        <w:t>A careful, correct definition that actually cuts against the instrumentalism appearing elsewhere in the same message.</w:t>
      </w:r>
    </w:p>
    <w:p>
      <w:r>
        <w:br w:type="page"/>
      </w:r>
    </w:p>
    <w:p>
      <w:pPr>
        <w:pStyle w:val="Heading1"/>
      </w:pPr>
      <w:r>
        <w:t>Week 3 — “A Heart for God”</w:t>
      </w:r>
    </w:p>
    <w:p>
      <w:pPr>
        <w:spacing w:after="120"/>
      </w:pPr>
      <w:r>
        <w:rPr>
          <w:b/>
          <w:color w:val="1F2A44"/>
        </w:rPr>
        <w:t xml:space="preserve">Overall: </w:t>
      </w:r>
      <w:r/>
    </w:p>
    <w:p>
      <w:pPr>
        <w:spacing w:after="120"/>
      </w:pPr>
      <w:r>
        <w:rPr>
          <w:b/>
          <w:i w:val="0"/>
          <w:color w:val="B56A00"/>
        </w:rPr>
        <w:t>Orthodox but THIN — moralistic in structure (no red flags).</w:t>
      </w:r>
    </w:p>
    <w:p>
      <w:pPr>
        <w:spacing w:after="120"/>
      </w:pPr>
      <w:r>
        <w:rPr>
          <w:b/>
          <w:color w:val="1F2A44"/>
        </w:rPr>
        <w:t xml:space="preserve">Doctrine: </w:t>
      </w:r>
      <w:r>
        <w:t xml:space="preserve"> Orthodox. No Trinitarian, Christological, or soteriological error; the hard texts (Revelation 2:4; 1 John 2:15; James 4:4; 2 Corinthians 6:17) are handled without distortion.</w:t>
      </w:r>
    </w:p>
    <w:p>
      <w:pPr>
        <w:spacing w:after="120"/>
      </w:pPr>
      <w:r>
        <w:rPr>
          <w:b/>
          <w:color w:val="1F2A44"/>
        </w:rPr>
        <w:t xml:space="preserve">Depth: </w:t>
      </w:r>
      <w:r>
        <w:t xml:space="preserve"> Thin / exhortation-driven. This is the honest refinement of an initial “SOUND” read.</w:t>
      </w:r>
    </w:p>
    <w:p>
      <w:pPr>
        <w:spacing w:after="120" w:before="80"/>
      </w:pPr>
      <w:r>
        <w:rPr>
          <w:b w:val="0"/>
          <w:i w:val="0"/>
        </w:rPr>
        <w:t>The thesis — that the most important seed to sow is love for God (Matthew 22:37) — is biblical, and the sermon is built on accurately handled Scripture. But the body is structurally a motivational moral checklist — “sow these six seeds to reap a heart for God” — and the engine is human effort, not the grace of God in Christ.</w:t>
      </w:r>
    </w:p>
    <w:p>
      <w:pPr>
        <w:pStyle w:val="Heading2"/>
      </w:pPr>
      <w:r>
        <w:t>Why it reads as thin rather than sound</w:t>
      </w:r>
    </w:p>
    <w:p>
      <w:pPr>
        <w:pStyle w:val="ListBullet"/>
      </w:pPr>
      <w:r>
        <w:rPr>
          <w:b/>
          <w:i w:val="0"/>
        </w:rPr>
        <w:t xml:space="preserve">Imperative, not indicative. </w:t>
      </w:r>
      <w:r>
        <w:rPr>
          <w:b w:val="0"/>
          <w:i w:val="0"/>
        </w:rPr>
        <w:t>Biblical preaching moves from what God has done in Christ (indicative) to therefore live this way (imperative). This sermon runs almost entirely in the imperative, and the motivation offered for loving God is mostly fear of loss and willpower — not God’s prior love drawing ours (1 John 4:19 — “we love because he first loved us,” the verse the topic begs for and never reaches).</w:t>
      </w:r>
    </w:p>
    <w:p>
      <w:pPr>
        <w:pStyle w:val="ListBullet"/>
      </w:pPr>
      <w:r>
        <w:rPr>
          <w:b/>
          <w:i w:val="0"/>
        </w:rPr>
        <w:t xml:space="preserve">The “six seeds” are a sanctification to-do list with no grace engine. </w:t>
      </w:r>
      <w:r>
        <w:rPr>
          <w:b w:val="0"/>
          <w:i w:val="0"/>
        </w:rPr>
        <w:t>Humility, prayer, Bible reading, worship, fellowship, giving are presented as inputs that produce a heart for God. This inverts the biblical order: a new heart is God’s gift (Ezekiel 36:26; Philippians 2:13 — “God works in you”), and these practices flow from regenerating grace, not manufacture it. As framed, it is close to moralism.</w:t>
      </w:r>
    </w:p>
    <w:p>
      <w:pPr>
        <w:pStyle w:val="ListBullet"/>
      </w:pPr>
      <w:r>
        <w:rPr>
          <w:b/>
          <w:i w:val="0"/>
        </w:rPr>
        <w:t xml:space="preserve">The cross is referenced, not preached. </w:t>
      </w:r>
      <w:r>
        <w:rPr>
          <w:b w:val="0"/>
          <w:i w:val="0"/>
        </w:rPr>
        <w:t>Substitutionary atonement appears chiefly in the bolt-on close (28:35 altar call; 30:23 communion). The sermon’s actual argument — how to get a heart for God — never runs through the cross.</w:t>
      </w:r>
    </w:p>
    <w:p>
      <w:pPr>
        <w:pStyle w:val="Heading2"/>
      </w:pPr>
      <w:r>
        <w:t>Cautions</w:t>
      </w:r>
    </w:p>
    <w:p>
      <w:pPr>
        <w:spacing w:before="160" w:after="40"/>
      </w:pPr>
      <w:r>
        <w:rPr>
          <w:b/>
          <w:color w:val="1F2A44"/>
        </w:rPr>
        <w:t xml:space="preserve">05:01–05:13  </w:t>
      </w:r>
      <w:r>
        <w:rPr>
          <w:b/>
          <w:color w:val="B56A00"/>
        </w:rPr>
        <w:t>CAUTION</w:t>
      </w:r>
    </w:p>
    <w:p>
      <w:pPr>
        <w:spacing w:after="80"/>
        <w:ind w:left="432"/>
      </w:pPr>
      <w:r>
        <w:rPr>
          <w:i/>
          <w:color w:val="555555"/>
          <w:sz w:val="21"/>
        </w:rPr>
        <w:t>“It really is an immutable law, a law of God, a spiritual law of sowing and reaping.”</w:t>
      </w:r>
    </w:p>
    <w:p>
      <w:pPr>
        <w:spacing w:after="80"/>
        <w:ind w:left="432"/>
      </w:pPr>
      <w:r>
        <w:rPr>
          <w:b w:val="0"/>
          <w:i w:val="0"/>
        </w:rPr>
        <w:t xml:space="preserve">Hardens Galatians 6:7 into an automatic mechanism. Paul means God’s certain moral judgment (“God is not mocked”), not an impersonal law that operates automatically. Somewhat balanced by his pivot to </w:t>
      </w:r>
      <w:r>
        <w:rPr>
          <w:b w:val="0"/>
          <w:i/>
        </w:rPr>
        <w:t>eternal</w:t>
      </w:r>
      <w:r>
        <w:rPr>
          <w:b w:val="0"/>
          <w:i w:val="0"/>
        </w:rPr>
        <w:t xml:space="preserve"> things at 06:18–06:34.</w:t>
      </w:r>
    </w:p>
    <w:p>
      <w:pPr>
        <w:spacing w:before="160" w:after="40"/>
      </w:pPr>
      <w:r>
        <w:rPr>
          <w:b/>
          <w:color w:val="1F2A44"/>
        </w:rPr>
        <w:t xml:space="preserve">05:31–05:40  </w:t>
      </w:r>
      <w:r>
        <w:rPr>
          <w:b/>
          <w:color w:val="B56A00"/>
        </w:rPr>
        <w:t>CAUTION</w:t>
      </w:r>
    </w:p>
    <w:p>
      <w:pPr>
        <w:spacing w:after="80"/>
        <w:ind w:left="432"/>
      </w:pPr>
      <w:r>
        <w:rPr>
          <w:i/>
          <w:color w:val="555555"/>
          <w:sz w:val="21"/>
        </w:rPr>
        <w:t>“As a man thinks, so is he.”</w:t>
      </w:r>
    </w:p>
    <w:p>
      <w:pPr>
        <w:spacing w:after="80"/>
        <w:ind w:left="432"/>
      </w:pPr>
      <w:r>
        <w:rPr>
          <w:b w:val="0"/>
          <w:i w:val="0"/>
        </w:rPr>
        <w:t>A popular paraphrase of Proverbs 23:7, but that verse in context is about a stingy host whose true thoughts belie his words — not a “your thoughts shape your destiny” proverb. The lightest cousin of the thought-creates-reality thread.</w:t>
      </w:r>
    </w:p>
    <w:p>
      <w:pPr>
        <w:spacing w:before="160" w:after="40"/>
      </w:pPr>
      <w:r>
        <w:rPr>
          <w:b/>
          <w:color w:val="1F2A44"/>
        </w:rPr>
        <w:t xml:space="preserve">19:50–23:53  </w:t>
      </w:r>
      <w:r>
        <w:rPr>
          <w:b/>
          <w:color w:val="B56A00"/>
        </w:rPr>
        <w:t>CAUTION</w:t>
      </w:r>
    </w:p>
    <w:p>
      <w:pPr>
        <w:spacing w:after="80"/>
        <w:ind w:left="432"/>
      </w:pPr>
      <w:r>
        <w:rPr>
          <w:i/>
          <w:color w:val="555555"/>
          <w:sz w:val="21"/>
        </w:rPr>
        <w:t>“There are six seeds that you can sow in your own life in order to reap a heart for God…”</w:t>
      </w:r>
    </w:p>
    <w:p>
      <w:pPr>
        <w:spacing w:after="80"/>
        <w:ind w:left="432"/>
      </w:pPr>
      <w:r>
        <w:rPr>
          <w:b w:val="0"/>
          <w:i w:val="0"/>
        </w:rPr>
        <w:t xml:space="preserve">The sermon’s main depth weakness: disciplines framed as inputs that </w:t>
      </w:r>
      <w:r>
        <w:rPr>
          <w:b w:val="0"/>
          <w:i/>
        </w:rPr>
        <w:t>produce</w:t>
      </w:r>
      <w:r>
        <w:rPr>
          <w:b w:val="0"/>
          <w:i w:val="0"/>
        </w:rPr>
        <w:t xml:space="preserve"> a heart for God, inverting the order of Ezekiel 36:26 and Philippians 2:13. Edges toward moralism.</w:t>
      </w:r>
    </w:p>
    <w:p>
      <w:pPr>
        <w:spacing w:before="160" w:after="40"/>
      </w:pPr>
      <w:r>
        <w:rPr>
          <w:b/>
          <w:color w:val="1F2A44"/>
        </w:rPr>
        <w:t xml:space="preserve">23:19–23:53  </w:t>
      </w:r>
      <w:r>
        <w:rPr>
          <w:b/>
          <w:color w:val="B56A00"/>
        </w:rPr>
        <w:t>CAUTION</w:t>
      </w:r>
    </w:p>
    <w:p>
      <w:pPr>
        <w:spacing w:after="80"/>
        <w:ind w:left="432"/>
      </w:pPr>
      <w:r>
        <w:rPr>
          <w:i/>
          <w:color w:val="555555"/>
          <w:sz w:val="21"/>
        </w:rPr>
        <w:t>“Regular giving of your finances to God… one of the most powerful seeds you can sow in order to reap a heart for God.”</w:t>
      </w:r>
    </w:p>
    <w:p>
      <w:pPr>
        <w:spacing w:after="80"/>
        <w:ind w:left="432"/>
      </w:pPr>
      <w:r>
        <w:rPr>
          <w:b w:val="0"/>
          <w:i w:val="0"/>
        </w:rPr>
        <w:t xml:space="preserve">The tracked give-and-blessing thread, but the </w:t>
      </w:r>
      <w:r>
        <w:rPr>
          <w:b w:val="0"/>
          <w:i/>
        </w:rPr>
        <w:t>soundest</w:t>
      </w:r>
      <w:r>
        <w:rPr>
          <w:b w:val="0"/>
          <w:i w:val="0"/>
        </w:rPr>
        <w:t xml:space="preserve"> form of it in the series: grounded in Matthew 6:21 (“where your treasure is, there your heart will be also”), so the promised return is a heart for God, not money. Still frames a discipline as a lever, hence a caution rather than aligned.</w:t>
      </w:r>
    </w:p>
    <w:p>
      <w:pPr>
        <w:spacing w:before="160" w:after="40"/>
      </w:pPr>
      <w:r>
        <w:rPr>
          <w:b/>
          <w:color w:val="1F2A44"/>
        </w:rPr>
        <w:t xml:space="preserve">15:30–15:46  </w:t>
      </w:r>
      <w:r>
        <w:rPr>
          <w:b/>
          <w:color w:val="B56A00"/>
        </w:rPr>
        <w:t>CAUTION</w:t>
      </w:r>
    </w:p>
    <w:p>
      <w:pPr>
        <w:spacing w:after="80"/>
        <w:ind w:left="432"/>
      </w:pPr>
      <w:r>
        <w:rPr>
          <w:i/>
          <w:color w:val="555555"/>
          <w:sz w:val="21"/>
        </w:rPr>
        <w:t>“Jesus is coming very soon, I believe.”</w:t>
      </w:r>
    </w:p>
    <w:p>
      <w:pPr>
        <w:spacing w:after="80"/>
        <w:ind w:left="432"/>
      </w:pPr>
      <w:r>
        <w:rPr>
          <w:b w:val="0"/>
          <w:i w:val="0"/>
        </w:rPr>
        <w:t>Imminence is within historic Christian hope, but stated near-certainty about timing brushes Matthew 24:36 (“concerning that day and hour no one knows”). Hedged with “I believe,” so a mild caution.</w:t>
      </w:r>
    </w:p>
    <w:p>
      <w:pPr>
        <w:pStyle w:val="Heading2"/>
      </w:pPr>
      <w:r>
        <w:t>Minor &amp; Other Notes</w:t>
      </w:r>
    </w:p>
    <w:p>
      <w:pPr>
        <w:spacing w:before="160" w:after="40"/>
      </w:pPr>
      <w:r>
        <w:rPr>
          <w:b/>
          <w:color w:val="1F2A44"/>
        </w:rPr>
        <w:t xml:space="preserve">22:18–22:34  </w:t>
      </w:r>
      <w:r>
        <w:rPr>
          <w:b/>
          <w:color w:val="2E6B2E"/>
        </w:rPr>
        <w:t>ALIGNED</w:t>
      </w:r>
    </w:p>
    <w:p>
      <w:pPr>
        <w:spacing w:after="80"/>
        <w:ind w:left="432"/>
      </w:pPr>
      <w:r>
        <w:rPr>
          <w:i/>
          <w:color w:val="555555"/>
          <w:sz w:val="21"/>
        </w:rPr>
        <w:t>“If you get so spiritual that you no longer thank God for sending Jesus and Jesus for giving his life as a sacrifice, you’re way too spiritual.”</w:t>
      </w:r>
    </w:p>
    <w:p>
      <w:pPr>
        <w:spacing w:after="80"/>
        <w:ind w:left="432"/>
      </w:pPr>
      <w:r>
        <w:rPr>
          <w:b w:val="0"/>
          <w:i w:val="0"/>
        </w:rPr>
        <w:t>Commendable and the least thin part of the sermon — an in-house corrective against the experience-over-cross drift to which charismatic settings are prone. For a few seconds the cross is treated as the center rather than the add-on.</w:t>
      </w:r>
    </w:p>
    <w:p>
      <w:pPr>
        <w:spacing w:before="160" w:after="40"/>
      </w:pPr>
      <w:r>
        <w:rPr>
          <w:b/>
          <w:color w:val="1F2A44"/>
        </w:rPr>
        <w:t xml:space="preserve">18:55–19:22  </w:t>
      </w:r>
      <w:r>
        <w:rPr>
          <w:b/>
          <w:color w:val="2E6B2E"/>
        </w:rPr>
        <w:t>ALIGNED</w:t>
      </w:r>
    </w:p>
    <w:p>
      <w:pPr>
        <w:spacing w:after="80"/>
        <w:ind w:left="432"/>
      </w:pPr>
      <w:r>
        <w:rPr>
          <w:i/>
          <w:color w:val="555555"/>
          <w:sz w:val="21"/>
        </w:rPr>
        <w:t>“Parents planting love for God in children (Matthew 6:33).”</w:t>
      </w:r>
    </w:p>
    <w:p>
      <w:pPr>
        <w:spacing w:after="80"/>
        <w:ind w:left="432"/>
      </w:pPr>
      <w:r>
        <w:rPr>
          <w:b w:val="0"/>
          <w:i w:val="0"/>
        </w:rPr>
        <w:t>Sound generational discipleship — covenantal nurture, which the Reformed tradition affirms strongly (Deuteronomy 6:6–7). No works-righteousness.</w:t>
      </w:r>
    </w:p>
    <w:p>
      <w:pPr>
        <w:spacing w:before="160" w:after="40"/>
      </w:pPr>
      <w:r>
        <w:rPr>
          <w:b/>
          <w:color w:val="1F2A44"/>
        </w:rPr>
        <w:t xml:space="preserve">14:08–14:17  </w:t>
      </w:r>
      <w:r>
        <w:rPr>
          <w:b/>
          <w:color w:val="2E6B2E"/>
        </w:rPr>
        <w:t>ALIGNED</w:t>
      </w:r>
    </w:p>
    <w:p>
      <w:pPr>
        <w:spacing w:after="80"/>
        <w:ind w:left="432"/>
      </w:pPr>
      <w:r>
        <w:rPr>
          <w:i/>
          <w:color w:val="555555"/>
          <w:sz w:val="21"/>
        </w:rPr>
        <w:t>“We should be absolutely terrified by the thought of making ourselves enemies of God.”</w:t>
      </w:r>
    </w:p>
    <w:p>
      <w:pPr>
        <w:spacing w:after="80"/>
        <w:ind w:left="432"/>
      </w:pPr>
      <w:r>
        <w:rPr>
          <w:b w:val="0"/>
          <w:i w:val="0"/>
        </w:rPr>
        <w:t>Strong language, but a faithful application of James 4:4 and the fear of God (Proverbs 9:10). Sound, just intense.</w:t>
      </w:r>
    </w:p>
    <w:p>
      <w:r>
        <w:br w:type="page"/>
      </w:r>
    </w:p>
    <w:p>
      <w:pPr>
        <w:pStyle w:val="Heading1"/>
      </w:pPr>
      <w:r>
        <w:t>Series Finale — “Sowing Relationships” (Life Group Sunday)</w:t>
      </w:r>
    </w:p>
    <w:p>
      <w:pPr>
        <w:spacing w:after="120"/>
      </w:pPr>
      <w:r>
        <w:rPr>
          <w:b/>
          <w:color w:val="1F2A44"/>
        </w:rPr>
        <w:t xml:space="preserve">Overall: </w:t>
      </w:r>
      <w:r/>
    </w:p>
    <w:p>
      <w:pPr>
        <w:spacing w:after="120"/>
      </w:pPr>
      <w:r>
        <w:rPr>
          <w:b/>
          <w:i w:val="0"/>
          <w:color w:val="B56A00"/>
        </w:rPr>
        <w:t>Orthodox but THIN — a ministry-promotion talk; the thinnest in the series (no red flags).</w:t>
      </w:r>
    </w:p>
    <w:p>
      <w:pPr>
        <w:spacing w:after="120"/>
      </w:pPr>
      <w:r>
        <w:rPr>
          <w:b/>
          <w:color w:val="1F2A44"/>
        </w:rPr>
        <w:t xml:space="preserve">Doctrine: </w:t>
      </w:r>
      <w:r>
        <w:t xml:space="preserve"> Orthodox. The community texts (John 13:35; Acts 2:44; Galatians 6:2; Proverbs 27:17) are handled accurately and in context; communion close is sound.</w:t>
      </w:r>
    </w:p>
    <w:p>
      <w:pPr>
        <w:spacing w:after="120"/>
      </w:pPr>
      <w:r>
        <w:rPr>
          <w:b/>
          <w:color w:val="1F2A44"/>
        </w:rPr>
        <w:t xml:space="preserve">Depth: </w:t>
      </w:r>
      <w:r>
        <w:t xml:space="preserve"> Thinnest in the series. Essentially a life-group promotional built around four benefits (encouragement, growth, accountability, support) — true and pleasant, but a church-program pitch decorated with verses, not an exposition of the gospel. There is essentially no gospel proclamation in the body: no exposition of sin, grace, the cross, or justification. The atonement appears only in the closing communion liturgy.</w:t>
      </w:r>
    </w:p>
    <w:p>
      <w:pPr>
        <w:pStyle w:val="Heading2"/>
      </w:pPr>
      <w:r>
        <w:t>Cautions</w:t>
      </w:r>
    </w:p>
    <w:p>
      <w:pPr>
        <w:spacing w:before="160" w:after="40"/>
      </w:pPr>
      <w:r>
        <w:rPr>
          <w:b/>
          <w:color w:val="1F2A44"/>
        </w:rPr>
        <w:t xml:space="preserve">30:53–31:06 / 34:58–35:45  </w:t>
      </w:r>
      <w:r>
        <w:rPr>
          <w:b/>
          <w:color w:val="B56A00"/>
        </w:rPr>
        <w:t>CAUTION</w:t>
      </w:r>
    </w:p>
    <w:p>
      <w:pPr>
        <w:spacing w:after="80"/>
        <w:ind w:left="432"/>
      </w:pPr>
      <w:r>
        <w:rPr>
          <w:i/>
          <w:color w:val="555555"/>
          <w:sz w:val="21"/>
        </w:rPr>
        <w:t>“Everything in your life is grown from the seeds you have sown… it’s the law of sowing and reaping. … If you don’t sow… you will not grow any relationships. It’s the law of sowing and reaping.”</w:t>
      </w:r>
    </w:p>
    <w:p>
      <w:pPr>
        <w:spacing w:after="80"/>
        <w:ind w:left="432"/>
      </w:pPr>
      <w:r>
        <w:rPr>
          <w:b w:val="0"/>
          <w:i w:val="0"/>
        </w:rPr>
        <w:t>The series’ recurring “immutable law” framing again. Applied to relationships it is nearly harmless — relationships genuinely do require investment — but the law-language keeps treating Galatians 6:7 as an automatic principle rather than God’s moral judgment.</w:t>
      </w:r>
    </w:p>
    <w:p>
      <w:pPr>
        <w:spacing w:before="160" w:after="40"/>
      </w:pPr>
      <w:r>
        <w:rPr>
          <w:b/>
          <w:color w:val="1F2A44"/>
        </w:rPr>
        <w:t xml:space="preserve">36:24–37:46 / 50:01–50:29  </w:t>
      </w:r>
      <w:r>
        <w:rPr>
          <w:b/>
          <w:color w:val="B56A00"/>
        </w:rPr>
        <w:t>CAUTION</w:t>
      </w:r>
    </w:p>
    <w:p>
      <w:pPr>
        <w:spacing w:after="80"/>
        <w:ind w:left="432"/>
      </w:pPr>
      <w:r>
        <w:rPr>
          <w:i/>
          <w:color w:val="555555"/>
          <w:sz w:val="21"/>
        </w:rPr>
        <w:t>“The life and the power and the presence of God is amplified in us when we come together.”</w:t>
      </w:r>
    </w:p>
    <w:p>
      <w:pPr>
        <w:spacing w:after="80"/>
        <w:ind w:left="432"/>
      </w:pPr>
      <w:r>
        <w:rPr>
          <w:b w:val="0"/>
          <w:i w:val="0"/>
        </w:rPr>
        <w:t xml:space="preserve">Fellowship is genuinely a means of grace (Hebrews 10:24–25), but “amplified” leans toward the charismatic presence-intensity idiom. God’s presence is not increased by our gathering; our </w:t>
      </w:r>
      <w:r>
        <w:rPr>
          <w:b w:val="0"/>
          <w:i/>
        </w:rPr>
        <w:t>apprehension</w:t>
      </w:r>
      <w:r>
        <w:rPr>
          <w:b w:val="0"/>
          <w:i w:val="0"/>
        </w:rPr>
        <w:t xml:space="preserve"> of it may be. Mild.</w:t>
      </w:r>
    </w:p>
    <w:p>
      <w:pPr>
        <w:spacing w:before="160" w:after="40"/>
      </w:pPr>
      <w:r>
        <w:rPr>
          <w:b/>
          <w:color w:val="1F2A44"/>
        </w:rPr>
        <w:t xml:space="preserve">37:22–37:51  </w:t>
      </w:r>
      <w:r>
        <w:rPr>
          <w:b/>
          <w:color w:val="B56A00"/>
        </w:rPr>
        <w:t>CAUTION</w:t>
      </w:r>
    </w:p>
    <w:p>
      <w:pPr>
        <w:spacing w:after="80"/>
        <w:ind w:left="432"/>
      </w:pPr>
      <w:r>
        <w:rPr>
          <w:i/>
          <w:color w:val="555555"/>
          <w:sz w:val="21"/>
        </w:rPr>
        <w:t>“Jesus gives us hints to the keys to the kingdom… when you pray, when you fast, when you give… another key to the kingdom is to find your place in the body of Christ.”</w:t>
      </w:r>
    </w:p>
    <w:p>
      <w:pPr>
        <w:spacing w:after="80"/>
        <w:ind w:left="432"/>
      </w:pPr>
      <w:r>
        <w:rPr>
          <w:b w:val="0"/>
          <w:i w:val="0"/>
        </w:rPr>
        <w:t>The “keys to the kingdom = spiritual techniques that unlock results” framing recurs from Week 2. Community framed as a kingdom-key/lever. In Matthew 16:19 the “keys of the kingdom” concern the authority to bind and loose (gospel proclamation and church discipline), not a set of practices that unlock blessing.</w:t>
      </w:r>
    </w:p>
    <w:p>
      <w:pPr>
        <w:spacing w:before="160" w:after="40"/>
      </w:pPr>
      <w:r>
        <w:rPr>
          <w:b/>
          <w:color w:val="1F2A44"/>
        </w:rPr>
        <w:t xml:space="preserve">51:00–51:43  </w:t>
      </w:r>
      <w:r>
        <w:rPr>
          <w:b/>
          <w:color w:val="B56A00"/>
        </w:rPr>
        <w:t>CAUTION</w:t>
      </w:r>
    </w:p>
    <w:p>
      <w:pPr>
        <w:spacing w:after="80"/>
        <w:ind w:left="432"/>
      </w:pPr>
      <w:r>
        <w:rPr>
          <w:i/>
          <w:color w:val="555555"/>
          <w:sz w:val="21"/>
        </w:rPr>
        <w:t>“Discouragement is the number one thing the enemy uses… the enemy wants to separate us.”</w:t>
      </w:r>
    </w:p>
    <w:p>
      <w:pPr>
        <w:spacing w:after="80"/>
        <w:ind w:left="432"/>
      </w:pPr>
      <w:r>
        <w:rPr>
          <w:b w:val="0"/>
          <w:i w:val="0"/>
        </w:rPr>
        <w:t>Reasonable spiritual-warfare language, but heavy attribution of ordinary busyness and discouragement to “the enemy.” Scripture also assigns such things to the flesh and to circumstance (James 1:14; Ecclesiastes), so the single-cause framing is worth a mild caution.</w:t>
      </w:r>
    </w:p>
    <w:p>
      <w:pPr>
        <w:spacing w:before="160" w:after="40"/>
      </w:pPr>
      <w:r>
        <w:rPr>
          <w:b/>
          <w:color w:val="1F2A44"/>
        </w:rPr>
        <w:t xml:space="preserve">38:23–38:30 / 39:23–39:38  </w:t>
      </w:r>
      <w:r>
        <w:rPr>
          <w:b/>
          <w:color w:val="B56A00"/>
        </w:rPr>
        <w:t>CAUTION</w:t>
      </w:r>
    </w:p>
    <w:p>
      <w:pPr>
        <w:spacing w:after="80"/>
        <w:ind w:left="432"/>
      </w:pPr>
      <w:r>
        <w:rPr>
          <w:i/>
          <w:color w:val="555555"/>
          <w:sz w:val="21"/>
        </w:rPr>
        <w:t>“(the Hebrew word ‘anava’) … honeybee vs. wasp.”</w:t>
      </w:r>
    </w:p>
    <w:p>
      <w:pPr>
        <w:spacing w:after="80"/>
        <w:ind w:left="432"/>
      </w:pPr>
      <w:r>
        <w:rPr>
          <w:b w:val="0"/>
          <w:i w:val="0"/>
        </w:rPr>
        <w:t>Loose / folk-etymology word studies presented as insight. Not error, just imprecise handling — the kind of thing that, repeated, trains a congregation to read meaning into words rather than texts.</w:t>
      </w:r>
    </w:p>
    <w:p>
      <w:pPr>
        <w:pStyle w:val="Heading2"/>
      </w:pPr>
      <w:r>
        <w:t>Minor &amp; Other Notes</w:t>
      </w:r>
    </w:p>
    <w:p>
      <w:pPr>
        <w:spacing w:before="160" w:after="40"/>
      </w:pPr>
      <w:r>
        <w:rPr>
          <w:b/>
          <w:color w:val="1F2A44"/>
        </w:rPr>
        <w:t xml:space="preserve">18:13–19:03  </w:t>
      </w:r>
      <w:r>
        <w:rPr>
          <w:b/>
          <w:color w:val="2E6B2E"/>
        </w:rPr>
        <w:t>ALIGNED</w:t>
      </w:r>
    </w:p>
    <w:p>
      <w:pPr>
        <w:spacing w:after="80"/>
        <w:ind w:left="432"/>
      </w:pPr>
      <w:r>
        <w:rPr>
          <w:i/>
          <w:color w:val="555555"/>
          <w:sz w:val="21"/>
        </w:rPr>
        <w:t>“(the ‘Make Room’ building-fund appeal) every dollar… goes straight to the bottom line of that building project.”</w:t>
      </w:r>
    </w:p>
    <w:p>
      <w:pPr>
        <w:spacing w:after="80"/>
        <w:ind w:left="432"/>
      </w:pPr>
      <w:r>
        <w:rPr>
          <w:b w:val="0"/>
          <w:i w:val="0"/>
        </w:rPr>
        <w:t xml:space="preserve">Notably </w:t>
      </w:r>
      <w:r>
        <w:rPr>
          <w:b w:val="0"/>
          <w:i/>
        </w:rPr>
        <w:t>not</w:t>
      </w:r>
      <w:r>
        <w:rPr>
          <w:b w:val="0"/>
          <w:i w:val="0"/>
        </w:rPr>
        <w:t xml:space="preserve"> give-to-get: framed as corporate faith and sacrifice with no promise of personal return. The healthiest end of the giving thread tracked across the series (2 Corinthians 9:7 — “each one… as he has decided in his heart”).</w:t>
      </w:r>
    </w:p>
    <w:p>
      <w:pPr>
        <w:spacing w:before="160" w:after="40"/>
      </w:pPr>
      <w:r>
        <w:rPr>
          <w:b/>
          <w:color w:val="1F2A44"/>
        </w:rPr>
        <w:t xml:space="preserve">28:08–29:24  </w:t>
      </w:r>
      <w:r>
        <w:rPr>
          <w:b/>
          <w:color w:val="2E6B2E"/>
        </w:rPr>
        <w:t>ALIGNED</w:t>
      </w:r>
    </w:p>
    <w:p>
      <w:pPr>
        <w:spacing w:after="80"/>
        <w:ind w:left="432"/>
      </w:pPr>
      <w:r>
        <w:rPr>
          <w:i/>
          <w:color w:val="555555"/>
          <w:sz w:val="21"/>
        </w:rPr>
        <w:t>“(prayer for Iran, Israel, the military; report of the Iranian house-church revival)”</w:t>
      </w:r>
    </w:p>
    <w:p>
      <w:pPr>
        <w:spacing w:after="80"/>
        <w:ind w:left="432"/>
      </w:pPr>
      <w:r>
        <w:rPr>
          <w:b w:val="0"/>
          <w:i w:val="0"/>
        </w:rPr>
        <w:t>Sound, outward-looking intercession — good content. One non-doctrinal note for your own verification: the claim “we are engaged in a war in Iran” (as of March 30, 2026) is a current-events assertion that cannot be checked from the transcript and is not a theological issue.</w:t>
      </w:r>
    </w:p>
    <w:p>
      <w:pPr>
        <w:spacing w:before="160" w:after="40"/>
      </w:pPr>
      <w:r>
        <w:rPr>
          <w:b/>
          <w:color w:val="1F2A44"/>
        </w:rPr>
        <w:t xml:space="preserve">46:01–46:08  </w:t>
      </w:r>
      <w:r>
        <w:rPr>
          <w:b/>
          <w:color w:val="555555"/>
        </w:rPr>
        <w:t>MINOR</w:t>
      </w:r>
    </w:p>
    <w:p>
      <w:pPr>
        <w:spacing w:after="80"/>
        <w:ind w:left="432"/>
      </w:pPr>
      <w:r>
        <w:rPr>
          <w:i/>
          <w:color w:val="555555"/>
          <w:sz w:val="21"/>
        </w:rPr>
        <w:t>“The last thing Jesus did before he left the disciples was make breakfast for them.”</w:t>
      </w:r>
    </w:p>
    <w:p>
      <w:pPr>
        <w:spacing w:after="80"/>
        <w:ind w:left="432"/>
      </w:pPr>
      <w:r>
        <w:rPr>
          <w:b w:val="0"/>
          <w:i w:val="0"/>
        </w:rPr>
        <w:t>Minor imprecision (the Ascension and Great Commission followed John 21), but a harmless illustration.</w:t>
      </w:r>
    </w:p>
    <w:p>
      <w:r>
        <w:br w:type="page"/>
      </w:r>
    </w:p>
    <w:p>
      <w:pPr>
        <w:pStyle w:val="Heading1"/>
      </w:pPr>
      <w:r>
        <w:t>For Comparison — “Trusting God in Times of Mourning”</w:t>
      </w:r>
    </w:p>
    <w:p>
      <w:pPr>
        <w:spacing w:after="120"/>
      </w:pPr>
      <w:r>
        <w:rPr>
          <w:b w:val="0"/>
          <w:i/>
          <w:color w:val="555555"/>
        </w:rPr>
        <w:t>(Final week of the prior “Trusting in Tough Times” series — included because it is the one message that is both orthodox and substantive, and because it actively teaches against the prosperity/happiness theology that trips the flags elsewhere.)</w:t>
      </w:r>
    </w:p>
    <w:p>
      <w:pPr>
        <w:spacing w:after="120"/>
      </w:pPr>
      <w:r>
        <w:rPr>
          <w:b/>
          <w:color w:val="1F2A44"/>
        </w:rPr>
        <w:t xml:space="preserve">Overall: </w:t>
      </w:r>
      <w:r/>
    </w:p>
    <w:p>
      <w:pPr>
        <w:spacing w:after="120"/>
      </w:pPr>
      <w:r>
        <w:rPr>
          <w:b/>
          <w:i w:val="0"/>
          <w:color w:val="2E6B2E"/>
        </w:rPr>
        <w:t>SOUND — doctrinally true and theologically substantive.</w:t>
      </w:r>
    </w:p>
    <w:p>
      <w:pPr>
        <w:pStyle w:val="Heading2"/>
      </w:pPr>
      <w:r>
        <w:t>Why it stands apart</w:t>
      </w:r>
    </w:p>
    <w:p>
      <w:pPr>
        <w:spacing w:before="160" w:after="40"/>
      </w:pPr>
      <w:r>
        <w:rPr>
          <w:b/>
          <w:color w:val="1F2A44"/>
        </w:rPr>
        <w:t xml:space="preserve">32:07–33:27  </w:t>
      </w:r>
      <w:r>
        <w:rPr>
          <w:b/>
          <w:color w:val="2E6B2E"/>
        </w:rPr>
        <w:t>ALIGNED</w:t>
      </w:r>
    </w:p>
    <w:p>
      <w:pPr>
        <w:spacing w:after="80"/>
        <w:ind w:left="432"/>
      </w:pPr>
      <w:r>
        <w:rPr>
          <w:i/>
          <w:color w:val="555555"/>
          <w:sz w:val="21"/>
        </w:rPr>
        <w:t>“Jesus didn’t come to make us happy all the time. He came to give us abundant life, eternal life, which is different from happiness… Christianity is not a life of bliss-filled happiness all the time.”</w:t>
      </w:r>
    </w:p>
    <w:p>
      <w:pPr>
        <w:spacing w:after="80"/>
        <w:ind w:left="432"/>
      </w:pPr>
      <w:r>
        <w:rPr>
          <w:b w:val="0"/>
          <w:i w:val="0"/>
        </w:rPr>
        <w:t>A direct repudiation of the health-and-happiness theology Week 5 leaned into, grounded in Christ’s grief at Gethsemane (Matthew 26:36–38) and “Jesus wept” (John 11:33–35). Heidelberg Q.1 and the Reformed view of the cross-shaped Christian life affirm this.</w:t>
      </w:r>
    </w:p>
    <w:p>
      <w:pPr>
        <w:spacing w:before="160" w:after="40"/>
      </w:pPr>
      <w:r>
        <w:rPr>
          <w:b/>
          <w:color w:val="1F2A44"/>
        </w:rPr>
        <w:t xml:space="preserve">36:11–37:34  </w:t>
      </w:r>
      <w:r>
        <w:rPr>
          <w:b/>
          <w:color w:val="2E6B2E"/>
        </w:rPr>
        <w:t>ALIGNED</w:t>
      </w:r>
    </w:p>
    <w:p>
      <w:pPr>
        <w:spacing w:after="80"/>
        <w:ind w:left="432"/>
      </w:pPr>
      <w:r>
        <w:rPr>
          <w:i/>
          <w:color w:val="555555"/>
          <w:sz w:val="21"/>
        </w:rPr>
        <w:t>“Go to God… don’t be polite, be honest, God can handle it (Psalm 31:9–10; Psalm 88).”</w:t>
      </w:r>
    </w:p>
    <w:p>
      <w:pPr>
        <w:spacing w:after="80"/>
        <w:ind w:left="432"/>
      </w:pPr>
      <w:r>
        <w:rPr>
          <w:b w:val="0"/>
          <w:i w:val="0"/>
        </w:rPr>
        <w:t>The biblical theology of lament done well. Westminster 18 on assurance allows for real seasons of darkness even for true believers.</w:t>
      </w:r>
    </w:p>
    <w:p>
      <w:pPr>
        <w:spacing w:before="160" w:after="40"/>
      </w:pPr>
      <w:r>
        <w:rPr>
          <w:b/>
          <w:color w:val="1F2A44"/>
        </w:rPr>
        <w:t xml:space="preserve">38:43–39:13  </w:t>
      </w:r>
      <w:r>
        <w:rPr>
          <w:b/>
          <w:color w:val="2E6B2E"/>
        </w:rPr>
        <w:t>ALIGNED</w:t>
      </w:r>
    </w:p>
    <w:p>
      <w:pPr>
        <w:spacing w:after="80"/>
        <w:ind w:left="432"/>
      </w:pPr>
      <w:r>
        <w:rPr>
          <w:i/>
          <w:color w:val="555555"/>
          <w:sz w:val="21"/>
        </w:rPr>
        <w:t>“Our hope is in the return of Christ, the resurrection… (Revelation 21:4).”</w:t>
      </w:r>
    </w:p>
    <w:p>
      <w:pPr>
        <w:spacing w:after="80"/>
        <w:ind w:left="432"/>
      </w:pPr>
      <w:r>
        <w:rPr>
          <w:b w:val="0"/>
          <w:i w:val="0"/>
        </w:rPr>
        <w:t>Hope anchored not in escaping grief now but in its final end. Fully confessional (Westminster 32–33; the Apostles’ Creed).</w:t>
      </w:r>
    </w:p>
    <w:p>
      <w:pPr>
        <w:pStyle w:val="Heading2"/>
      </w:pPr>
      <w:r>
        <w:t>The one mild caution</w:t>
      </w:r>
    </w:p>
    <w:p>
      <w:pPr>
        <w:spacing w:before="160" w:after="40"/>
      </w:pPr>
      <w:r>
        <w:rPr>
          <w:b/>
          <w:color w:val="1F2A44"/>
        </w:rPr>
        <w:t xml:space="preserve">16:33–16:57  </w:t>
      </w:r>
      <w:r>
        <w:rPr>
          <w:b/>
          <w:color w:val="B56A00"/>
        </w:rPr>
        <w:t>CAUTION</w:t>
      </w:r>
    </w:p>
    <w:p>
      <w:pPr>
        <w:spacing w:after="80"/>
        <w:ind w:left="432"/>
      </w:pPr>
      <w:r>
        <w:rPr>
          <w:i/>
          <w:color w:val="555555"/>
          <w:sz w:val="21"/>
        </w:rPr>
        <w:t>“(offering prayer) bless them… for jobs, raises, promotions… as they are obedient to your word in their giving.”</w:t>
      </w:r>
    </w:p>
    <w:p>
      <w:pPr>
        <w:spacing w:after="80"/>
        <w:ind w:left="432"/>
      </w:pPr>
      <w:r>
        <w:rPr>
          <w:b w:val="0"/>
          <w:i w:val="0"/>
        </w:rPr>
        <w:t>Links financial increase to the act of giving — a soft give-to-get note. Brief and undeveloped, but the one spot where the Word-of-Faith thread peeks through in an otherwise sound message. This is the offering-segment thread tracked across the series.</w:t>
      </w:r>
    </w:p>
    <w:p>
      <w:r>
        <w:br w:type="page"/>
      </w:r>
    </w:p>
    <w:p>
      <w:pPr>
        <w:pStyle w:val="Heading1"/>
      </w:pPr>
      <w:r>
        <w:t>Series Synthesis</w:t>
      </w:r>
    </w:p>
    <w:p>
      <w:pPr>
        <w:pStyle w:val="Heading2"/>
      </w:pPr>
      <w:r>
        <w:t>Two through-lines</w:t>
      </w:r>
    </w:p>
    <w:p>
      <w:pPr>
        <w:spacing w:after="120"/>
      </w:pPr>
      <w:r>
        <w:rPr>
          <w:b/>
          <w:color w:val="1F2A44"/>
        </w:rPr>
        <w:t xml:space="preserve">1. The doctrinal soft spot — means-as-mechanism. </w:t>
      </w:r>
      <w:r>
        <w:t xml:space="preserve"> Faith (Wk 5), seed (Wk 1), fasting (Wk 2), disciplines (Wk 3), and relationships (finale) are each framed at some point as a key, law, or lever that produces God’s action. The biblical pattern is the reverse: God acts in sovereign grace, and these are means He may bless, not mechanisms that obligate Him (Romans 9:16; Westminster 5.1–5.3). Only Week 5 crossed from framing into outright error — the series’ two red flags.</w:t>
      </w:r>
    </w:p>
    <w:p>
      <w:pPr>
        <w:spacing w:after="120"/>
      </w:pPr>
      <w:r>
        <w:rPr>
          <w:b/>
          <w:color w:val="1F2A44"/>
        </w:rPr>
        <w:t xml:space="preserve">2. The depth problem — a bolt-on gospel. </w:t>
      </w:r>
      <w:r>
        <w:t xml:space="preserve"> Substitutionary atonement is reliably present in the closing prayer and communion every week, but rarely drives the sermon’s actual argument, which tends toward “do this and you will get that.” The result is several messages that are orthodox yet thin: motivational exhortation built on a sound gospel that mostly lives in the closing liturgy rather than in the preaching itself.</w:t>
      </w:r>
    </w:p>
    <w:p>
      <w:pPr>
        <w:pStyle w:val="Heading2"/>
      </w:pPr>
      <w:r>
        <w:t>Sound is not the same as motivational</w:t>
      </w:r>
    </w:p>
    <w:p>
      <w:pPr>
        <w:spacing w:after="120"/>
      </w:pPr>
      <w:r>
        <w:rPr>
          <w:b w:val="0"/>
          <w:i w:val="0"/>
        </w:rPr>
        <w:t>This is the distinction that most clarifies the series. A sermon can be warm, energizing, biblically decorated, and free of overt heresy — and still not be a sound proclamation of the gospel, because its engine is human effort rather than the grace of God in Christ. By that standard, only the Mourning sermon is fully sound: orthodox and substantive, with the cross and resurrection driving the application. Weeks 3 and the finale are orthodox but thin. Weeks 1 and 2 are mixed. Week 5 contains genuine error.</w:t>
      </w:r>
    </w:p>
    <w:p>
      <w:pPr>
        <w:pStyle w:val="Heading2"/>
      </w:pPr>
      <w:r>
        <w:t>What sound preaching on these same themes would do</w:t>
      </w:r>
    </w:p>
    <w:p>
      <w:pPr>
        <w:pStyle w:val="ListBullet"/>
      </w:pPr>
      <w:r>
        <w:rPr>
          <w:b/>
          <w:i w:val="0"/>
        </w:rPr>
        <w:t xml:space="preserve">Ground every imperative in the indicative — </w:t>
      </w:r>
      <w:r>
        <w:rPr>
          <w:b w:val="0"/>
          <w:i w:val="0"/>
        </w:rPr>
        <w:t>“we love because he first loved us” (1 John 4:19) — so that disciplines flow from grace received, not toward blessings earned.</w:t>
      </w:r>
    </w:p>
    <w:p>
      <w:pPr>
        <w:pStyle w:val="ListBullet"/>
      </w:pPr>
      <w:r>
        <w:rPr>
          <w:b/>
          <w:i w:val="0"/>
        </w:rPr>
        <w:t xml:space="preserve">Read Galatians 6:7 as God’s certain moral judgment, </w:t>
      </w:r>
      <w:r>
        <w:rPr>
          <w:b w:val="0"/>
          <w:i w:val="0"/>
        </w:rPr>
        <w:t>not an impersonal “immutable law,” and keep its harvest eternal (Galatians 6:8) rather than guaranteed-material.</w:t>
      </w:r>
    </w:p>
    <w:p>
      <w:pPr>
        <w:pStyle w:val="ListBullet"/>
      </w:pPr>
      <w:r>
        <w:rPr>
          <w:b/>
          <w:i w:val="0"/>
        </w:rPr>
        <w:t xml:space="preserve">Locate sickness, poverty, and suffering in God’s providence and a fallen world </w:t>
      </w:r>
      <w:r>
        <w:rPr>
          <w:b w:val="0"/>
          <w:i w:val="0"/>
        </w:rPr>
        <w:t>(Heidelberg Q.27–28; John 9:1–3), never in the believer’s level of faith or thought.</w:t>
      </w:r>
    </w:p>
    <w:p>
      <w:pPr>
        <w:pStyle w:val="ListBullet"/>
      </w:pPr>
      <w:r>
        <w:rPr>
          <w:b/>
          <w:i w:val="0"/>
        </w:rPr>
        <w:t xml:space="preserve">Make the cross the engine of the sermon, </w:t>
      </w:r>
      <w:r>
        <w:rPr>
          <w:b w:val="0"/>
          <w:i w:val="0"/>
        </w:rPr>
        <w:t>not an add-on at the communion table.</w:t>
      </w:r>
    </w:p>
    <w:p>
      <w:pPr>
        <w:spacing w:before="240"/>
      </w:pPr>
      <w:r>
        <w:rPr>
          <w:b w:val="0"/>
          <w:i/>
          <w:color w:val="555555"/>
          <w:sz w:val="19"/>
        </w:rPr>
        <w:t>Prepared from transcripts provided by the user. Verdicts reflect comparison with Scripture, the ecumenical creeds (Nicene, Chalcedonian, Athanasian), and the Reformation confessions (Westminster Standards, Heidelberg Catechism, Belgic Confession, Canons of Dort).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B72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