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F6ED3" w14:textId="77777777" w:rsidR="008F0A1B" w:rsidRDefault="00752978">
      <w:pPr>
        <w:spacing w:before="900" w:after="60"/>
      </w:pPr>
      <w:r>
        <w:rPr>
          <w:b/>
          <w:bCs/>
          <w:color w:val="595959"/>
          <w:sz w:val="26"/>
          <w:szCs w:val="26"/>
        </w:rPr>
        <w:t>VECV S&amp;OP Transformation</w:t>
      </w:r>
    </w:p>
    <w:p w14:paraId="60FF6ED4" w14:textId="77777777" w:rsidR="008F0A1B" w:rsidRDefault="00752978">
      <w:pPr>
        <w:spacing w:before="160" w:after="100"/>
      </w:pPr>
      <w:r>
        <w:rPr>
          <w:b/>
          <w:bCs/>
          <w:color w:val="1F3864"/>
          <w:sz w:val="40"/>
          <w:szCs w:val="40"/>
        </w:rPr>
        <w:t>Phase 1 Addendum — Track 1</w:t>
      </w:r>
    </w:p>
    <w:p w14:paraId="60FF6ED5" w14:textId="77777777" w:rsidR="008F0A1B" w:rsidRDefault="00752978">
      <w:pPr>
        <w:spacing w:after="200"/>
      </w:pPr>
      <w:r>
        <w:rPr>
          <w:color w:val="2E5B9A"/>
          <w:sz w:val="24"/>
          <w:szCs w:val="24"/>
        </w:rPr>
        <w:t>Demand Planning Workbench — What Phase 1 Adds</w:t>
      </w:r>
    </w:p>
    <w:p w14:paraId="60FF6ED6" w14:textId="77777777" w:rsidR="008F0A1B" w:rsidRDefault="008F0A1B">
      <w:pPr>
        <w:pBdr>
          <w:top w:val="single" w:sz="10" w:space="8" w:color="1F3864"/>
        </w:pBdr>
        <w:spacing w:after="300"/>
      </w:pPr>
    </w:p>
    <w:p w14:paraId="60FF6ED7" w14:textId="3A509C4D" w:rsidR="008F0A1B" w:rsidRDefault="00752978">
      <w:pPr>
        <w:spacing w:after="60" w:line="276" w:lineRule="auto"/>
      </w:pPr>
      <w:r>
        <w:rPr>
          <w:b/>
          <w:bCs/>
          <w:color w:val="1A1A1A"/>
        </w:rPr>
        <w:t>Status</w:t>
      </w:r>
      <w:proofErr w:type="gramStart"/>
      <w:r>
        <w:rPr>
          <w:b/>
          <w:bCs/>
          <w:color w:val="1A1A1A"/>
        </w:rPr>
        <w:t xml:space="preserve">:  </w:t>
      </w:r>
      <w:r>
        <w:rPr>
          <w:color w:val="1A1A1A"/>
        </w:rPr>
        <w:t>Draft</w:t>
      </w:r>
      <w:proofErr w:type="gramEnd"/>
      <w:r>
        <w:rPr>
          <w:color w:val="1A1A1A"/>
        </w:rPr>
        <w:t xml:space="preserve"> v0.5 — high-level scope, for effort estimation</w:t>
      </w:r>
    </w:p>
    <w:p w14:paraId="60FF6ED8" w14:textId="77777777" w:rsidR="008F0A1B" w:rsidRDefault="00752978">
      <w:pPr>
        <w:spacing w:after="400" w:line="276" w:lineRule="auto"/>
      </w:pPr>
      <w:r>
        <w:rPr>
          <w:b/>
          <w:bCs/>
          <w:color w:val="1A1A1A"/>
        </w:rPr>
        <w:t>Extends</w:t>
      </w:r>
      <w:proofErr w:type="gramStart"/>
      <w:r>
        <w:rPr>
          <w:b/>
          <w:bCs/>
          <w:color w:val="1A1A1A"/>
        </w:rPr>
        <w:t xml:space="preserve">:  </w:t>
      </w:r>
      <w:r>
        <w:rPr>
          <w:color w:val="1A1A1A"/>
        </w:rPr>
        <w:t>Phase</w:t>
      </w:r>
      <w:proofErr w:type="gramEnd"/>
      <w:r>
        <w:rPr>
          <w:color w:val="1A1A1A"/>
        </w:rPr>
        <w:t xml:space="preserve"> 0 FSD, Track 1 (Demand Planning Workbench). Track 2 to follow once its Phase 0 FSD is available.</w:t>
      </w:r>
    </w:p>
    <w:p w14:paraId="60FF6ED9" w14:textId="77777777" w:rsidR="008F0A1B" w:rsidRDefault="00752978">
      <w:pPr>
        <w:pStyle w:val="Heading1"/>
        <w:pBdr>
          <w:bottom w:val="single" w:sz="8" w:space="6" w:color="1F3864"/>
        </w:pBdr>
        <w:spacing w:before="320" w:after="140"/>
      </w:pPr>
      <w:r>
        <w:rPr>
          <w:b/>
          <w:bCs/>
          <w:color w:val="1F3864"/>
          <w:sz w:val="28"/>
          <w:szCs w:val="28"/>
        </w:rPr>
        <w:t>1. Purpose and How to Read This Document</w:t>
      </w:r>
    </w:p>
    <w:p w14:paraId="60FF6EDA" w14:textId="418911FC" w:rsidR="008F0A1B" w:rsidRDefault="00752978">
      <w:pPr>
        <w:spacing w:after="120" w:line="276" w:lineRule="auto"/>
      </w:pPr>
      <w:r>
        <w:rPr>
          <w:color w:val="1A1A1A"/>
        </w:rPr>
        <w:t xml:space="preserve">This document extends the Track 1 Phase 0 FSD, calling out what Phase 1 adds. </w:t>
      </w:r>
    </w:p>
    <w:p w14:paraId="60FF6EDB" w14:textId="77777777" w:rsidR="008F0A1B" w:rsidRDefault="00752978">
      <w:pPr>
        <w:spacing w:after="120" w:line="276" w:lineRule="auto"/>
      </w:pPr>
      <w:r>
        <w:rPr>
          <w:color w:val="1A1A1A"/>
        </w:rPr>
        <w:t xml:space="preserve">Phase 0, across Track 1, focused on building the core functionality and </w:t>
      </w:r>
      <w:proofErr w:type="spellStart"/>
      <w:r>
        <w:rPr>
          <w:color w:val="1A1A1A"/>
        </w:rPr>
        <w:t>stabilising</w:t>
      </w:r>
      <w:proofErr w:type="spellEnd"/>
      <w:r>
        <w:rPr>
          <w:color w:val="1A1A1A"/>
        </w:rPr>
        <w:t xml:space="preserve"> the platform. Phase 1 builds on that foundation by adding business rules, conditions and analytics that assume the core is already working. </w:t>
      </w:r>
      <w:proofErr w:type="gramStart"/>
      <w:r>
        <w:rPr>
          <w:color w:val="1A1A1A"/>
        </w:rPr>
        <w:t>A number of</w:t>
      </w:r>
      <w:proofErr w:type="gramEnd"/>
      <w:r>
        <w:rPr>
          <w:color w:val="1A1A1A"/>
        </w:rPr>
        <w:t xml:space="preserve"> Phase 1 items depend on the statistical forecast, which is delivered by Track 3 — this is called out wherever it applies.</w:t>
      </w:r>
    </w:p>
    <w:p w14:paraId="60FF6EDC" w14:textId="77777777" w:rsidR="008F0A1B" w:rsidRDefault="00752978">
      <w:pPr>
        <w:spacing w:after="120" w:line="276" w:lineRule="auto"/>
      </w:pPr>
      <w:r>
        <w:rPr>
          <w:color w:val="1A1A1A"/>
        </w:rPr>
        <w:t xml:space="preserve">Phase 1 needs to be scoped now, for effort estimation, rather than </w:t>
      </w:r>
      <w:proofErr w:type="gramStart"/>
      <w:r>
        <w:rPr>
          <w:color w:val="1A1A1A"/>
        </w:rPr>
        <w:t>wait</w:t>
      </w:r>
      <w:proofErr w:type="gramEnd"/>
      <w:r>
        <w:rPr>
          <w:color w:val="1A1A1A"/>
        </w:rPr>
        <w:t xml:space="preserve"> for every open business decision to close. Where we have sufficient clarity, it is stated plainly. Where a decision is still pending, it is listed in Open Items — not hidden inside the scope.</w:t>
      </w:r>
    </w:p>
    <w:p w14:paraId="60FF6EDD" w14:textId="77777777" w:rsidR="008F0A1B" w:rsidRDefault="00752978">
      <w:pPr>
        <w:spacing w:after="120" w:line="276" w:lineRule="auto"/>
        <w:rPr>
          <w:color w:val="1A1A1A"/>
        </w:rPr>
      </w:pPr>
      <w:r>
        <w:rPr>
          <w:color w:val="1A1A1A"/>
        </w:rPr>
        <w:t xml:space="preserve">Functional and technical design — including how each item is implemented, in SAP or in the custom </w:t>
      </w:r>
      <w:proofErr w:type="spellStart"/>
      <w:r>
        <w:rPr>
          <w:color w:val="1A1A1A"/>
        </w:rPr>
        <w:t>VECVplan</w:t>
      </w:r>
      <w:proofErr w:type="spellEnd"/>
      <w:r>
        <w:rPr>
          <w:color w:val="1A1A1A"/>
        </w:rPr>
        <w:t xml:space="preserve"> application — is carried forward by VECV and UST as a subsequent step. This document defines what is needed, not how it is built.</w:t>
      </w:r>
    </w:p>
    <w:p w14:paraId="6E753425" w14:textId="77777777" w:rsidR="004F0E7C" w:rsidRDefault="004F0E7C" w:rsidP="004F0E7C">
      <w:pPr>
        <w:spacing w:after="120" w:line="276" w:lineRule="auto"/>
      </w:pPr>
      <w:r>
        <w:rPr>
          <w:color w:val="1A1A1A"/>
        </w:rPr>
        <w:t>This is a high-level solution design, not a final one. It sets direction and scope now, for effort estimation, rather than waiting for every open business decision to close first. Expect more detailing, and a few more rounds of discussion, once the build phase begins.</w:t>
      </w:r>
    </w:p>
    <w:p w14:paraId="4C64F178" w14:textId="77777777" w:rsidR="004F0E7C" w:rsidRDefault="004F0E7C">
      <w:pPr>
        <w:spacing w:after="120" w:line="276" w:lineRule="auto"/>
      </w:pPr>
    </w:p>
    <w:p w14:paraId="60FF6EDE" w14:textId="77777777" w:rsidR="008F0A1B" w:rsidRDefault="00752978">
      <w:pPr>
        <w:pStyle w:val="Heading1"/>
        <w:pBdr>
          <w:bottom w:val="single" w:sz="8" w:space="6" w:color="1F3864"/>
        </w:pBdr>
        <w:spacing w:before="320" w:after="140"/>
      </w:pPr>
      <w:r>
        <w:rPr>
          <w:b/>
          <w:bCs/>
          <w:color w:val="1F3864"/>
          <w:sz w:val="28"/>
          <w:szCs w:val="28"/>
        </w:rPr>
        <w:t>2. Index of Sections</w:t>
      </w:r>
    </w:p>
    <w:tbl>
      <w:tblPr>
        <w:tblW w:w="9360" w:type="dxa"/>
        <w:tblBorders>
          <w:top w:val="single" w:sz="2" w:space="0" w:color="B7C3D6"/>
          <w:left w:val="single" w:sz="2" w:space="0" w:color="B7C3D6"/>
          <w:bottom w:val="single" w:sz="2" w:space="0" w:color="B7C3D6"/>
          <w:right w:val="single" w:sz="2" w:space="0" w:color="B7C3D6"/>
          <w:insideH w:val="single" w:sz="2" w:space="0" w:color="D4DCE8"/>
          <w:insideV w:val="single" w:sz="2" w:space="0" w:color="D4DC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4"/>
        <w:gridCol w:w="3744"/>
        <w:gridCol w:w="3182"/>
      </w:tblGrid>
      <w:tr w:rsidR="008F0A1B" w14:paraId="60FF6EE2" w14:textId="77777777">
        <w:trPr>
          <w:tblHeader/>
        </w:trPr>
        <w:tc>
          <w:tcPr>
            <w:tcW w:w="2434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EDF" w14:textId="77777777" w:rsidR="008F0A1B" w:rsidRDefault="00752978">
            <w:r>
              <w:rPr>
                <w:b/>
                <w:bCs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3744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EE0" w14:textId="77777777" w:rsidR="008F0A1B" w:rsidRDefault="00752978">
            <w:r>
              <w:rPr>
                <w:b/>
                <w:bCs/>
                <w:color w:val="FFFFFF"/>
                <w:sz w:val="19"/>
                <w:szCs w:val="19"/>
              </w:rPr>
              <w:t>Covers</w:t>
            </w:r>
          </w:p>
        </w:tc>
        <w:tc>
          <w:tcPr>
            <w:tcW w:w="3182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EE1" w14:textId="77777777" w:rsidR="008F0A1B" w:rsidRDefault="00752978">
            <w:r>
              <w:rPr>
                <w:b/>
                <w:bCs/>
                <w:color w:val="FFFFFF"/>
                <w:sz w:val="19"/>
                <w:szCs w:val="19"/>
              </w:rPr>
              <w:t>Key Callout</w:t>
            </w:r>
          </w:p>
        </w:tc>
      </w:tr>
      <w:tr w:rsidR="008F0A1B" w14:paraId="60FF6EE6" w14:textId="77777777">
        <w:tc>
          <w:tcPr>
            <w:tcW w:w="2434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EE3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3. Phase 0 → Phase 1 Context</w:t>
            </w:r>
          </w:p>
        </w:tc>
        <w:tc>
          <w:tcPr>
            <w:tcW w:w="3744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EE4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How Phase 1 relates to Phase 0 and to Track 3</w:t>
            </w:r>
          </w:p>
        </w:tc>
        <w:tc>
          <w:tcPr>
            <w:tcW w:w="3182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EE5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Several items depend on the Track 3 statistical forecast</w:t>
            </w:r>
          </w:p>
        </w:tc>
      </w:tr>
      <w:tr w:rsidR="008F0A1B" w14:paraId="60FF6EEA" w14:textId="77777777">
        <w:tc>
          <w:tcPr>
            <w:tcW w:w="24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EE7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4. Phase 1 Items Already Committed</w:t>
            </w:r>
          </w:p>
        </w:tc>
        <w:tc>
          <w:tcPr>
            <w:tcW w:w="37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EE8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Dealer, RSM, VH, ISO enhancements</w:t>
            </w:r>
          </w:p>
        </w:tc>
        <w:tc>
          <w:tcPr>
            <w:tcW w:w="318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EE9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Already in the Phase 0 FSD — no new decision needed</w:t>
            </w:r>
          </w:p>
        </w:tc>
      </w:tr>
      <w:tr w:rsidR="008F0A1B" w14:paraId="60FF6EEE" w14:textId="77777777">
        <w:tc>
          <w:tcPr>
            <w:tcW w:w="2434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EEB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lastRenderedPageBreak/>
              <w:t>5. Indent Analytics</w:t>
            </w:r>
          </w:p>
        </w:tc>
        <w:tc>
          <w:tcPr>
            <w:tcW w:w="3744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EEC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Indent vs. actuals; indent vs. statistical forecast</w:t>
            </w:r>
          </w:p>
        </w:tc>
        <w:tc>
          <w:tcPr>
            <w:tcW w:w="3182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EED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Statistical-forecast comparison depends on Track 3</w:t>
            </w:r>
          </w:p>
        </w:tc>
      </w:tr>
      <w:tr w:rsidR="008F0A1B" w14:paraId="60FF6EF2" w14:textId="77777777">
        <w:tc>
          <w:tcPr>
            <w:tcW w:w="24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EEF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6. MTO (IS / IB)</w:t>
            </w:r>
          </w:p>
        </w:tc>
        <w:tc>
          <w:tcPr>
            <w:tcW w:w="37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EF0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Order lifecycle, committed date, demand flow</w:t>
            </w:r>
          </w:p>
        </w:tc>
        <w:tc>
          <w:tcPr>
            <w:tcW w:w="318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EF1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Validated with IB; IS and PPC sessions pending</w:t>
            </w:r>
          </w:p>
        </w:tc>
      </w:tr>
      <w:tr w:rsidR="008F0A1B" w14:paraId="60FF6EF6" w14:textId="77777777">
        <w:tc>
          <w:tcPr>
            <w:tcW w:w="2434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EF3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7. Additional Phase 1 Business Rules</w:t>
            </w:r>
          </w:p>
        </w:tc>
        <w:tc>
          <w:tcPr>
            <w:tcW w:w="3744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EF4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Dealer indenting, central indenting, M1-M3, indent variation, production, supply, supply plan cycle</w:t>
            </w:r>
          </w:p>
        </w:tc>
        <w:tc>
          <w:tcPr>
            <w:tcW w:w="3182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EF5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From the Rules &amp; Guidelines workbook, tagged Phase 1</w:t>
            </w:r>
          </w:p>
        </w:tc>
      </w:tr>
      <w:tr w:rsidR="008F0A1B" w14:paraId="60FF6EFA" w14:textId="77777777">
        <w:tc>
          <w:tcPr>
            <w:tcW w:w="24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EF7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8. Open Items</w:t>
            </w:r>
          </w:p>
        </w:tc>
        <w:tc>
          <w:tcPr>
            <w:tcW w:w="37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EF8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Business decisions needed before detailed sizing</w:t>
            </w:r>
          </w:p>
        </w:tc>
        <w:tc>
          <w:tcPr>
            <w:tcW w:w="318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EF9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Read before estimating effort on affected items</w:t>
            </w:r>
          </w:p>
        </w:tc>
      </w:tr>
      <w:tr w:rsidR="008F0A1B" w14:paraId="60FF6EFE" w14:textId="77777777">
        <w:tc>
          <w:tcPr>
            <w:tcW w:w="2434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EFB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9. Out of Scope</w:t>
            </w:r>
          </w:p>
        </w:tc>
        <w:tc>
          <w:tcPr>
            <w:tcW w:w="3744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EFC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Technical and SAP-specific design</w:t>
            </w:r>
          </w:p>
        </w:tc>
        <w:tc>
          <w:tcPr>
            <w:tcW w:w="3182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EFD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Carried forward by VECV and UST</w:t>
            </w:r>
          </w:p>
        </w:tc>
      </w:tr>
      <w:tr w:rsidR="008F0A1B" w14:paraId="60FF6F02" w14:textId="77777777">
        <w:tc>
          <w:tcPr>
            <w:tcW w:w="2434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EFF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Track 2 (to follow)</w:t>
            </w:r>
          </w:p>
        </w:tc>
        <w:tc>
          <w:tcPr>
            <w:tcW w:w="3744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00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Not yet covered</w:t>
            </w:r>
          </w:p>
        </w:tc>
        <w:tc>
          <w:tcPr>
            <w:tcW w:w="3182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01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Pending — Track 2 Phase 0 FSD not yet available</w:t>
            </w:r>
          </w:p>
        </w:tc>
      </w:tr>
    </w:tbl>
    <w:p w14:paraId="60FF6F03" w14:textId="77777777" w:rsidR="008F0A1B" w:rsidRDefault="00752978">
      <w:pPr>
        <w:pStyle w:val="Heading1"/>
        <w:pBdr>
          <w:bottom w:val="single" w:sz="8" w:space="6" w:color="1F3864"/>
        </w:pBdr>
        <w:spacing w:before="320" w:after="140"/>
      </w:pPr>
      <w:r>
        <w:rPr>
          <w:b/>
          <w:bCs/>
          <w:color w:val="1F3864"/>
          <w:sz w:val="28"/>
          <w:szCs w:val="28"/>
        </w:rPr>
        <w:t>3. Phase 0 → Phase 1 Context</w:t>
      </w:r>
    </w:p>
    <w:p w14:paraId="60FF6F04" w14:textId="77777777" w:rsidR="008F0A1B" w:rsidRDefault="00752978">
      <w:pPr>
        <w:spacing w:after="120" w:line="276" w:lineRule="auto"/>
      </w:pPr>
      <w:r>
        <w:rPr>
          <w:color w:val="1A1A1A"/>
        </w:rPr>
        <w:t xml:space="preserve">Phase 0, across Track 1, delivered the core workbench: the tiered indent flow, basic netting, and platform </w:t>
      </w:r>
      <w:proofErr w:type="spellStart"/>
      <w:r>
        <w:rPr>
          <w:color w:val="1A1A1A"/>
        </w:rPr>
        <w:t>stabilisation</w:t>
      </w:r>
      <w:proofErr w:type="spellEnd"/>
      <w:r>
        <w:rPr>
          <w:color w:val="1A1A1A"/>
        </w:rPr>
        <w:t>. Phase 1 builds on top of this by layering in business rules and conditions — system-recommended values, alerts, accuracy tracking, and more advanced order handling — that assume the Phase 0 core is already live and stable.</w:t>
      </w:r>
    </w:p>
    <w:p w14:paraId="60FF6F05" w14:textId="77777777" w:rsidR="008F0A1B" w:rsidRDefault="00752978">
      <w:pPr>
        <w:spacing w:after="120" w:line="276" w:lineRule="auto"/>
      </w:pPr>
      <w:proofErr w:type="gramStart"/>
      <w:r>
        <w:rPr>
          <w:color w:val="1A1A1A"/>
        </w:rPr>
        <w:t>A number of</w:t>
      </w:r>
      <w:proofErr w:type="gramEnd"/>
      <w:r>
        <w:rPr>
          <w:color w:val="1A1A1A"/>
        </w:rPr>
        <w:t xml:space="preserve"> Phase 1 items in this document — most notably parts of Indent Analytics (Section </w:t>
      </w:r>
      <w:proofErr w:type="gramStart"/>
      <w:r>
        <w:rPr>
          <w:color w:val="1A1A1A"/>
        </w:rPr>
        <w:t>5) —</w:t>
      </w:r>
      <w:proofErr w:type="gramEnd"/>
      <w:r>
        <w:rPr>
          <w:color w:val="1A1A1A"/>
        </w:rPr>
        <w:t xml:space="preserve"> depend on the statistical forecast baseline, which is a Track 3 deliverable, not a Track 1 one. Until Track 3 delivers this baseline, those specific items cannot be activated even if built. This dependency is called out wherever it applies, rather than stated once and assumed.</w:t>
      </w:r>
    </w:p>
    <w:p w14:paraId="60FF6F06" w14:textId="77777777" w:rsidR="008F0A1B" w:rsidRDefault="00752978">
      <w:pPr>
        <w:pStyle w:val="Heading1"/>
        <w:pBdr>
          <w:bottom w:val="single" w:sz="8" w:space="6" w:color="1F3864"/>
        </w:pBdr>
        <w:spacing w:before="320" w:after="140"/>
      </w:pPr>
      <w:r>
        <w:rPr>
          <w:b/>
          <w:bCs/>
          <w:color w:val="1F3864"/>
          <w:sz w:val="28"/>
          <w:szCs w:val="28"/>
        </w:rPr>
        <w:t>4. Phase 1 Items Already Committed (from the Phase 0 FSD)</w:t>
      </w:r>
    </w:p>
    <w:p w14:paraId="60FF6F07" w14:textId="77777777" w:rsidR="008F0A1B" w:rsidRDefault="00752978">
      <w:pPr>
        <w:spacing w:after="120" w:line="276" w:lineRule="auto"/>
      </w:pPr>
      <w:r>
        <w:rPr>
          <w:color w:val="1A1A1A"/>
        </w:rPr>
        <w:t>The Phase 0 FSD already commits to the following Phase 1 additions, screen by screen. Reproduced here for completeness — no new decision is needed on these.</w:t>
      </w:r>
    </w:p>
    <w:tbl>
      <w:tblPr>
        <w:tblW w:w="9360" w:type="dxa"/>
        <w:tblBorders>
          <w:top w:val="single" w:sz="2" w:space="0" w:color="B7C3D6"/>
          <w:left w:val="single" w:sz="2" w:space="0" w:color="B7C3D6"/>
          <w:bottom w:val="single" w:sz="2" w:space="0" w:color="B7C3D6"/>
          <w:right w:val="single" w:sz="2" w:space="0" w:color="B7C3D6"/>
          <w:insideH w:val="single" w:sz="2" w:space="0" w:color="D4DCE8"/>
          <w:insideV w:val="single" w:sz="2" w:space="0" w:color="D4DC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800"/>
        <w:gridCol w:w="5260"/>
      </w:tblGrid>
      <w:tr w:rsidR="008F0A1B" w14:paraId="60FF6F0B" w14:textId="77777777" w:rsidTr="2032DC3D">
        <w:trPr>
          <w:tblHeader/>
        </w:trPr>
        <w:tc>
          <w:tcPr>
            <w:tcW w:w="13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08" w14:textId="77777777" w:rsidR="008F0A1B" w:rsidRDefault="00752978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Persona</w:t>
            </w:r>
          </w:p>
        </w:tc>
        <w:tc>
          <w:tcPr>
            <w:tcW w:w="28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09" w14:textId="77777777" w:rsidR="008F0A1B" w:rsidRDefault="00752978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Phase 1 Item</w:t>
            </w:r>
          </w:p>
        </w:tc>
        <w:tc>
          <w:tcPr>
            <w:tcW w:w="526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0A" w14:textId="77777777" w:rsidR="008F0A1B" w:rsidRDefault="00752978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8F0A1B" w14:paraId="60FF6F0F" w14:textId="77777777" w:rsidTr="2032DC3D">
        <w:tc>
          <w:tcPr>
            <w:tcW w:w="1300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0C" w14:textId="0A384B2B" w:rsidR="008F0A1B" w:rsidRDefault="008F0A1B">
            <w:pPr>
              <w:spacing w:line="250" w:lineRule="auto"/>
            </w:pPr>
          </w:p>
        </w:tc>
        <w:tc>
          <w:tcPr>
            <w:tcW w:w="2800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0D" w14:textId="35D3678D" w:rsidR="008F0A1B" w:rsidRDefault="008F0A1B">
            <w:pPr>
              <w:spacing w:line="250" w:lineRule="auto"/>
            </w:pPr>
          </w:p>
        </w:tc>
        <w:tc>
          <w:tcPr>
            <w:tcW w:w="5260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0E" w14:textId="405C73CD" w:rsidR="008F0A1B" w:rsidRDefault="008F0A1B">
            <w:pPr>
              <w:spacing w:line="250" w:lineRule="auto"/>
            </w:pPr>
          </w:p>
        </w:tc>
      </w:tr>
      <w:tr w:rsidR="008F0A1B" w14:paraId="60FF6F13" w14:textId="77777777" w:rsidTr="2032DC3D">
        <w:tc>
          <w:tcPr>
            <w:tcW w:w="130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10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Dealer</w:t>
            </w:r>
          </w:p>
        </w:tc>
        <w:tc>
          <w:tcPr>
            <w:tcW w:w="280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11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Safety stock norm</w:t>
            </w:r>
          </w:p>
        </w:tc>
        <w:tc>
          <w:tcPr>
            <w:tcW w:w="526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12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An automatically calculated safety stock figure added to the indent, using a defined norm formula (the formula itself is explicitly excluded from Phase 0).</w:t>
            </w:r>
          </w:p>
        </w:tc>
      </w:tr>
      <w:tr w:rsidR="008F0A1B" w14:paraId="60FF6F17" w14:textId="77777777" w:rsidTr="2032DC3D">
        <w:tc>
          <w:tcPr>
            <w:tcW w:w="1300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14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Dealer</w:t>
            </w:r>
          </w:p>
        </w:tc>
        <w:tc>
          <w:tcPr>
            <w:tcW w:w="2800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15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Over/under planning alert</w:t>
            </w:r>
          </w:p>
        </w:tc>
        <w:tc>
          <w:tcPr>
            <w:tcW w:w="5260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16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A flag that fires when a dealer's indent is well above or below expected levels, catching over- or under-planning before submission.</w:t>
            </w:r>
          </w:p>
        </w:tc>
      </w:tr>
      <w:tr w:rsidR="008F0A1B" w14:paraId="60FF6F1B" w14:textId="77777777" w:rsidTr="2032DC3D">
        <w:tc>
          <w:tcPr>
            <w:tcW w:w="130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18" w14:textId="5B19D130" w:rsidR="008F0A1B" w:rsidRDefault="008F0A1B">
            <w:pPr>
              <w:spacing w:line="250" w:lineRule="auto"/>
            </w:pPr>
          </w:p>
        </w:tc>
        <w:tc>
          <w:tcPr>
            <w:tcW w:w="280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19" w14:textId="5E115C96" w:rsidR="008F0A1B" w:rsidRDefault="008F0A1B">
            <w:pPr>
              <w:spacing w:line="250" w:lineRule="auto"/>
            </w:pPr>
          </w:p>
        </w:tc>
        <w:tc>
          <w:tcPr>
            <w:tcW w:w="526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1A" w14:textId="3FC75B96" w:rsidR="008F0A1B" w:rsidRDefault="008F0A1B">
            <w:pPr>
              <w:spacing w:line="250" w:lineRule="auto"/>
            </w:pPr>
          </w:p>
        </w:tc>
      </w:tr>
      <w:tr w:rsidR="008F0A1B" w14:paraId="60FF6F1F" w14:textId="77777777" w:rsidTr="2032DC3D">
        <w:tc>
          <w:tcPr>
            <w:tcW w:w="1300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1C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lastRenderedPageBreak/>
              <w:t>RSM</w:t>
            </w:r>
          </w:p>
        </w:tc>
        <w:tc>
          <w:tcPr>
            <w:tcW w:w="2800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1D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Alert rules: volume below ABP, indent above 20% of ABP, RSM at or below Dealer/CSM-ASM</w:t>
            </w:r>
          </w:p>
        </w:tc>
        <w:tc>
          <w:tcPr>
            <w:tcW w:w="5260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1E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Automatic flags when RSM's volume falls below the Annual Business Plan, indent exceeds 20% of ABP, or the RSM number doesn't exceed what Dealer/CSM-ASM already submitted.</w:t>
            </w:r>
          </w:p>
        </w:tc>
      </w:tr>
      <w:tr w:rsidR="008F0A1B" w14:paraId="60FF6F23" w14:textId="77777777" w:rsidTr="2032DC3D">
        <w:tc>
          <w:tcPr>
            <w:tcW w:w="130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20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RSM</w:t>
            </w:r>
          </w:p>
        </w:tc>
        <w:tc>
          <w:tcPr>
            <w:tcW w:w="280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21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Pipeline reference column</w:t>
            </w:r>
          </w:p>
        </w:tc>
        <w:tc>
          <w:tcPr>
            <w:tcW w:w="526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22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A reference column showing pipeline stock at the region level.</w:t>
            </w:r>
          </w:p>
        </w:tc>
      </w:tr>
      <w:tr w:rsidR="008F0A1B" w14:paraId="60FF6F27" w14:textId="77777777" w:rsidTr="2032DC3D">
        <w:tc>
          <w:tcPr>
            <w:tcW w:w="1300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24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RSM</w:t>
            </w:r>
          </w:p>
        </w:tc>
        <w:tc>
          <w:tcPr>
            <w:tcW w:w="2800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25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TIV and market share columns</w:t>
            </w:r>
          </w:p>
        </w:tc>
        <w:tc>
          <w:tcPr>
            <w:tcW w:w="5260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26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Reference columns showing Total Industry Volume and VECV's market share, to check the region's numbers against the market.</w:t>
            </w:r>
          </w:p>
        </w:tc>
      </w:tr>
      <w:tr w:rsidR="008F0A1B" w14:paraId="60FF6F2B" w14:textId="77777777" w:rsidTr="2032DC3D">
        <w:tc>
          <w:tcPr>
            <w:tcW w:w="130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28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VH</w:t>
            </w:r>
          </w:p>
        </w:tc>
        <w:tc>
          <w:tcPr>
            <w:tcW w:w="280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29" w14:textId="0904C2C7" w:rsidR="008F0A1B" w:rsidRDefault="00F02B1E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System Recommended Indent (Zero based indent); Revenue and gross margin by FERT</w:t>
            </w:r>
          </w:p>
        </w:tc>
        <w:tc>
          <w:tcPr>
            <w:tcW w:w="526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2A" w14:textId="6ABE080A" w:rsidR="008F0A1B" w:rsidRDefault="00F02B1E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System Recommended Indent (Zero based indent</w:t>
            </w:r>
            <w:proofErr w:type="gramStart"/>
            <w:r>
              <w:rPr>
                <w:color w:val="1A1A1A"/>
                <w:sz w:val="18"/>
                <w:szCs w:val="18"/>
              </w:rPr>
              <w:t>) .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Shows revenue and gross margin at FERT (product) level, so VH can see the financial impact of the </w:t>
            </w:r>
            <w:proofErr w:type="gramStart"/>
            <w:r>
              <w:rPr>
                <w:color w:val="1A1A1A"/>
                <w:sz w:val="18"/>
                <w:szCs w:val="18"/>
              </w:rPr>
              <w:t>vertical's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plan.</w:t>
            </w:r>
          </w:p>
        </w:tc>
      </w:tr>
      <w:tr w:rsidR="008F0A1B" w14:paraId="60FF6F2F" w14:textId="77777777" w:rsidTr="2032DC3D">
        <w:tc>
          <w:tcPr>
            <w:tcW w:w="1300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2C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VH</w:t>
            </w:r>
          </w:p>
        </w:tc>
        <w:tc>
          <w:tcPr>
            <w:tcW w:w="2800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2D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Days-of-coverage stock review</w:t>
            </w:r>
          </w:p>
        </w:tc>
        <w:tc>
          <w:tcPr>
            <w:tcW w:w="5260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2E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 xml:space="preserve">Shows how many </w:t>
            </w:r>
            <w:proofErr w:type="gramStart"/>
            <w:r>
              <w:rPr>
                <w:color w:val="1A1A1A"/>
                <w:sz w:val="18"/>
                <w:szCs w:val="18"/>
              </w:rPr>
              <w:t>days of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stock are on hand per FERT/vertical, as a stock health check before the plan is </w:t>
            </w:r>
            <w:proofErr w:type="spellStart"/>
            <w:r>
              <w:rPr>
                <w:color w:val="1A1A1A"/>
                <w:sz w:val="18"/>
                <w:szCs w:val="18"/>
              </w:rPr>
              <w:t>finalised</w:t>
            </w:r>
            <w:proofErr w:type="spellEnd"/>
            <w:r>
              <w:rPr>
                <w:color w:val="1A1A1A"/>
                <w:sz w:val="18"/>
                <w:szCs w:val="18"/>
              </w:rPr>
              <w:t>.</w:t>
            </w:r>
          </w:p>
        </w:tc>
      </w:tr>
      <w:tr w:rsidR="008F0A1B" w14:paraId="60FF6F33" w14:textId="77777777" w:rsidTr="2032DC3D">
        <w:tc>
          <w:tcPr>
            <w:tcW w:w="130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30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VH</w:t>
            </w:r>
          </w:p>
        </w:tc>
        <w:tc>
          <w:tcPr>
            <w:tcW w:w="280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31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Alert rules</w:t>
            </w:r>
          </w:p>
        </w:tc>
        <w:tc>
          <w:tcPr>
            <w:tcW w:w="526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32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Automated flags on the VH screen; part of the Phase 1 alert engine, with the specific rules to be defined in Phase 1 design.</w:t>
            </w:r>
          </w:p>
        </w:tc>
      </w:tr>
      <w:tr w:rsidR="008F0A1B" w14:paraId="60FF6F37" w14:textId="77777777" w:rsidTr="2032DC3D">
        <w:tc>
          <w:tcPr>
            <w:tcW w:w="1300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34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VH</w:t>
            </w:r>
          </w:p>
        </w:tc>
        <w:tc>
          <w:tcPr>
            <w:tcW w:w="2800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35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Market share and profitability reports</w:t>
            </w:r>
          </w:p>
        </w:tc>
        <w:tc>
          <w:tcPr>
            <w:tcW w:w="5260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36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Reporting views on market share and profitability at the vertical level.</w:t>
            </w:r>
          </w:p>
        </w:tc>
      </w:tr>
      <w:tr w:rsidR="008F0A1B" w14:paraId="60FF6F3B" w14:textId="77777777" w:rsidTr="2032DC3D">
        <w:tc>
          <w:tcPr>
            <w:tcW w:w="130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38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ISO</w:t>
            </w:r>
          </w:p>
        </w:tc>
        <w:tc>
          <w:tcPr>
            <w:tcW w:w="280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39" w14:textId="58FB5169" w:rsidR="008F0A1B" w:rsidRDefault="642A31AD">
            <w:pPr>
              <w:spacing w:line="250" w:lineRule="auto"/>
            </w:pPr>
            <w:r w:rsidRPr="2032DC3D">
              <w:rPr>
                <w:color w:val="1A1A1A"/>
                <w:sz w:val="18"/>
                <w:szCs w:val="18"/>
              </w:rPr>
              <w:t>S</w:t>
            </w:r>
            <w:r w:rsidR="00752978" w:rsidRPr="2032DC3D">
              <w:rPr>
                <w:color w:val="1A1A1A"/>
                <w:sz w:val="18"/>
                <w:szCs w:val="18"/>
              </w:rPr>
              <w:t>afety stock norm</w:t>
            </w:r>
          </w:p>
        </w:tc>
        <w:tc>
          <w:tcPr>
            <w:tcW w:w="526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3A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The safety stock norm calculated automatically rather than entered manually, at the national production-requirement level.</w:t>
            </w:r>
          </w:p>
        </w:tc>
      </w:tr>
      <w:tr w:rsidR="008F0A1B" w14:paraId="60FF6F3F" w14:textId="77777777" w:rsidTr="2032DC3D">
        <w:tc>
          <w:tcPr>
            <w:tcW w:w="1300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3C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ISO</w:t>
            </w:r>
          </w:p>
        </w:tc>
        <w:tc>
          <w:tcPr>
            <w:tcW w:w="2800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3D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Submission gate checklist</w:t>
            </w:r>
          </w:p>
        </w:tc>
        <w:tc>
          <w:tcPr>
            <w:tcW w:w="5260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3E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 xml:space="preserve">A checklist ISO must </w:t>
            </w:r>
            <w:proofErr w:type="gramStart"/>
            <w:r>
              <w:rPr>
                <w:color w:val="1A1A1A"/>
                <w:sz w:val="18"/>
                <w:szCs w:val="18"/>
              </w:rPr>
              <w:t>clear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before </w:t>
            </w:r>
            <w:proofErr w:type="spellStart"/>
            <w:r>
              <w:rPr>
                <w:color w:val="1A1A1A"/>
                <w:sz w:val="18"/>
                <w:szCs w:val="18"/>
              </w:rPr>
              <w:t>finalising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the production requirement, for example confirming all VH layers have submitted.</w:t>
            </w:r>
          </w:p>
        </w:tc>
      </w:tr>
      <w:tr w:rsidR="008F0A1B" w14:paraId="60FF6F43" w14:textId="77777777" w:rsidTr="2032DC3D">
        <w:tc>
          <w:tcPr>
            <w:tcW w:w="130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40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ISO</w:t>
            </w:r>
          </w:p>
        </w:tc>
        <w:tc>
          <w:tcPr>
            <w:tcW w:w="280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41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Backlog management</w:t>
            </w:r>
          </w:p>
        </w:tc>
        <w:tc>
          <w:tcPr>
            <w:tcW w:w="526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42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Tracks unfulfilled order balances instead of today's practice, where an unfulfilled amount is dropped and re-indented as a new order each month.</w:t>
            </w:r>
          </w:p>
        </w:tc>
      </w:tr>
      <w:tr w:rsidR="008F0A1B" w14:paraId="60FF6F47" w14:textId="77777777" w:rsidTr="2032DC3D">
        <w:tc>
          <w:tcPr>
            <w:tcW w:w="1300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44" w14:textId="345B822F" w:rsidR="008F0A1B" w:rsidRDefault="274DA523">
            <w:pPr>
              <w:spacing w:line="250" w:lineRule="auto"/>
            </w:pPr>
            <w:r>
              <w:t>ISO</w:t>
            </w:r>
          </w:p>
        </w:tc>
        <w:tc>
          <w:tcPr>
            <w:tcW w:w="2800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45" w14:textId="6787F41E" w:rsidR="008F0A1B" w:rsidRDefault="274DA523">
            <w:pPr>
              <w:spacing w:line="250" w:lineRule="auto"/>
            </w:pPr>
            <w:r>
              <w:t>System Recommended Indent</w:t>
            </w:r>
          </w:p>
        </w:tc>
        <w:tc>
          <w:tcPr>
            <w:tcW w:w="5260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46" w14:textId="38CDEEE5" w:rsidR="008F0A1B" w:rsidRDefault="274DA523" w:rsidP="2032DC3D">
            <w:pPr>
              <w:spacing w:line="250" w:lineRule="auto"/>
            </w:pPr>
            <w:r w:rsidRPr="2032DC3D">
              <w:rPr>
                <w:color w:val="1A1A1A"/>
                <w:sz w:val="18"/>
                <w:szCs w:val="18"/>
              </w:rPr>
              <w:t>System Recommended Indent (Zero based indent</w:t>
            </w:r>
            <w:proofErr w:type="gramStart"/>
            <w:r w:rsidRPr="2032DC3D">
              <w:rPr>
                <w:color w:val="1A1A1A"/>
                <w:sz w:val="18"/>
                <w:szCs w:val="18"/>
              </w:rPr>
              <w:t>) .</w:t>
            </w:r>
            <w:proofErr w:type="gramEnd"/>
          </w:p>
        </w:tc>
      </w:tr>
      <w:tr w:rsidR="008F0A1B" w14:paraId="60FF6F4B" w14:textId="77777777" w:rsidTr="2032DC3D">
        <w:tc>
          <w:tcPr>
            <w:tcW w:w="130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48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ISO</w:t>
            </w:r>
          </w:p>
        </w:tc>
        <w:tc>
          <w:tcPr>
            <w:tcW w:w="280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49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Full audit log</w:t>
            </w:r>
          </w:p>
        </w:tc>
        <w:tc>
          <w:tcPr>
            <w:tcW w:w="526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4A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Extends the override-reason trail already captured in Phase 0 into a complete, system-wide log of all changes across the cycle.</w:t>
            </w:r>
          </w:p>
        </w:tc>
      </w:tr>
    </w:tbl>
    <w:p w14:paraId="60FF6F4E" w14:textId="77777777" w:rsidR="008F0A1B" w:rsidRDefault="00752978">
      <w:pPr>
        <w:pStyle w:val="Heading1"/>
        <w:pBdr>
          <w:bottom w:val="single" w:sz="8" w:space="6" w:color="1F3864"/>
        </w:pBdr>
        <w:spacing w:before="320" w:after="140"/>
      </w:pPr>
      <w:r>
        <w:rPr>
          <w:b/>
          <w:bCs/>
          <w:color w:val="1F3864"/>
          <w:sz w:val="28"/>
          <w:szCs w:val="28"/>
        </w:rPr>
        <w:t>5. Indent Analytics</w:t>
      </w:r>
    </w:p>
    <w:p w14:paraId="60FF6F4F" w14:textId="77777777" w:rsidR="008F0A1B" w:rsidRDefault="00752978">
      <w:pPr>
        <w:spacing w:after="120" w:line="276" w:lineRule="auto"/>
      </w:pPr>
      <w:r>
        <w:rPr>
          <w:color w:val="1A1A1A"/>
        </w:rPr>
        <w:t>Purpose: measure how well indenting performs against actuals, and — once available — against the statistical forecast baseline, so planners and leadership can see indenting quality and where manual judgement adds or reduces value.</w:t>
      </w:r>
    </w:p>
    <w:p w14:paraId="60FF6F50" w14:textId="77777777" w:rsidR="008F0A1B" w:rsidRDefault="00752978">
      <w:pPr>
        <w:spacing w:after="120" w:line="276" w:lineRule="auto"/>
      </w:pPr>
      <w:r>
        <w:rPr>
          <w:color w:val="1A1A1A"/>
        </w:rPr>
        <w:t>Phase 0 already includes baseline plan-performance tracking (M1-vs-ABP, indent accuracy scoring, stock ageing) in the Summary Dashboard. This section extends that into Phase 1.</w:t>
      </w:r>
    </w:p>
    <w:p w14:paraId="60FF6F51" w14:textId="77777777" w:rsidR="008F0A1B" w:rsidRDefault="00752978">
      <w:pPr>
        <w:pStyle w:val="Heading2"/>
        <w:spacing w:before="220" w:after="100"/>
      </w:pPr>
      <w:r>
        <w:rPr>
          <w:b/>
          <w:bCs/>
          <w:color w:val="2E5B9A"/>
          <w:sz w:val="23"/>
          <w:szCs w:val="23"/>
        </w:rPr>
        <w:t>Planned analytics</w:t>
      </w:r>
    </w:p>
    <w:p w14:paraId="60FF6F52" w14:textId="77777777" w:rsidR="008F0A1B" w:rsidRDefault="00752978">
      <w:pPr>
        <w:pStyle w:val="ListParagraph"/>
        <w:numPr>
          <w:ilvl w:val="0"/>
          <w:numId w:val="1"/>
        </w:numPr>
        <w:spacing w:after="80" w:line="270" w:lineRule="auto"/>
      </w:pPr>
      <w:r>
        <w:rPr>
          <w:b/>
          <w:bCs/>
          <w:color w:val="1A1A1A"/>
        </w:rPr>
        <w:t>Indent vs. Actual</w:t>
      </w:r>
      <w:r>
        <w:rPr>
          <w:color w:val="1A1A1A"/>
        </w:rPr>
        <w:t xml:space="preserve"> — accuracy by FERT, vertical and region, trended over time</w:t>
      </w:r>
    </w:p>
    <w:p w14:paraId="60FF6F53" w14:textId="77777777" w:rsidR="008F0A1B" w:rsidRDefault="00752978">
      <w:pPr>
        <w:pStyle w:val="ListParagraph"/>
        <w:numPr>
          <w:ilvl w:val="0"/>
          <w:numId w:val="1"/>
        </w:numPr>
        <w:spacing w:after="80" w:line="270" w:lineRule="auto"/>
      </w:pPr>
      <w:r>
        <w:rPr>
          <w:b/>
          <w:bCs/>
          <w:color w:val="1A1A1A"/>
        </w:rPr>
        <w:t>Layer-wise accuracy</w:t>
      </w:r>
      <w:r>
        <w:rPr>
          <w:color w:val="1A1A1A"/>
        </w:rPr>
        <w:t xml:space="preserve"> — how much each tier's override (CSM/ASM, RSM, VH) improves or degrades accuracy relative to the tier below</w:t>
      </w:r>
    </w:p>
    <w:p w14:paraId="60FF6F54" w14:textId="77777777" w:rsidR="008F0A1B" w:rsidRDefault="00752978">
      <w:pPr>
        <w:pStyle w:val="ListParagraph"/>
        <w:numPr>
          <w:ilvl w:val="0"/>
          <w:numId w:val="1"/>
        </w:numPr>
        <w:spacing w:after="80" w:line="270" w:lineRule="auto"/>
      </w:pPr>
      <w:r>
        <w:rPr>
          <w:b/>
          <w:bCs/>
          <w:color w:val="1A1A1A"/>
        </w:rPr>
        <w:lastRenderedPageBreak/>
        <w:t>Indent vs. Statistical Forecast</w:t>
      </w:r>
      <w:r>
        <w:rPr>
          <w:color w:val="1A1A1A"/>
        </w:rPr>
        <w:t xml:space="preserve"> — comparing the business indent against the system-generated statistical baseline once available, to show where manual indenting adds value over the baseline</w:t>
      </w:r>
    </w:p>
    <w:p w14:paraId="60FF6F55" w14:textId="77777777" w:rsidR="008F0A1B" w:rsidRDefault="00752978">
      <w:pPr>
        <w:pStyle w:val="ListParagraph"/>
        <w:numPr>
          <w:ilvl w:val="0"/>
          <w:numId w:val="1"/>
        </w:numPr>
        <w:spacing w:after="80" w:line="270" w:lineRule="auto"/>
      </w:pPr>
      <w:r>
        <w:rPr>
          <w:b/>
          <w:bCs/>
          <w:color w:val="1A1A1A"/>
        </w:rPr>
        <w:t>Rollup views</w:t>
      </w:r>
      <w:r>
        <w:rPr>
          <w:color w:val="1A1A1A"/>
        </w:rPr>
        <w:t xml:space="preserve"> — by vertical, region and FERT, for leadership review</w:t>
      </w:r>
    </w:p>
    <w:p w14:paraId="60FF6F56" w14:textId="77777777" w:rsidR="008F0A1B" w:rsidRDefault="008F0A1B">
      <w:pPr>
        <w:spacing w:after="60"/>
      </w:pPr>
    </w:p>
    <w:p w14:paraId="60FF6F57" w14:textId="77777777" w:rsidR="008F0A1B" w:rsidRDefault="00752978">
      <w:pPr>
        <w:spacing w:after="120" w:line="276" w:lineRule="auto"/>
      </w:pPr>
      <w:r>
        <w:rPr>
          <w:b/>
          <w:bCs/>
          <w:color w:val="1A1A1A"/>
        </w:rPr>
        <w:t xml:space="preserve">Dependency: </w:t>
      </w:r>
      <w:r>
        <w:rPr>
          <w:color w:val="1A1A1A"/>
        </w:rPr>
        <w:t>Indent vs. Statistical Forecast depends on Track 3 delivering the statistical forecast baseline. Indent vs. Actual analytics carry no such dependency and can be delivered independently.</w:t>
      </w:r>
    </w:p>
    <w:p w14:paraId="60FF6F58" w14:textId="77777777" w:rsidR="008F0A1B" w:rsidRDefault="00752978">
      <w:pPr>
        <w:pStyle w:val="Heading1"/>
        <w:pBdr>
          <w:bottom w:val="single" w:sz="8" w:space="6" w:color="1F3864"/>
        </w:pBdr>
        <w:spacing w:before="320" w:after="140"/>
      </w:pPr>
      <w:r>
        <w:rPr>
          <w:b/>
          <w:bCs/>
          <w:color w:val="1F3864"/>
          <w:sz w:val="28"/>
          <w:szCs w:val="28"/>
        </w:rPr>
        <w:t>6. MTO (IS / IB)</w:t>
      </w:r>
    </w:p>
    <w:p w14:paraId="60FF6F59" w14:textId="77777777" w:rsidR="008F0A1B" w:rsidRDefault="00752978">
      <w:pPr>
        <w:spacing w:after="120" w:line="276" w:lineRule="auto"/>
      </w:pPr>
      <w:r>
        <w:rPr>
          <w:color w:val="1A1A1A"/>
        </w:rPr>
        <w:t xml:space="preserve">MTO orders — IS and IB — are confirmed, customer-backed orders, currently planned </w:t>
      </w:r>
      <w:proofErr w:type="gramStart"/>
      <w:r>
        <w:rPr>
          <w:color w:val="1A1A1A"/>
        </w:rPr>
        <w:t>using</w:t>
      </w:r>
      <w:proofErr w:type="gramEnd"/>
      <w:r>
        <w:rPr>
          <w:color w:val="1A1A1A"/>
        </w:rPr>
        <w:t xml:space="preserve"> the same cycle and order logic built for forecast-driven domestic demand. Phase 1 for MTO addresses order lifecycle, committed delivery date and demand flow specifically for IS and IB.</w:t>
      </w:r>
    </w:p>
    <w:p w14:paraId="60FF6F5A" w14:textId="77777777" w:rsidR="008F0A1B" w:rsidRDefault="00752978">
      <w:pPr>
        <w:spacing w:after="120" w:line="276" w:lineRule="auto"/>
      </w:pPr>
      <w:r>
        <w:rPr>
          <w:color w:val="1A1A1A"/>
        </w:rPr>
        <w:t xml:space="preserve">Validated with IB leadership, no objections </w:t>
      </w:r>
      <w:proofErr w:type="gramStart"/>
      <w:r>
        <w:rPr>
          <w:color w:val="1A1A1A"/>
        </w:rPr>
        <w:t>raised</w:t>
      </w:r>
      <w:proofErr w:type="gramEnd"/>
      <w:r>
        <w:rPr>
          <w:color w:val="1A1A1A"/>
        </w:rPr>
        <w:t>. IS and PPC/Procurement validation sessions are planned but not yet held.</w:t>
      </w:r>
    </w:p>
    <w:tbl>
      <w:tblPr>
        <w:tblW w:w="9360" w:type="dxa"/>
        <w:tblBorders>
          <w:top w:val="single" w:sz="2" w:space="0" w:color="B7C3D6"/>
          <w:left w:val="single" w:sz="2" w:space="0" w:color="B7C3D6"/>
          <w:bottom w:val="single" w:sz="2" w:space="0" w:color="B7C3D6"/>
          <w:right w:val="single" w:sz="2" w:space="0" w:color="B7C3D6"/>
          <w:insideH w:val="single" w:sz="2" w:space="0" w:color="D4DCE8"/>
          <w:insideV w:val="single" w:sz="2" w:space="0" w:color="D4DC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1"/>
        <w:gridCol w:w="2527"/>
        <w:gridCol w:w="2621"/>
        <w:gridCol w:w="2621"/>
      </w:tblGrid>
      <w:tr w:rsidR="008F0A1B" w14:paraId="60FF6F5F" w14:textId="77777777">
        <w:trPr>
          <w:tblHeader/>
        </w:trPr>
        <w:tc>
          <w:tcPr>
            <w:tcW w:w="1591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5B" w14:textId="77777777" w:rsidR="008F0A1B" w:rsidRDefault="00752978">
            <w:r>
              <w:rPr>
                <w:b/>
                <w:bCs/>
                <w:color w:val="FFFFFF"/>
                <w:sz w:val="19"/>
                <w:szCs w:val="19"/>
              </w:rPr>
              <w:t>Process Area</w:t>
            </w:r>
          </w:p>
        </w:tc>
        <w:tc>
          <w:tcPr>
            <w:tcW w:w="2527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5C" w14:textId="77777777" w:rsidR="008F0A1B" w:rsidRDefault="00752978">
            <w:r>
              <w:rPr>
                <w:b/>
                <w:bCs/>
                <w:color w:val="FFFFFF"/>
                <w:sz w:val="19"/>
                <w:szCs w:val="19"/>
              </w:rPr>
              <w:t>As-Is</w:t>
            </w:r>
          </w:p>
        </w:tc>
        <w:tc>
          <w:tcPr>
            <w:tcW w:w="2621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5D" w14:textId="77777777" w:rsidR="008F0A1B" w:rsidRDefault="00752978">
            <w:r>
              <w:rPr>
                <w:b/>
                <w:bCs/>
                <w:color w:val="FFFFFF"/>
                <w:sz w:val="19"/>
                <w:szCs w:val="19"/>
              </w:rPr>
              <w:t>Key Challenge</w:t>
            </w:r>
          </w:p>
        </w:tc>
        <w:tc>
          <w:tcPr>
            <w:tcW w:w="2621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5E" w14:textId="77777777" w:rsidR="008F0A1B" w:rsidRDefault="00752978">
            <w:r>
              <w:rPr>
                <w:b/>
                <w:bCs/>
                <w:color w:val="FFFFFF"/>
                <w:sz w:val="19"/>
                <w:szCs w:val="19"/>
              </w:rPr>
              <w:t>To-Be</w:t>
            </w:r>
          </w:p>
        </w:tc>
      </w:tr>
      <w:tr w:rsidR="008F0A1B" w14:paraId="60FF6F64" w14:textId="77777777">
        <w:tc>
          <w:tcPr>
            <w:tcW w:w="1591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60" w14:textId="77777777" w:rsidR="008F0A1B" w:rsidRDefault="00752978">
            <w:pPr>
              <w:spacing w:line="250" w:lineRule="auto"/>
            </w:pPr>
            <w:r>
              <w:rPr>
                <w:b/>
                <w:bCs/>
                <w:color w:val="1A1A1A"/>
                <w:sz w:val="18"/>
                <w:szCs w:val="18"/>
              </w:rPr>
              <w:t>Demand submission cycle</w:t>
            </w:r>
          </w:p>
        </w:tc>
        <w:tc>
          <w:tcPr>
            <w:tcW w:w="2527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61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All demand — MTO and MTS — flows to PPC through one monthly S&amp;OP cycle. Orders arriving mid-cycle are not lost; they are consolidated into the next pass.</w:t>
            </w:r>
          </w:p>
        </w:tc>
        <w:tc>
          <w:tcPr>
            <w:tcW w:w="2621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62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Latency, not leakage. One cadence does not suit order-driven MTO and forecast-driven MTS. An order can lose up to two weeks of lead time it did not need to lose.</w:t>
            </w:r>
          </w:p>
        </w:tc>
        <w:tc>
          <w:tcPr>
            <w:tcW w:w="2621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63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Continuous intake — orders flow to PPC as they arrive, with a daily consolidation window, not a twice-monthly cutoff.</w:t>
            </w:r>
          </w:p>
        </w:tc>
      </w:tr>
      <w:tr w:rsidR="008F0A1B" w14:paraId="60FF6F69" w14:textId="77777777">
        <w:tc>
          <w:tcPr>
            <w:tcW w:w="159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65" w14:textId="77777777" w:rsidR="008F0A1B" w:rsidRDefault="00752978">
            <w:pPr>
              <w:spacing w:line="250" w:lineRule="auto"/>
            </w:pPr>
            <w:r>
              <w:rPr>
                <w:b/>
                <w:bCs/>
                <w:color w:val="1A1A1A"/>
                <w:sz w:val="18"/>
                <w:szCs w:val="18"/>
              </w:rPr>
              <w:t>Order life and backlog [root cause]</w:t>
            </w:r>
          </w:p>
        </w:tc>
        <w:tc>
          <w:tcPr>
            <w:tcW w:w="252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66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An indent is valid only for the month it is raised. An unfulfilled balance is knocked off and re-indented as a new order.</w:t>
            </w:r>
          </w:p>
        </w:tc>
        <w:tc>
          <w:tcPr>
            <w:tcW w:w="262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67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Four symptoms from one cause: backlog tracked manually; phasing held only as free text; EDD capped at one month; and the re-indented order gets a new date — the direct cause of the date instability IB has raised.</w:t>
            </w:r>
          </w:p>
        </w:tc>
        <w:tc>
          <w:tcPr>
            <w:tcW w:w="262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68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A persistent order object: lives from creation until 100% delivered, decrementing as built. Resolves all four symptoms at once.</w:t>
            </w:r>
          </w:p>
        </w:tc>
      </w:tr>
      <w:tr w:rsidR="008F0A1B" w14:paraId="60FF6F6E" w14:textId="77777777">
        <w:tc>
          <w:tcPr>
            <w:tcW w:w="1591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6A" w14:textId="77777777" w:rsidR="008F0A1B" w:rsidRDefault="00752978">
            <w:pPr>
              <w:spacing w:line="250" w:lineRule="auto"/>
            </w:pPr>
            <w:r>
              <w:rPr>
                <w:b/>
                <w:bCs/>
                <w:color w:val="1A1A1A"/>
                <w:sz w:val="18"/>
                <w:szCs w:val="18"/>
              </w:rPr>
              <w:t>Order tracking and visibility</w:t>
            </w:r>
          </w:p>
        </w:tc>
        <w:tc>
          <w:tcPr>
            <w:tcW w:w="2527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6B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No view of order status once submitted — no committed date, no production stage, no dispatch/billing visibility.</w:t>
            </w:r>
          </w:p>
        </w:tc>
        <w:tc>
          <w:tcPr>
            <w:tcW w:w="2621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6C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IB leadership's primary stated need. Teams cannot answer basic delivery questions without email.</w:t>
            </w:r>
          </w:p>
        </w:tc>
        <w:tc>
          <w:tcPr>
            <w:tcW w:w="2621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6D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Separate manufacturing (indent) and billing (PO) tracks; end-to-end visibility from receipt to closure.</w:t>
            </w:r>
          </w:p>
        </w:tc>
      </w:tr>
      <w:tr w:rsidR="008F0A1B" w14:paraId="60FF6F73" w14:textId="77777777">
        <w:tc>
          <w:tcPr>
            <w:tcW w:w="159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6F" w14:textId="77777777" w:rsidR="008F0A1B" w:rsidRDefault="00752978">
            <w:pPr>
              <w:spacing w:line="250" w:lineRule="auto"/>
            </w:pPr>
            <w:r>
              <w:rPr>
                <w:b/>
                <w:bCs/>
                <w:color w:val="1A1A1A"/>
                <w:sz w:val="18"/>
                <w:szCs w:val="18"/>
              </w:rPr>
              <w:t>Committed delivery date (EDD)</w:t>
            </w:r>
          </w:p>
        </w:tc>
        <w:tc>
          <w:tcPr>
            <w:tcW w:w="252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70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Dates negotiated by email; for IB, ~70% are committed without consulting PPC, from historical patterns. No variance tracking exists.</w:t>
            </w:r>
          </w:p>
        </w:tc>
        <w:tc>
          <w:tcPr>
            <w:tcW w:w="262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71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An unstable date is one nobody trusts. EDD is capped at one month though IB orders run 2–6 months.</w:t>
            </w:r>
          </w:p>
        </w:tc>
        <w:tc>
          <w:tcPr>
            <w:tcW w:w="262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72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Full-horizon committed date, stable and reason-coded on change. Variance tracking feeds future estimation for the repeatable ~70% of IB (Phase 2).</w:t>
            </w:r>
          </w:p>
        </w:tc>
      </w:tr>
      <w:tr w:rsidR="008F0A1B" w14:paraId="60FF6F78" w14:textId="77777777">
        <w:tc>
          <w:tcPr>
            <w:tcW w:w="1591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74" w14:textId="77777777" w:rsidR="008F0A1B" w:rsidRDefault="00752978">
            <w:pPr>
              <w:spacing w:line="250" w:lineRule="auto"/>
            </w:pP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Prioritisation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and order 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categorisation</w:t>
            </w:r>
            <w:proofErr w:type="spellEnd"/>
          </w:p>
        </w:tc>
        <w:tc>
          <w:tcPr>
            <w:tcW w:w="2527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75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All IB orders enter as one order type. Resequencing under capacity pressure is decided by email.</w:t>
            </w:r>
          </w:p>
        </w:tc>
        <w:tc>
          <w:tcPr>
            <w:tcW w:w="2621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76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 xml:space="preserve">No defined basis for deciding which order is displaced. Cannot </w:t>
            </w:r>
            <w:proofErr w:type="spellStart"/>
            <w:r>
              <w:rPr>
                <w:color w:val="1A1A1A"/>
                <w:sz w:val="18"/>
                <w:szCs w:val="18"/>
              </w:rPr>
              <w:t>prioritise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by order type when every order is the same type.</w:t>
            </w:r>
          </w:p>
        </w:tc>
        <w:tc>
          <w:tcPr>
            <w:tcW w:w="2621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77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A structured order category (institutional / direct / dealer stock) and a defined sequencing basis, once displacement authority is agreed.</w:t>
            </w:r>
          </w:p>
        </w:tc>
      </w:tr>
      <w:tr w:rsidR="008F0A1B" w14:paraId="60FF6F7D" w14:textId="77777777">
        <w:tc>
          <w:tcPr>
            <w:tcW w:w="159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79" w14:textId="77777777" w:rsidR="008F0A1B" w:rsidRDefault="00752978">
            <w:pPr>
              <w:spacing w:line="250" w:lineRule="auto"/>
            </w:pPr>
            <w:r>
              <w:rPr>
                <w:b/>
                <w:bCs/>
                <w:color w:val="1A1A1A"/>
                <w:sz w:val="18"/>
                <w:szCs w:val="18"/>
              </w:rPr>
              <w:t>FERT code availability</w:t>
            </w:r>
          </w:p>
        </w:tc>
        <w:tc>
          <w:tcPr>
            <w:tcW w:w="252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7A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 xml:space="preserve">Code generation takes 5–30 days; a code unused in 12 </w:t>
            </w:r>
            <w:r>
              <w:rPr>
                <w:color w:val="1A1A1A"/>
                <w:sz w:val="18"/>
                <w:szCs w:val="18"/>
              </w:rPr>
              <w:lastRenderedPageBreak/>
              <w:t>months does not appear on demand screens at all.</w:t>
            </w:r>
          </w:p>
        </w:tc>
        <w:tc>
          <w:tcPr>
            <w:tcW w:w="262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7B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lastRenderedPageBreak/>
              <w:t>IS: ~90% of orders arrive before a FERT code exists. IB: ~20–30%.</w:t>
            </w:r>
          </w:p>
        </w:tc>
        <w:tc>
          <w:tcPr>
            <w:tcW w:w="262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7C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 xml:space="preserve">Reference-code capture, auto-remapped to the real code once </w:t>
            </w:r>
            <w:r>
              <w:rPr>
                <w:color w:val="1A1A1A"/>
                <w:sz w:val="18"/>
                <w:szCs w:val="18"/>
              </w:rPr>
              <w:lastRenderedPageBreak/>
              <w:t>created; pending cases routed with an owner.</w:t>
            </w:r>
          </w:p>
        </w:tc>
      </w:tr>
      <w:tr w:rsidR="008F0A1B" w14:paraId="60FF6F82" w14:textId="77777777">
        <w:tc>
          <w:tcPr>
            <w:tcW w:w="1591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7E" w14:textId="77777777" w:rsidR="008F0A1B" w:rsidRDefault="00752978">
            <w:pPr>
              <w:spacing w:line="250" w:lineRule="auto"/>
            </w:pPr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Netting-off and single source of truth</w:t>
            </w:r>
          </w:p>
        </w:tc>
        <w:tc>
          <w:tcPr>
            <w:tcW w:w="2527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7F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Netting-off runs in an uncirculated working spreadsheet.</w:t>
            </w:r>
          </w:p>
        </w:tc>
        <w:tc>
          <w:tcPr>
            <w:tcW w:w="2621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80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No audit trail of submissions or overrides; repeated confusion over which version is current.</w:t>
            </w:r>
          </w:p>
        </w:tc>
        <w:tc>
          <w:tcPr>
            <w:tcW w:w="2621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81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Netting-off as a system process, override retained as a logged action with user, timestamp and reason.</w:t>
            </w:r>
          </w:p>
        </w:tc>
      </w:tr>
      <w:tr w:rsidR="008F0A1B" w14:paraId="60FF6F87" w14:textId="77777777">
        <w:tc>
          <w:tcPr>
            <w:tcW w:w="159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83" w14:textId="77777777" w:rsidR="008F0A1B" w:rsidRDefault="00752978">
            <w:pPr>
              <w:spacing w:line="250" w:lineRule="auto"/>
            </w:pPr>
            <w:r>
              <w:rPr>
                <w:b/>
                <w:bCs/>
                <w:color w:val="1A1A1A"/>
                <w:sz w:val="18"/>
                <w:szCs w:val="18"/>
              </w:rPr>
              <w:t>Stock protection and allocation</w:t>
            </w:r>
          </w:p>
        </w:tc>
        <w:tc>
          <w:tcPr>
            <w:tcW w:w="252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84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Production output is not tagged by destination stream.</w:t>
            </w:r>
          </w:p>
        </w:tc>
        <w:tc>
          <w:tcPr>
            <w:tcW w:w="262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85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Primarily an IS issue — a unit committed to a penalty-bearing IS order can be sold into retail. Limited IB exposure (Bhutan/Nepal Euro-4).</w:t>
            </w:r>
          </w:p>
        </w:tc>
        <w:tc>
          <w:tcPr>
            <w:tcW w:w="262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86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Not yet designed. Requires a business decision on whether committed IS stock should be earmarked before design begins.</w:t>
            </w:r>
          </w:p>
        </w:tc>
      </w:tr>
      <w:tr w:rsidR="008F0A1B" w14:paraId="60FF6F8C" w14:textId="77777777">
        <w:tc>
          <w:tcPr>
            <w:tcW w:w="1591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88" w14:textId="77777777" w:rsidR="008F0A1B" w:rsidRDefault="00752978">
            <w:pPr>
              <w:spacing w:line="250" w:lineRule="auto"/>
            </w:pPr>
            <w:r>
              <w:rPr>
                <w:b/>
                <w:bCs/>
                <w:color w:val="1A1A1A"/>
                <w:sz w:val="18"/>
                <w:szCs w:val="18"/>
              </w:rPr>
              <w:t>Backend response to demand</w:t>
            </w:r>
          </w:p>
        </w:tc>
        <w:tc>
          <w:tcPr>
            <w:tcW w:w="2527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89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Procurement and manufacturing act on the consolidated cycle output, not on individual order receipt.</w:t>
            </w:r>
          </w:p>
        </w:tc>
        <w:tc>
          <w:tcPr>
            <w:tcW w:w="2621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8A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The factor most likely to defeat this initiative: faster submission achieves nothing if backend action still waits for the monthly rhythm.</w:t>
            </w:r>
          </w:p>
        </w:tc>
        <w:tc>
          <w:tcPr>
            <w:tcW w:w="2621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8B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Not a system feature. Requires a cross-functional commitment from Manufacturing and Procurement to act on receipt.</w:t>
            </w:r>
          </w:p>
        </w:tc>
      </w:tr>
    </w:tbl>
    <w:p w14:paraId="60FF6F8D" w14:textId="77777777" w:rsidR="008F0A1B" w:rsidRDefault="008F0A1B">
      <w:pPr>
        <w:spacing w:after="140"/>
      </w:pPr>
    </w:p>
    <w:p w14:paraId="60FF6F8E" w14:textId="77777777" w:rsidR="008F0A1B" w:rsidRDefault="00752978">
      <w:pPr>
        <w:pStyle w:val="Heading2"/>
        <w:spacing w:before="220" w:after="100"/>
      </w:pPr>
      <w:r>
        <w:rPr>
          <w:b/>
          <w:bCs/>
          <w:color w:val="2E5B9A"/>
          <w:sz w:val="23"/>
          <w:szCs w:val="23"/>
        </w:rPr>
        <w:t>Also worth noting</w:t>
      </w:r>
    </w:p>
    <w:p w14:paraId="60FF6F8F" w14:textId="77777777" w:rsidR="008F0A1B" w:rsidRDefault="00752978">
      <w:pPr>
        <w:pStyle w:val="ListParagraph"/>
        <w:numPr>
          <w:ilvl w:val="0"/>
          <w:numId w:val="1"/>
        </w:numPr>
        <w:spacing w:after="80" w:line="270" w:lineRule="auto"/>
      </w:pPr>
      <w:r>
        <w:rPr>
          <w:color w:val="1A1A1A"/>
        </w:rPr>
        <w:t xml:space="preserve">IS moves from one persona to two (Vertical Head + </w:t>
      </w:r>
      <w:proofErr w:type="gramStart"/>
      <w:r>
        <w:rPr>
          <w:color w:val="1A1A1A"/>
        </w:rPr>
        <w:t>ISO) —</w:t>
      </w:r>
      <w:proofErr w:type="gramEnd"/>
      <w:r>
        <w:rPr>
          <w:color w:val="1A1A1A"/>
        </w:rPr>
        <w:t xml:space="preserve"> netting-off is required for IS just as it is for IB.</w:t>
      </w:r>
    </w:p>
    <w:p w14:paraId="60FF6F90" w14:textId="77777777" w:rsidR="008F0A1B" w:rsidRDefault="00752978">
      <w:pPr>
        <w:pStyle w:val="ListParagraph"/>
        <w:numPr>
          <w:ilvl w:val="0"/>
          <w:numId w:val="1"/>
        </w:numPr>
        <w:spacing w:after="80" w:line="270" w:lineRule="auto"/>
      </w:pPr>
      <w:r>
        <w:rPr>
          <w:color w:val="1A1A1A"/>
        </w:rPr>
        <w:t>Automated date estimation is not a reversal of the earlier position — it is narrowed to the repeatable ~70% of IB, targeted for Phase 2, not built into Phase 1.</w:t>
      </w:r>
    </w:p>
    <w:p w14:paraId="60FF6F91" w14:textId="77777777" w:rsidR="008F0A1B" w:rsidRDefault="00752978">
      <w:pPr>
        <w:pStyle w:val="ListParagraph"/>
        <w:numPr>
          <w:ilvl w:val="0"/>
          <w:numId w:val="1"/>
        </w:numPr>
        <w:spacing w:after="80" w:line="270" w:lineRule="auto"/>
      </w:pPr>
      <w:r>
        <w:rPr>
          <w:color w:val="1A1A1A"/>
        </w:rPr>
        <w:t>Stock protection has no design yet — it is unsolved, not descoped.</w:t>
      </w:r>
    </w:p>
    <w:p w14:paraId="60FF6F92" w14:textId="77777777" w:rsidR="008F0A1B" w:rsidRDefault="00752978">
      <w:pPr>
        <w:pStyle w:val="Heading1"/>
        <w:pBdr>
          <w:bottom w:val="single" w:sz="8" w:space="6" w:color="1F3864"/>
        </w:pBdr>
        <w:spacing w:before="320" w:after="140"/>
      </w:pPr>
      <w:r>
        <w:rPr>
          <w:b/>
          <w:bCs/>
          <w:color w:val="1F3864"/>
          <w:sz w:val="28"/>
          <w:szCs w:val="28"/>
        </w:rPr>
        <w:t>7. Additional Phase 1 Business Rules (from Rules &amp; Guidelines Workbook)</w:t>
      </w:r>
    </w:p>
    <w:p w14:paraId="60FF6F93" w14:textId="77777777" w:rsidR="008F0A1B" w:rsidRDefault="00752978">
      <w:pPr>
        <w:spacing w:after="120" w:line="276" w:lineRule="auto"/>
      </w:pPr>
      <w:r>
        <w:rPr>
          <w:color w:val="1A1A1A"/>
        </w:rPr>
        <w:t>The rules and guidelines workbook tags the following as Phase 1. Reproduced here, area by area, so they sit alongside the rest of the Phase 1 scope in this document.</w:t>
      </w:r>
    </w:p>
    <w:tbl>
      <w:tblPr>
        <w:tblW w:w="9360" w:type="dxa"/>
        <w:tblBorders>
          <w:top w:val="single" w:sz="2" w:space="0" w:color="B7C3D6"/>
          <w:left w:val="single" w:sz="2" w:space="0" w:color="B7C3D6"/>
          <w:bottom w:val="single" w:sz="2" w:space="0" w:color="B7C3D6"/>
          <w:right w:val="single" w:sz="2" w:space="0" w:color="B7C3D6"/>
          <w:insideH w:val="single" w:sz="2" w:space="0" w:color="D4DCE8"/>
          <w:insideV w:val="single" w:sz="2" w:space="0" w:color="D4DC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F0A1B" w14:paraId="60FF6F96" w14:textId="77777777">
        <w:trPr>
          <w:tblHeader/>
        </w:trPr>
        <w:tc>
          <w:tcPr>
            <w:tcW w:w="24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94" w14:textId="77777777" w:rsidR="008F0A1B" w:rsidRDefault="00752978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696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95" w14:textId="77777777" w:rsidR="008F0A1B" w:rsidRDefault="00752978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Phase 1 Rule</w:t>
            </w:r>
          </w:p>
        </w:tc>
      </w:tr>
      <w:tr w:rsidR="008F0A1B" w14:paraId="60FF6F99" w14:textId="77777777">
        <w:tc>
          <w:tcPr>
            <w:tcW w:w="2400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97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Dealer Indenting (Bottom-Up &amp; Mandatory)</w:t>
            </w:r>
          </w:p>
        </w:tc>
        <w:tc>
          <w:tcPr>
            <w:tcW w:w="6960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98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Mandatory for Runner and Repeater. Optional for Stranger, against a confirmed customer order. For Stranger, system gives guidance based on the pipeline stage: Confirmation, FA or FC.</w:t>
            </w:r>
          </w:p>
        </w:tc>
      </w:tr>
      <w:tr w:rsidR="008F0A1B" w14:paraId="60FF6F9C" w14:textId="77777777">
        <w:tc>
          <w:tcPr>
            <w:tcW w:w="2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9A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Central Indenting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9B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 xml:space="preserve">Vertical and S&amp;OP jointly </w:t>
            </w:r>
            <w:proofErr w:type="spellStart"/>
            <w:r>
              <w:rPr>
                <w:color w:val="1A1A1A"/>
                <w:sz w:val="18"/>
                <w:szCs w:val="18"/>
              </w:rPr>
              <w:t>finalise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the indent, referring to: 1) Business Plan, 2) TIV, Market Share and SOB, 3) Pipeline, 4) Historical data. Outliers get a deep dive: waxing/waning FERTs, over- and under-indenting. Demand cannot be reduced below the cumulative dealer indent for Repeater and Stranger. Central indenting increase is capped at +30% versus the higher of SOB or statistics (still an open question on the exact cap).</w:t>
            </w:r>
          </w:p>
        </w:tc>
      </w:tr>
      <w:tr w:rsidR="008F0A1B" w14:paraId="60FF6F9F" w14:textId="77777777">
        <w:tc>
          <w:tcPr>
            <w:tcW w:w="2400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9D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Indenting (M1 to M3)</w:t>
            </w:r>
          </w:p>
        </w:tc>
        <w:tc>
          <w:tcPr>
            <w:tcW w:w="6960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9E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M1 is FERT-level, for Runner and Repeater only. M2 and M3 are at platform/indenting level.</w:t>
            </w:r>
          </w:p>
        </w:tc>
      </w:tr>
      <w:tr w:rsidR="008F0A1B" w14:paraId="60FF6FA2" w14:textId="77777777">
        <w:tc>
          <w:tcPr>
            <w:tcW w:w="2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A0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Indent Variation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A1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S&amp;OP A versus S&amp;OP B comparison, only for Runner and Repeater.</w:t>
            </w:r>
          </w:p>
        </w:tc>
      </w:tr>
      <w:tr w:rsidR="008F0A1B" w14:paraId="60FF6FA5" w14:textId="77777777">
        <w:tc>
          <w:tcPr>
            <w:tcW w:w="2400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A3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Production</w:t>
            </w:r>
          </w:p>
        </w:tc>
        <w:tc>
          <w:tcPr>
            <w:tcW w:w="6960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A4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 xml:space="preserve">Rollover plan is frozen based on S&amp;OP A1 in the first 1st to 10th of the month, for Runner and Repeater only, if demanded. Max rollover is 1/3 of Runner FERT demand. Production </w:t>
            </w:r>
            <w:r>
              <w:rPr>
                <w:color w:val="1A1A1A"/>
                <w:sz w:val="18"/>
                <w:szCs w:val="18"/>
              </w:rPr>
              <w:lastRenderedPageBreak/>
              <w:t xml:space="preserve">must be linear week to week. For Runner vehicles with </w:t>
            </w:r>
            <w:proofErr w:type="gramStart"/>
            <w:r>
              <w:rPr>
                <w:color w:val="1A1A1A"/>
                <w:sz w:val="18"/>
                <w:szCs w:val="18"/>
              </w:rPr>
              <w:t>a high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manufacturing lead time (Tippers, Tractor-Trailers, Buses), 30% of the S&amp;OP B2 </w:t>
            </w:r>
            <w:proofErr w:type="gramStart"/>
            <w:r>
              <w:rPr>
                <w:color w:val="1A1A1A"/>
                <w:sz w:val="18"/>
                <w:szCs w:val="18"/>
              </w:rPr>
              <w:t>indent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must roll out in the same month.</w:t>
            </w:r>
          </w:p>
        </w:tc>
      </w:tr>
      <w:tr w:rsidR="008F0A1B" w14:paraId="60FF6FA8" w14:textId="77777777">
        <w:tc>
          <w:tcPr>
            <w:tcW w:w="2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A6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lastRenderedPageBreak/>
              <w:t>Supply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A7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Standard EDD: Runner = TLT, Repeater = TLT + MLT, Stranger = TLT + MLT + PLT.</w:t>
            </w:r>
          </w:p>
        </w:tc>
      </w:tr>
      <w:tr w:rsidR="008F0A1B" w14:paraId="60FF6FAB" w14:textId="77777777">
        <w:tc>
          <w:tcPr>
            <w:tcW w:w="2400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A9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Supply Plan Cycle</w:t>
            </w:r>
          </w:p>
        </w:tc>
        <w:tc>
          <w:tcPr>
            <w:tcW w:w="6960" w:type="dxa"/>
            <w:shd w:val="clear" w:color="auto" w:fill="F4F6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F6FAA" w14:textId="77777777" w:rsidR="008F0A1B" w:rsidRDefault="00752978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S&amp;OP 1A published on the 25th, S&amp;OP 1B on the 8th. Rush Order SLA is 3 days for EDD (expected date of delivery at the FG yard, plus TLT). EDD must flow back to the dealer through the system, not manually.</w:t>
            </w:r>
          </w:p>
        </w:tc>
      </w:tr>
    </w:tbl>
    <w:p w14:paraId="60FF6FAC" w14:textId="77777777" w:rsidR="008F0A1B" w:rsidRDefault="00752978">
      <w:pPr>
        <w:pStyle w:val="Heading1"/>
        <w:pBdr>
          <w:bottom w:val="single" w:sz="8" w:space="6" w:color="1F3864"/>
        </w:pBdr>
        <w:spacing w:before="320" w:after="140"/>
      </w:pPr>
      <w:r>
        <w:rPr>
          <w:b/>
          <w:bCs/>
          <w:color w:val="1F3864"/>
          <w:sz w:val="28"/>
          <w:szCs w:val="28"/>
        </w:rPr>
        <w:t>8. Open Items</w:t>
      </w:r>
    </w:p>
    <w:p w14:paraId="60FF6FAD" w14:textId="22E61ACC" w:rsidR="008F0A1B" w:rsidRDefault="00752978">
      <w:pPr>
        <w:spacing w:after="120" w:line="276" w:lineRule="auto"/>
      </w:pPr>
      <w:r>
        <w:rPr>
          <w:color w:val="1A1A1A"/>
        </w:rPr>
        <w:t xml:space="preserve">Business decisions required before </w:t>
      </w:r>
      <w:proofErr w:type="gramStart"/>
      <w:r w:rsidR="00A63C49">
        <w:rPr>
          <w:color w:val="1A1A1A"/>
        </w:rPr>
        <w:t>build</w:t>
      </w:r>
      <w:proofErr w:type="gramEnd"/>
      <w:r w:rsidR="00A63C49">
        <w:rPr>
          <w:color w:val="1A1A1A"/>
        </w:rPr>
        <w:t xml:space="preserve"> can start. </w:t>
      </w:r>
    </w:p>
    <w:p w14:paraId="60FF6FAE" w14:textId="79D9E28C" w:rsidR="008F0A1B" w:rsidRDefault="00752978">
      <w:pPr>
        <w:pStyle w:val="ListParagraph"/>
        <w:numPr>
          <w:ilvl w:val="0"/>
          <w:numId w:val="1"/>
        </w:numPr>
        <w:spacing w:after="80" w:line="270" w:lineRule="auto"/>
      </w:pPr>
      <w:r>
        <w:rPr>
          <w:color w:val="1A1A1A"/>
        </w:rPr>
        <w:t>Displacement authority — who decides which order is bumped when capacity is short, and who holds that authority.</w:t>
      </w:r>
      <w:r w:rsidR="0048514E">
        <w:rPr>
          <w:color w:val="1A1A1A"/>
        </w:rPr>
        <w:t xml:space="preserve"> (MTO)</w:t>
      </w:r>
    </w:p>
    <w:p w14:paraId="60FF6FAF" w14:textId="22DDE302" w:rsidR="008F0A1B" w:rsidRDefault="00752978">
      <w:pPr>
        <w:pStyle w:val="ListParagraph"/>
        <w:numPr>
          <w:ilvl w:val="0"/>
          <w:numId w:val="1"/>
        </w:numPr>
        <w:spacing w:after="80" w:line="270" w:lineRule="auto"/>
      </w:pPr>
      <w:r>
        <w:rPr>
          <w:color w:val="1A1A1A"/>
        </w:rPr>
        <w:t xml:space="preserve">Frozen </w:t>
      </w:r>
      <w:proofErr w:type="gramStart"/>
      <w:r>
        <w:rPr>
          <w:color w:val="1A1A1A"/>
        </w:rPr>
        <w:t>window —</w:t>
      </w:r>
      <w:proofErr w:type="gramEnd"/>
      <w:r>
        <w:rPr>
          <w:color w:val="1A1A1A"/>
        </w:rPr>
        <w:t xml:space="preserve"> the agreed no-change window before delivery, and whether PPC is empowered to enforce it.</w:t>
      </w:r>
    </w:p>
    <w:p w14:paraId="60FF6FB1" w14:textId="77777777" w:rsidR="008F0A1B" w:rsidRDefault="00752978">
      <w:pPr>
        <w:pStyle w:val="ListParagraph"/>
        <w:numPr>
          <w:ilvl w:val="0"/>
          <w:numId w:val="1"/>
        </w:numPr>
        <w:spacing w:after="80" w:line="270" w:lineRule="auto"/>
      </w:pPr>
      <w:r>
        <w:rPr>
          <w:color w:val="1A1A1A"/>
        </w:rPr>
        <w:t>Reference FERT code handling — how far procurement should proceed against a reference code before the actual code exists.</w:t>
      </w:r>
    </w:p>
    <w:p w14:paraId="60FF6FB2" w14:textId="77777777" w:rsidR="008F0A1B" w:rsidRDefault="00752978">
      <w:pPr>
        <w:pStyle w:val="ListParagraph"/>
        <w:numPr>
          <w:ilvl w:val="0"/>
          <w:numId w:val="1"/>
        </w:numPr>
        <w:spacing w:after="80" w:line="270" w:lineRule="auto"/>
      </w:pPr>
      <w:r>
        <w:rPr>
          <w:color w:val="1A1A1A"/>
        </w:rPr>
        <w:t>Stock protection — whether committed IS stock should be earmarked and protected from retail sale; not yet designed.</w:t>
      </w:r>
    </w:p>
    <w:p w14:paraId="60FF6FB3" w14:textId="77777777" w:rsidR="008F0A1B" w:rsidRDefault="00752978">
      <w:pPr>
        <w:pStyle w:val="ListParagraph"/>
        <w:numPr>
          <w:ilvl w:val="0"/>
          <w:numId w:val="1"/>
        </w:numPr>
        <w:spacing w:after="80" w:line="270" w:lineRule="auto"/>
      </w:pPr>
      <w:r>
        <w:rPr>
          <w:color w:val="1A1A1A"/>
        </w:rPr>
        <w:t>Penalty terms — whether penalty clauses are available in structured form, and from which system.</w:t>
      </w:r>
    </w:p>
    <w:p w14:paraId="69C6B92B" w14:textId="464C6077" w:rsidR="0004618C" w:rsidRDefault="00F34EAD">
      <w:pPr>
        <w:pStyle w:val="ListParagraph"/>
        <w:numPr>
          <w:ilvl w:val="0"/>
          <w:numId w:val="1"/>
        </w:numPr>
        <w:spacing w:after="80" w:line="270" w:lineRule="auto"/>
      </w:pPr>
      <w:r>
        <w:rPr>
          <w:color w:val="1A1A1A"/>
        </w:rPr>
        <w:t xml:space="preserve">The overall process needs alignment with PPC &amp; Procurement. </w:t>
      </w:r>
    </w:p>
    <w:p w14:paraId="60FF6FB8" w14:textId="77777777" w:rsidR="008F0A1B" w:rsidRDefault="00752978">
      <w:pPr>
        <w:pStyle w:val="Heading1"/>
        <w:pBdr>
          <w:bottom w:val="single" w:sz="8" w:space="6" w:color="1F3864"/>
        </w:pBdr>
        <w:spacing w:before="320" w:after="140"/>
      </w:pPr>
      <w:r>
        <w:rPr>
          <w:b/>
          <w:bCs/>
          <w:color w:val="1F3864"/>
          <w:sz w:val="28"/>
          <w:szCs w:val="28"/>
        </w:rPr>
        <w:t>9. Out of Scope — Technical and SAP-Specific Design</w:t>
      </w:r>
    </w:p>
    <w:p w14:paraId="60FF6FB9" w14:textId="77777777" w:rsidR="008F0A1B" w:rsidRDefault="00752978">
      <w:pPr>
        <w:spacing w:after="120" w:line="276" w:lineRule="auto"/>
      </w:pPr>
      <w:r>
        <w:rPr>
          <w:color w:val="1A1A1A"/>
        </w:rPr>
        <w:t xml:space="preserve">Functional and technical design — including how each item is implemented, in SAP or in the custom </w:t>
      </w:r>
      <w:proofErr w:type="spellStart"/>
      <w:r>
        <w:rPr>
          <w:color w:val="1A1A1A"/>
        </w:rPr>
        <w:t>VECVplan</w:t>
      </w:r>
      <w:proofErr w:type="spellEnd"/>
      <w:r>
        <w:rPr>
          <w:color w:val="1A1A1A"/>
        </w:rPr>
        <w:t xml:space="preserve"> application — is carried forward by VECV and UST as a subsequent step. This document defines what is needed, not how it is built.</w:t>
      </w:r>
    </w:p>
    <w:sectPr w:rsidR="008F0A1B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C84D4" w14:textId="77777777" w:rsidR="00C0621A" w:rsidRDefault="00C0621A">
      <w:r>
        <w:separator/>
      </w:r>
    </w:p>
  </w:endnote>
  <w:endnote w:type="continuationSeparator" w:id="0">
    <w:p w14:paraId="748AB37E" w14:textId="77777777" w:rsidR="00C0621A" w:rsidRDefault="00C06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F6FBB" w14:textId="0EBE5BE7" w:rsidR="008F0A1B" w:rsidRDefault="00752978">
    <w:pPr>
      <w:jc w:val="right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5B3482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84A36" w14:textId="77777777" w:rsidR="00C0621A" w:rsidRDefault="00C0621A">
      <w:r>
        <w:separator/>
      </w:r>
    </w:p>
  </w:footnote>
  <w:footnote w:type="continuationSeparator" w:id="0">
    <w:p w14:paraId="5FAABFD3" w14:textId="77777777" w:rsidR="00C0621A" w:rsidRDefault="00C062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F6FBA" w14:textId="77777777" w:rsidR="008F0A1B" w:rsidRDefault="00752978">
    <w:pPr>
      <w:pBdr>
        <w:bottom w:val="single" w:sz="4" w:space="4" w:color="C8D3E4"/>
      </w:pBdr>
      <w:spacing w:after="60"/>
      <w:jc w:val="right"/>
    </w:pPr>
    <w:r>
      <w:rPr>
        <w:color w:val="595959"/>
        <w:sz w:val="16"/>
        <w:szCs w:val="16"/>
      </w:rPr>
      <w:t>VECV S&amp;OP — Phase 1 Addendum, Track 1 — v0.5 Draft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A6541"/>
    <w:multiLevelType w:val="hybridMultilevel"/>
    <w:tmpl w:val="50FE973A"/>
    <w:lvl w:ilvl="0" w:tplc="05247EEA">
      <w:start w:val="1"/>
      <w:numFmt w:val="bullet"/>
      <w:lvlText w:val="●"/>
      <w:lvlJc w:val="left"/>
      <w:pPr>
        <w:ind w:left="720" w:hanging="360"/>
      </w:pPr>
    </w:lvl>
    <w:lvl w:ilvl="1" w:tplc="438A7AA6">
      <w:start w:val="1"/>
      <w:numFmt w:val="bullet"/>
      <w:lvlText w:val="○"/>
      <w:lvlJc w:val="left"/>
      <w:pPr>
        <w:ind w:left="1440" w:hanging="360"/>
      </w:pPr>
    </w:lvl>
    <w:lvl w:ilvl="2" w:tplc="A33A754A">
      <w:start w:val="1"/>
      <w:numFmt w:val="bullet"/>
      <w:lvlText w:val="■"/>
      <w:lvlJc w:val="left"/>
      <w:pPr>
        <w:ind w:left="2160" w:hanging="360"/>
      </w:pPr>
    </w:lvl>
    <w:lvl w:ilvl="3" w:tplc="1B6A24C4">
      <w:start w:val="1"/>
      <w:numFmt w:val="bullet"/>
      <w:lvlText w:val="●"/>
      <w:lvlJc w:val="left"/>
      <w:pPr>
        <w:ind w:left="2880" w:hanging="360"/>
      </w:pPr>
    </w:lvl>
    <w:lvl w:ilvl="4" w:tplc="F7BEB760">
      <w:start w:val="1"/>
      <w:numFmt w:val="bullet"/>
      <w:lvlText w:val="○"/>
      <w:lvlJc w:val="left"/>
      <w:pPr>
        <w:ind w:left="3600" w:hanging="360"/>
      </w:pPr>
    </w:lvl>
    <w:lvl w:ilvl="5" w:tplc="4E0ED832">
      <w:start w:val="1"/>
      <w:numFmt w:val="bullet"/>
      <w:lvlText w:val="■"/>
      <w:lvlJc w:val="left"/>
      <w:pPr>
        <w:ind w:left="4320" w:hanging="360"/>
      </w:pPr>
    </w:lvl>
    <w:lvl w:ilvl="6" w:tplc="728CF1E6">
      <w:start w:val="1"/>
      <w:numFmt w:val="bullet"/>
      <w:lvlText w:val="●"/>
      <w:lvlJc w:val="left"/>
      <w:pPr>
        <w:ind w:left="5040" w:hanging="360"/>
      </w:pPr>
    </w:lvl>
    <w:lvl w:ilvl="7" w:tplc="C8D89F68">
      <w:start w:val="1"/>
      <w:numFmt w:val="bullet"/>
      <w:lvlText w:val="●"/>
      <w:lvlJc w:val="left"/>
      <w:pPr>
        <w:ind w:left="5760" w:hanging="360"/>
      </w:pPr>
    </w:lvl>
    <w:lvl w:ilvl="8" w:tplc="C0B8F6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1E6DC6"/>
    <w:multiLevelType w:val="hybridMultilevel"/>
    <w:tmpl w:val="2B4A4460"/>
    <w:lvl w:ilvl="0" w:tplc="62222024">
      <w:start w:val="1"/>
      <w:numFmt w:val="bullet"/>
      <w:lvlText w:val="•"/>
      <w:lvlJc w:val="left"/>
      <w:pPr>
        <w:ind w:left="360" w:hanging="200"/>
      </w:pPr>
    </w:lvl>
    <w:lvl w:ilvl="1" w:tplc="60C03202">
      <w:numFmt w:val="decimal"/>
      <w:lvlText w:val=""/>
      <w:lvlJc w:val="left"/>
    </w:lvl>
    <w:lvl w:ilvl="2" w:tplc="BF1AC588">
      <w:numFmt w:val="decimal"/>
      <w:lvlText w:val=""/>
      <w:lvlJc w:val="left"/>
    </w:lvl>
    <w:lvl w:ilvl="3" w:tplc="9E7C960E">
      <w:numFmt w:val="decimal"/>
      <w:lvlText w:val=""/>
      <w:lvlJc w:val="left"/>
    </w:lvl>
    <w:lvl w:ilvl="4" w:tplc="3D648C02">
      <w:numFmt w:val="decimal"/>
      <w:lvlText w:val=""/>
      <w:lvlJc w:val="left"/>
    </w:lvl>
    <w:lvl w:ilvl="5" w:tplc="A3E4EA08">
      <w:numFmt w:val="decimal"/>
      <w:lvlText w:val=""/>
      <w:lvlJc w:val="left"/>
    </w:lvl>
    <w:lvl w:ilvl="6" w:tplc="F8547A20">
      <w:numFmt w:val="decimal"/>
      <w:lvlText w:val=""/>
      <w:lvlJc w:val="left"/>
    </w:lvl>
    <w:lvl w:ilvl="7" w:tplc="BAF85EFE">
      <w:numFmt w:val="decimal"/>
      <w:lvlText w:val=""/>
      <w:lvlJc w:val="left"/>
    </w:lvl>
    <w:lvl w:ilvl="8" w:tplc="C39E0C2A">
      <w:numFmt w:val="decimal"/>
      <w:lvlText w:val=""/>
      <w:lvlJc w:val="left"/>
    </w:lvl>
  </w:abstractNum>
  <w:num w:numId="1" w16cid:durableId="1597325248">
    <w:abstractNumId w:val="1"/>
    <w:lvlOverride w:ilvl="0">
      <w:startOverride w:val="1"/>
    </w:lvlOverride>
  </w:num>
  <w:num w:numId="2" w16cid:durableId="323896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A1B"/>
    <w:rsid w:val="000305BC"/>
    <w:rsid w:val="0004618C"/>
    <w:rsid w:val="000E624B"/>
    <w:rsid w:val="0013479A"/>
    <w:rsid w:val="00217FA3"/>
    <w:rsid w:val="00290E51"/>
    <w:rsid w:val="002931AF"/>
    <w:rsid w:val="00302531"/>
    <w:rsid w:val="00304C56"/>
    <w:rsid w:val="0031028C"/>
    <w:rsid w:val="00375CDF"/>
    <w:rsid w:val="003957AB"/>
    <w:rsid w:val="003B69A9"/>
    <w:rsid w:val="003C2A27"/>
    <w:rsid w:val="0048514E"/>
    <w:rsid w:val="004F0E7C"/>
    <w:rsid w:val="005B3482"/>
    <w:rsid w:val="005D0F0D"/>
    <w:rsid w:val="00634A06"/>
    <w:rsid w:val="00636087"/>
    <w:rsid w:val="00752978"/>
    <w:rsid w:val="007E2A34"/>
    <w:rsid w:val="00896616"/>
    <w:rsid w:val="008D3B4F"/>
    <w:rsid w:val="008F0A1B"/>
    <w:rsid w:val="009B0919"/>
    <w:rsid w:val="00A63C49"/>
    <w:rsid w:val="00A77284"/>
    <w:rsid w:val="00AF4F89"/>
    <w:rsid w:val="00B070E4"/>
    <w:rsid w:val="00B165C0"/>
    <w:rsid w:val="00B34C48"/>
    <w:rsid w:val="00B92016"/>
    <w:rsid w:val="00BA69BB"/>
    <w:rsid w:val="00BD0F65"/>
    <w:rsid w:val="00BE21BB"/>
    <w:rsid w:val="00C0621A"/>
    <w:rsid w:val="00C119EF"/>
    <w:rsid w:val="00C16603"/>
    <w:rsid w:val="00C52097"/>
    <w:rsid w:val="00CB15A9"/>
    <w:rsid w:val="00CD2C02"/>
    <w:rsid w:val="00CD3BC2"/>
    <w:rsid w:val="00D63C12"/>
    <w:rsid w:val="00D83185"/>
    <w:rsid w:val="00E270C0"/>
    <w:rsid w:val="00E45C2A"/>
    <w:rsid w:val="00E5417D"/>
    <w:rsid w:val="00E80A4A"/>
    <w:rsid w:val="00E969F6"/>
    <w:rsid w:val="00F02B1E"/>
    <w:rsid w:val="00F34EAD"/>
    <w:rsid w:val="00F902CE"/>
    <w:rsid w:val="00FA31E8"/>
    <w:rsid w:val="00FA6AE3"/>
    <w:rsid w:val="00FC5DDB"/>
    <w:rsid w:val="2032DC3D"/>
    <w:rsid w:val="274DA523"/>
    <w:rsid w:val="48D30157"/>
    <w:rsid w:val="5FA91FDE"/>
    <w:rsid w:val="642A3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F6ED3"/>
  <w15:docId w15:val="{14D76E6E-39ED-46E6-B6AA-85F3EA947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375C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75CDF"/>
  </w:style>
  <w:style w:type="paragraph" w:styleId="Footer">
    <w:name w:val="footer"/>
    <w:basedOn w:val="Normal"/>
    <w:link w:val="FooterChar"/>
    <w:uiPriority w:val="99"/>
    <w:semiHidden/>
    <w:unhideWhenUsed/>
    <w:rsid w:val="00375C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75C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566b0b-71de-458e-9f2e-9e8b3d616881">
      <Terms xmlns="http://schemas.microsoft.com/office/infopath/2007/PartnerControls"/>
    </lcf76f155ced4ddcb4097134ff3c332f>
    <MediaLengthInSeconds xmlns="57566b0b-71de-458e-9f2e-9e8b3d61688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5D1156AF89E94CB4E0E819A4FFFAAD" ma:contentTypeVersion="10" ma:contentTypeDescription="Create a new document." ma:contentTypeScope="" ma:versionID="61872c4fbe53fcdd153f909cd790dd28">
  <xsd:schema xmlns:xsd="http://www.w3.org/2001/XMLSchema" xmlns:xs="http://www.w3.org/2001/XMLSchema" xmlns:p="http://schemas.microsoft.com/office/2006/metadata/properties" xmlns:ns2="57566b0b-71de-458e-9f2e-9e8b3d616881" targetNamespace="http://schemas.microsoft.com/office/2006/metadata/properties" ma:root="true" ma:fieldsID="11e0f8d1eec925045bf0dcf8a49d40ae" ns2:_="">
    <xsd:import namespace="57566b0b-71de-458e-9f2e-9e8b3d6168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566b0b-71de-458e-9f2e-9e8b3d6168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e324c80-68f0-4eca-84bf-9f08e60561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E6EB86-99D8-4D4E-B76F-D31E864DF0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EE54F5-F7A6-499E-9AB1-132E4BE42978}">
  <ds:schemaRefs>
    <ds:schemaRef ds:uri="http://schemas.microsoft.com/office/2006/metadata/properties"/>
    <ds:schemaRef ds:uri="http://schemas.microsoft.com/office/infopath/2007/PartnerControls"/>
    <ds:schemaRef ds:uri="57566b0b-71de-458e-9f2e-9e8b3d616881"/>
  </ds:schemaRefs>
</ds:datastoreItem>
</file>

<file path=customXml/itemProps3.xml><?xml version="1.0" encoding="utf-8"?>
<ds:datastoreItem xmlns:ds="http://schemas.openxmlformats.org/officeDocument/2006/customXml" ds:itemID="{A1AF5394-CD7C-4FF0-AEB4-24E5CC3D0B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566b0b-71de-458e-9f2e-9e8b3d6168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72c92bb-bb1e-4496-9f98-544dd509aafc}" enabled="1" method="Standard" siteId="{76a9a4c0-e34b-4ea8-b0b7-96fc4396f9e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2072</Words>
  <Characters>11815</Characters>
  <Application>Microsoft Office Word</Application>
  <DocSecurity>0</DocSecurity>
  <Lines>98</Lines>
  <Paragraphs>27</Paragraphs>
  <ScaleCrop>false</ScaleCrop>
  <Company/>
  <LinksUpToDate>false</LinksUpToDate>
  <CharactersWithSpaces>13860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 Addendum — Track 1 (Demand Planning Workbench)</dc:title>
  <dc:subject/>
  <dc:creator>MTO Programme</dc:creator>
  <cp:keywords/>
  <dc:description>High-level Phase 1 scope for effort estimation. Extends the Track 1 Phase 0 FSD.</dc:description>
  <cp:lastModifiedBy>Ekansh Khanna</cp:lastModifiedBy>
  <cp:revision>12</cp:revision>
  <dcterms:created xsi:type="dcterms:W3CDTF">2026-09-15T09:47:00Z</dcterms:created>
  <dcterms:modified xsi:type="dcterms:W3CDTF">2026-09-17T11:46:00Z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0x010100915D1156AF89E94CB4E0E819A4FFFAAD</vt:lpwstr>
  </property>
  <property fmtid="{D5CDD505-2E9C-101B-9397-08002B2CF9AE}" pid="3" name="MediaServiceImageTags">
    <vt:lpwstr/>
  </property>
  <property fmtid="{D5CDD505-2E9C-101B-9397-08002B2CF9AE}" pid="4" name="Order">
    <vt:r8>86900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