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mallX"/>
        <w:widowControl/>
        <w:rPr>
          <w:b/>
        </w:rPr>
      </w:pPr>
      <w:r>
        <w:rPr>
          <w:b/>
        </w:rPr>
        <w:t>VECV S&amp;OP TRANSFORMATION</w:t>
      </w:r>
    </w:p>
    <w:p>
      <w:pPr>
        <w:pStyle w:val="TitleX"/>
        <w:widowControl/>
        <w:rPr/>
      </w:pPr>
      <w:r>
        <w:rPr/>
        <w:t>MDM &amp; FERT Governance</w:t>
      </w:r>
    </w:p>
    <w:p>
      <w:pPr>
        <w:pStyle w:val="SubtitleX"/>
        <w:widowControl/>
        <w:rPr/>
      </w:pPr>
      <w:r>
        <w:rPr/>
        <w:t>Functional Solution Design Document</w:t>
      </w:r>
    </w:p>
    <w:p>
      <w:pPr>
        <w:pStyle w:val="Normal"/>
        <w:widowControl/>
        <w:rPr>
          <w:b/>
          <w:color w:val="C75B12"/>
          <w:sz w:val="26"/>
        </w:rPr>
      </w:pPr>
      <w:r>
        <w:rPr>
          <w:b/>
          <w:color w:val="C75B12"/>
          <w:sz w:val="26"/>
        </w:rPr>
        <w:t>Enhanced End-to-End Business, Functional and Control Design</w:t>
      </w:r>
    </w:p>
    <w:p>
      <w:pPr>
        <w:pStyle w:val="SmallX"/>
        <w:widowControl/>
        <w:rPr/>
      </w:pPr>
      <w:r>
        <w:rPr/>
        <w:t>Golden FERT Master · Planning Readiness · Product Hierarchy · Lifecycle &amp; Lineage · ECN Governance · Data Quality · Integration · Control Tower</w:t>
      </w:r>
    </w:p>
    <w:p>
      <w:pPr>
        <w:pStyle w:val="Normal"/>
        <w:widowControl/>
        <w:rPr/>
      </w:pPr>
      <w:r>
        <w:rPr/>
        <w:br/>
      </w:r>
    </w:p>
    <w:tbl>
      <w:tblPr>
        <w:tblW w:w="10656" w:type="dxa"/>
        <w:jc w:val="center"/>
        <w:tblInd w:w="0" w:type="dxa"/>
        <w:tblLayout w:type="fixed"/>
        <w:tblCellMar>
          <w:top w:w="90" w:type="dxa"/>
          <w:start w:w="100" w:type="dxa"/>
          <w:bottom w:w="90" w:type="dxa"/>
          <w:end w:w="100" w:type="dxa"/>
        </w:tblCellMar>
      </w:tblPr>
      <w:tblGrid>
        <w:gridCol w:w="10656"/>
      </w:tblGrid>
      <w:tr>
        <w:trPr>
          <w:tblHeader w:val="true"/>
        </w:trPr>
        <w:tc>
          <w:tcPr>
            <w:tcW w:w="10656" w:type="dxa"/>
            <w:tcBorders>
              <w:top w:val="single" w:sz="4" w:space="0" w:color="000000"/>
              <w:start w:val="single" w:sz="4" w:space="0" w:color="000000"/>
              <w:bottom w:val="single" w:sz="4" w:space="0" w:color="000000"/>
              <w:end w:val="single" w:sz="4" w:space="0" w:color="000000"/>
            </w:tcBorders>
            <w:shd w:fill="DCEAF7" w:val="clear"/>
          </w:tcPr>
          <w:p>
            <w:pPr>
              <w:pStyle w:val="Normal"/>
              <w:widowControl/>
              <w:spacing w:lineRule="auto" w:line="240" w:before="0" w:after="80"/>
              <w:jc w:val="start"/>
              <w:rPr>
                <w:rFonts w:eastAsia="ＭＳ 明朝"/>
                <w:kern w:val="0"/>
                <w:szCs w:val="22"/>
                <w:lang w:val="en-US" w:eastAsia="en-US" w:bidi="ar-SA"/>
              </w:rPr>
            </w:pPr>
            <w:r>
              <w:rPr>
                <w:rFonts w:eastAsia="ＭＳ 明朝"/>
                <w:kern w:val="0"/>
                <w:szCs w:val="22"/>
                <w:lang w:val="en-US" w:eastAsia="en-US" w:bidi="ar-SA"/>
              </w:rPr>
              <w:t>Document Purpose</w:t>
              <w:br/>
              <w:t>Define the target functional solution, governance operating model, workflows, data standards, validations, roles, controls and integration requirements for managing FERT master data as a trusted enterprise planning object across VECV S&amp;OP.</w:t>
            </w:r>
          </w:p>
        </w:tc>
      </w:tr>
    </w:tbl>
    <w:p>
      <w:pPr>
        <w:pStyle w:val="Normal"/>
        <w:widowControl/>
        <w:spacing w:before="0" w:after="20"/>
        <w:rPr/>
      </w:pPr>
      <w:r>
        <w:rPr/>
      </w:r>
    </w:p>
    <w:tbl>
      <w:tblPr>
        <w:tblW w:w="10080" w:type="dxa"/>
        <w:jc w:val="center"/>
        <w:tblInd w:w="0" w:type="dxa"/>
        <w:tblLayout w:type="fixed"/>
        <w:tblCellMar>
          <w:top w:w="60" w:type="dxa"/>
          <w:start w:w="70" w:type="dxa"/>
          <w:bottom w:w="60" w:type="dxa"/>
          <w:end w:w="70" w:type="dxa"/>
        </w:tblCellMar>
      </w:tblPr>
      <w:tblGrid>
        <w:gridCol w:w="2879"/>
        <w:gridCol w:w="7201"/>
      </w:tblGrid>
      <w:tr>
        <w:trPr>
          <w:tblHeader w:val="true"/>
        </w:trPr>
        <w:tc>
          <w:tcPr>
            <w:tcW w:w="2879" w:type="dxa"/>
            <w:tcBorders>
              <w:top w:val="single" w:sz="4" w:space="0" w:color="000000"/>
              <w:start w:val="single" w:sz="4" w:space="0" w:color="000000"/>
              <w:bottom w:val="single" w:sz="4" w:space="0" w:color="000000"/>
              <w:end w:val="single" w:sz="4" w:space="0" w:color="000000"/>
            </w:tcBorders>
            <w:shd w:fill="0C1E2D" w:val="clear"/>
            <w:vAlign w:val="center"/>
          </w:tcPr>
          <w:p>
            <w:pPr>
              <w:pStyle w:val="Normal"/>
              <w:widowControl/>
              <w:spacing w:lineRule="auto" w:line="240" w:before="0" w:after="80"/>
              <w:jc w:val="start"/>
              <w:rPr>
                <w:rFonts w:eastAsia="ＭＳ 明朝"/>
                <w:b/>
                <w:color w:val="FFFFFF"/>
                <w:kern w:val="0"/>
                <w:szCs w:val="22"/>
                <w:lang w:val="en-US" w:eastAsia="en-US" w:bidi="ar-SA"/>
              </w:rPr>
            </w:pPr>
            <w:r>
              <w:rPr>
                <w:rFonts w:eastAsia="ＭＳ 明朝"/>
                <w:b/>
                <w:color w:val="FFFFFF"/>
                <w:kern w:val="0"/>
                <w:szCs w:val="22"/>
                <w:lang w:val="en-US" w:eastAsia="en-US" w:bidi="ar-SA"/>
              </w:rPr>
              <w:t>Document</w:t>
            </w:r>
          </w:p>
        </w:tc>
        <w:tc>
          <w:tcPr>
            <w:tcW w:w="7201" w:type="dxa"/>
            <w:tcBorders>
              <w:top w:val="single" w:sz="4" w:space="0" w:color="000000"/>
              <w:start w:val="single" w:sz="4" w:space="0" w:color="000000"/>
              <w:bottom w:val="single" w:sz="4" w:space="0" w:color="000000"/>
              <w:end w:val="single" w:sz="4" w:space="0" w:color="000000"/>
            </w:tcBorders>
            <w:shd w:fill="0C1E2D" w:val="clear"/>
            <w:vAlign w:val="center"/>
          </w:tcPr>
          <w:p>
            <w:pPr>
              <w:pStyle w:val="Normal"/>
              <w:widowControl/>
              <w:spacing w:lineRule="auto" w:line="240" w:before="0" w:after="80"/>
              <w:jc w:val="start"/>
              <w:rPr>
                <w:rFonts w:eastAsia="ＭＳ 明朝"/>
                <w:b/>
                <w:color w:val="FFFFFF"/>
                <w:kern w:val="0"/>
                <w:szCs w:val="22"/>
                <w:lang w:val="en-US" w:eastAsia="en-US" w:bidi="ar-SA"/>
              </w:rPr>
            </w:pPr>
            <w:r>
              <w:rPr>
                <w:rFonts w:eastAsia="ＭＳ 明朝"/>
                <w:b/>
                <w:color w:val="FFFFFF"/>
                <w:kern w:val="0"/>
                <w:szCs w:val="22"/>
                <w:lang w:val="en-US" w:eastAsia="en-US" w:bidi="ar-SA"/>
              </w:rPr>
              <w:t>Value</w:t>
            </w:r>
          </w:p>
        </w:tc>
      </w:tr>
      <w:tr>
        <w:trPr/>
        <w:tc>
          <w:tcPr>
            <w:tcW w:w="2879"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30"/>
              <w:jc w:val="start"/>
              <w:rPr>
                <w:rFonts w:eastAsia="ＭＳ 明朝"/>
                <w:kern w:val="0"/>
                <w:szCs w:val="22"/>
                <w:lang w:val="en-US" w:eastAsia="en-US" w:bidi="ar-SA"/>
              </w:rPr>
            </w:pPr>
            <w:r>
              <w:rPr>
                <w:rFonts w:eastAsia="ＭＳ 明朝"/>
                <w:kern w:val="0"/>
                <w:szCs w:val="22"/>
                <w:lang w:val="en-US" w:eastAsia="en-US" w:bidi="ar-SA"/>
              </w:rPr>
              <w:t>Programme</w:t>
            </w:r>
          </w:p>
        </w:tc>
        <w:tc>
          <w:tcPr>
            <w:tcW w:w="7201"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30"/>
              <w:jc w:val="start"/>
              <w:rPr>
                <w:rFonts w:eastAsia="ＭＳ 明朝"/>
                <w:kern w:val="0"/>
                <w:szCs w:val="22"/>
                <w:lang w:val="en-US" w:eastAsia="en-US" w:bidi="ar-SA"/>
              </w:rPr>
            </w:pPr>
            <w:r>
              <w:rPr>
                <w:rFonts w:eastAsia="ＭＳ 明朝"/>
                <w:kern w:val="0"/>
                <w:szCs w:val="22"/>
                <w:lang w:val="en-US" w:eastAsia="en-US" w:bidi="ar-SA"/>
              </w:rPr>
              <w:t>VECV S&amp;OP Transformation</w:t>
            </w:r>
          </w:p>
        </w:tc>
      </w:tr>
      <w:tr>
        <w:trPr/>
        <w:tc>
          <w:tcPr>
            <w:tcW w:w="2879" w:type="dxa"/>
            <w:tcBorders>
              <w:top w:val="single" w:sz="4" w:space="0" w:color="000000"/>
              <w:start w:val="single" w:sz="4" w:space="0" w:color="000000"/>
              <w:bottom w:val="single" w:sz="4" w:space="0" w:color="000000"/>
              <w:end w:val="single" w:sz="4" w:space="0" w:color="000000"/>
            </w:tcBorders>
            <w:shd w:fill="EEF5FB" w:val="clear"/>
          </w:tcPr>
          <w:p>
            <w:pPr>
              <w:pStyle w:val="Normal"/>
              <w:keepLines/>
              <w:widowControl/>
              <w:spacing w:lineRule="auto" w:line="240" w:before="0" w:after="30"/>
              <w:jc w:val="start"/>
              <w:rPr>
                <w:rFonts w:eastAsia="ＭＳ 明朝"/>
                <w:kern w:val="0"/>
                <w:szCs w:val="22"/>
                <w:lang w:val="en-US" w:eastAsia="en-US" w:bidi="ar-SA"/>
              </w:rPr>
            </w:pPr>
            <w:r>
              <w:rPr>
                <w:rFonts w:eastAsia="ＭＳ 明朝"/>
                <w:kern w:val="0"/>
                <w:szCs w:val="22"/>
                <w:lang w:val="en-US" w:eastAsia="en-US" w:bidi="ar-SA"/>
              </w:rPr>
              <w:t>Workstream</w:t>
            </w:r>
          </w:p>
        </w:tc>
        <w:tc>
          <w:tcPr>
            <w:tcW w:w="7201" w:type="dxa"/>
            <w:tcBorders>
              <w:top w:val="single" w:sz="4" w:space="0" w:color="000000"/>
              <w:start w:val="single" w:sz="4" w:space="0" w:color="000000"/>
              <w:bottom w:val="single" w:sz="4" w:space="0" w:color="000000"/>
              <w:end w:val="single" w:sz="4" w:space="0" w:color="000000"/>
            </w:tcBorders>
            <w:shd w:fill="EEF5FB" w:val="clear"/>
          </w:tcPr>
          <w:p>
            <w:pPr>
              <w:pStyle w:val="Normal"/>
              <w:keepLines/>
              <w:widowControl/>
              <w:spacing w:lineRule="auto" w:line="240" w:before="0" w:after="30"/>
              <w:jc w:val="start"/>
              <w:rPr>
                <w:rFonts w:eastAsia="ＭＳ 明朝"/>
                <w:kern w:val="0"/>
                <w:szCs w:val="22"/>
                <w:lang w:val="en-US" w:eastAsia="en-US" w:bidi="ar-SA"/>
              </w:rPr>
            </w:pPr>
            <w:r>
              <w:rPr>
                <w:rFonts w:eastAsia="ＭＳ 明朝"/>
                <w:kern w:val="0"/>
                <w:szCs w:val="22"/>
                <w:lang w:val="en-US" w:eastAsia="en-US" w:bidi="ar-SA"/>
              </w:rPr>
              <w:t>MDM &amp; FERT Governance</w:t>
            </w:r>
          </w:p>
        </w:tc>
      </w:tr>
      <w:tr>
        <w:trPr/>
        <w:tc>
          <w:tcPr>
            <w:tcW w:w="2879"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30"/>
              <w:jc w:val="start"/>
              <w:rPr>
                <w:rFonts w:eastAsia="ＭＳ 明朝"/>
                <w:kern w:val="0"/>
                <w:szCs w:val="22"/>
                <w:lang w:val="en-US" w:eastAsia="en-US" w:bidi="ar-SA"/>
              </w:rPr>
            </w:pPr>
            <w:r>
              <w:rPr>
                <w:rFonts w:eastAsia="ＭＳ 明朝"/>
                <w:kern w:val="0"/>
                <w:szCs w:val="22"/>
                <w:lang w:val="en-US" w:eastAsia="en-US" w:bidi="ar-SA"/>
              </w:rPr>
              <w:t>Document Type</w:t>
            </w:r>
          </w:p>
        </w:tc>
        <w:tc>
          <w:tcPr>
            <w:tcW w:w="7201"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30"/>
              <w:jc w:val="start"/>
              <w:rPr>
                <w:rFonts w:eastAsia="ＭＳ 明朝"/>
                <w:kern w:val="0"/>
                <w:szCs w:val="22"/>
                <w:lang w:val="en-US" w:eastAsia="en-US" w:bidi="ar-SA"/>
              </w:rPr>
            </w:pPr>
            <w:r>
              <w:rPr>
                <w:rFonts w:eastAsia="ＭＳ 明朝"/>
                <w:kern w:val="0"/>
                <w:szCs w:val="22"/>
                <w:lang w:val="en-US" w:eastAsia="en-US" w:bidi="ar-SA"/>
              </w:rPr>
              <w:t>Functional Solution Design Document</w:t>
            </w:r>
          </w:p>
        </w:tc>
      </w:tr>
      <w:tr>
        <w:trPr/>
        <w:tc>
          <w:tcPr>
            <w:tcW w:w="2879" w:type="dxa"/>
            <w:tcBorders>
              <w:top w:val="single" w:sz="4" w:space="0" w:color="000000"/>
              <w:start w:val="single" w:sz="4" w:space="0" w:color="000000"/>
              <w:bottom w:val="single" w:sz="4" w:space="0" w:color="000000"/>
              <w:end w:val="single" w:sz="4" w:space="0" w:color="000000"/>
            </w:tcBorders>
            <w:shd w:fill="EEF5FB" w:val="clear"/>
          </w:tcPr>
          <w:p>
            <w:pPr>
              <w:pStyle w:val="Normal"/>
              <w:keepLines/>
              <w:widowControl/>
              <w:spacing w:lineRule="auto" w:line="240" w:before="0" w:after="30"/>
              <w:jc w:val="start"/>
              <w:rPr>
                <w:rFonts w:eastAsia="ＭＳ 明朝"/>
                <w:kern w:val="0"/>
                <w:szCs w:val="22"/>
                <w:lang w:val="en-US" w:eastAsia="en-US" w:bidi="ar-SA"/>
              </w:rPr>
            </w:pPr>
            <w:r>
              <w:rPr>
                <w:rFonts w:eastAsia="ＭＳ 明朝"/>
                <w:kern w:val="0"/>
                <w:szCs w:val="22"/>
                <w:lang w:val="en-US" w:eastAsia="en-US" w:bidi="ar-SA"/>
              </w:rPr>
              <w:t>Version</w:t>
            </w:r>
          </w:p>
        </w:tc>
        <w:tc>
          <w:tcPr>
            <w:tcW w:w="7201" w:type="dxa"/>
            <w:tcBorders>
              <w:top w:val="single" w:sz="4" w:space="0" w:color="000000"/>
              <w:start w:val="single" w:sz="4" w:space="0" w:color="000000"/>
              <w:bottom w:val="single" w:sz="4" w:space="0" w:color="000000"/>
              <w:end w:val="single" w:sz="4" w:space="0" w:color="000000"/>
            </w:tcBorders>
            <w:shd w:fill="EEF5FB" w:val="clear"/>
          </w:tcPr>
          <w:p>
            <w:pPr>
              <w:pStyle w:val="Normal"/>
              <w:widowControl/>
              <w:spacing w:lineRule="auto" w:line="240" w:before="0" w:after="80"/>
              <w:jc w:val="start"/>
              <w:rPr>
                <w:rFonts w:eastAsia="ＭＳ 明朝"/>
                <w:kern w:val="0"/>
                <w:szCs w:val="22"/>
                <w:lang w:val="en-US" w:eastAsia="en-US" w:bidi="ar-SA"/>
              </w:rPr>
            </w:pPr>
            <w:r>
              <w:rPr>
                <w:rFonts w:eastAsia="ＭＳ 明朝"/>
                <w:kern w:val="0"/>
                <w:szCs w:val="22"/>
                <w:lang w:val="en-US" w:eastAsia="en-US" w:bidi="ar-SA"/>
              </w:rPr>
              <w:t>V10.0 - Completed Functional Solution Design</w:t>
            </w:r>
          </w:p>
        </w:tc>
      </w:tr>
      <w:tr>
        <w:trPr/>
        <w:tc>
          <w:tcPr>
            <w:tcW w:w="2879"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30"/>
              <w:jc w:val="start"/>
              <w:rPr>
                <w:rFonts w:eastAsia="ＭＳ 明朝"/>
                <w:kern w:val="0"/>
                <w:szCs w:val="22"/>
                <w:lang w:val="en-US" w:eastAsia="en-US" w:bidi="ar-SA"/>
              </w:rPr>
            </w:pPr>
            <w:r>
              <w:rPr>
                <w:rFonts w:eastAsia="ＭＳ 明朝"/>
                <w:kern w:val="0"/>
                <w:szCs w:val="22"/>
                <w:lang w:val="en-US" w:eastAsia="en-US" w:bidi="ar-SA"/>
              </w:rPr>
              <w:t>Status</w:t>
            </w:r>
          </w:p>
        </w:tc>
        <w:tc>
          <w:tcPr>
            <w:tcW w:w="720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80"/>
              <w:jc w:val="start"/>
              <w:rPr>
                <w:rFonts w:eastAsia="ＭＳ 明朝"/>
                <w:kern w:val="0"/>
                <w:szCs w:val="22"/>
                <w:lang w:val="en-US" w:eastAsia="en-US" w:bidi="ar-SA"/>
              </w:rPr>
            </w:pPr>
            <w:r>
              <w:rPr>
                <w:rFonts w:eastAsia="ＭＳ 明朝"/>
                <w:kern w:val="0"/>
                <w:szCs w:val="22"/>
                <w:lang w:val="en-US" w:eastAsia="en-US" w:bidi="ar-SA"/>
              </w:rPr>
              <w:t>Completed FSD for Business Validation and Sign-off</w:t>
            </w:r>
          </w:p>
        </w:tc>
      </w:tr>
      <w:tr>
        <w:trPr/>
        <w:tc>
          <w:tcPr>
            <w:tcW w:w="2879" w:type="dxa"/>
            <w:tcBorders>
              <w:top w:val="single" w:sz="4" w:space="0" w:color="000000"/>
              <w:start w:val="single" w:sz="4" w:space="0" w:color="000000"/>
              <w:bottom w:val="single" w:sz="4" w:space="0" w:color="000000"/>
              <w:end w:val="single" w:sz="4" w:space="0" w:color="000000"/>
            </w:tcBorders>
            <w:shd w:fill="EEF5FB" w:val="clear"/>
          </w:tcPr>
          <w:p>
            <w:pPr>
              <w:pStyle w:val="Normal"/>
              <w:keepLines/>
              <w:widowControl/>
              <w:spacing w:lineRule="auto" w:line="240" w:before="0" w:after="30"/>
              <w:jc w:val="start"/>
              <w:rPr>
                <w:rFonts w:eastAsia="ＭＳ 明朝"/>
                <w:kern w:val="0"/>
                <w:szCs w:val="22"/>
                <w:lang w:val="en-US" w:eastAsia="en-US" w:bidi="ar-SA"/>
              </w:rPr>
            </w:pPr>
            <w:r>
              <w:rPr>
                <w:rFonts w:eastAsia="ＭＳ 明朝"/>
                <w:kern w:val="0"/>
                <w:szCs w:val="22"/>
                <w:lang w:val="en-US" w:eastAsia="en-US" w:bidi="ar-SA"/>
              </w:rPr>
              <w:t>Prepared For</w:t>
            </w:r>
          </w:p>
        </w:tc>
        <w:tc>
          <w:tcPr>
            <w:tcW w:w="7201" w:type="dxa"/>
            <w:tcBorders>
              <w:top w:val="single" w:sz="4" w:space="0" w:color="000000"/>
              <w:start w:val="single" w:sz="4" w:space="0" w:color="000000"/>
              <w:bottom w:val="single" w:sz="4" w:space="0" w:color="000000"/>
              <w:end w:val="single" w:sz="4" w:space="0" w:color="000000"/>
            </w:tcBorders>
            <w:shd w:fill="EEF5FB" w:val="clear"/>
          </w:tcPr>
          <w:p>
            <w:pPr>
              <w:pStyle w:val="Normal"/>
              <w:keepLines/>
              <w:widowControl/>
              <w:spacing w:lineRule="auto" w:line="240" w:before="0" w:after="30"/>
              <w:jc w:val="start"/>
              <w:rPr>
                <w:rFonts w:eastAsia="ＭＳ 明朝"/>
                <w:kern w:val="0"/>
                <w:szCs w:val="22"/>
                <w:lang w:val="en-US" w:eastAsia="en-US" w:bidi="ar-SA"/>
              </w:rPr>
            </w:pPr>
            <w:r>
              <w:rPr>
                <w:rFonts w:eastAsia="ＭＳ 明朝"/>
                <w:kern w:val="0"/>
                <w:szCs w:val="22"/>
                <w:lang w:val="en-US" w:eastAsia="en-US" w:bidi="ar-SA"/>
              </w:rPr>
              <w:t>VECV Business, Central Planning, Engineering, MDM, Manufacturing, PPC, SAP/IT and UST</w:t>
            </w:r>
          </w:p>
        </w:tc>
      </w:tr>
      <w:tr>
        <w:trPr/>
        <w:tc>
          <w:tcPr>
            <w:tcW w:w="2879"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30"/>
              <w:jc w:val="start"/>
              <w:rPr>
                <w:rFonts w:eastAsia="ＭＳ 明朝"/>
                <w:kern w:val="0"/>
                <w:szCs w:val="22"/>
                <w:lang w:val="en-US" w:eastAsia="en-US" w:bidi="ar-SA"/>
              </w:rPr>
            </w:pPr>
            <w:r>
              <w:rPr>
                <w:rFonts w:eastAsia="ＭＳ 明朝"/>
                <w:kern w:val="0"/>
                <w:szCs w:val="22"/>
                <w:lang w:val="en-US" w:eastAsia="en-US" w:bidi="ar-SA"/>
              </w:rPr>
              <w:t>Date</w:t>
            </w:r>
          </w:p>
        </w:tc>
        <w:tc>
          <w:tcPr>
            <w:tcW w:w="720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80"/>
              <w:jc w:val="start"/>
              <w:rPr>
                <w:rFonts w:eastAsia="ＭＳ 明朝"/>
                <w:kern w:val="0"/>
                <w:szCs w:val="22"/>
                <w:lang w:val="en-US" w:eastAsia="en-US" w:bidi="ar-SA"/>
              </w:rPr>
            </w:pPr>
            <w:r>
              <w:rPr>
                <w:rFonts w:eastAsia="ＭＳ 明朝"/>
                <w:kern w:val="0"/>
                <w:szCs w:val="22"/>
                <w:lang w:val="en-US" w:eastAsia="en-US" w:bidi="ar-SA"/>
              </w:rPr>
              <w:t>19 July 2026</w:t>
            </w:r>
          </w:p>
        </w:tc>
      </w:tr>
      <w:tr>
        <w:trPr/>
        <w:tc>
          <w:tcPr>
            <w:tcW w:w="2879" w:type="dxa"/>
            <w:tcBorders>
              <w:top w:val="single" w:sz="4" w:space="0" w:color="000000"/>
              <w:start w:val="single" w:sz="4" w:space="0" w:color="000000"/>
              <w:bottom w:val="single" w:sz="4" w:space="0" w:color="000000"/>
              <w:end w:val="single" w:sz="4" w:space="0" w:color="000000"/>
            </w:tcBorders>
            <w:shd w:fill="EEF5FB" w:val="clear"/>
          </w:tcPr>
          <w:p>
            <w:pPr>
              <w:pStyle w:val="Normal"/>
              <w:keepLines/>
              <w:widowControl/>
              <w:spacing w:lineRule="auto" w:line="240" w:before="0" w:after="30"/>
              <w:jc w:val="start"/>
              <w:rPr>
                <w:rFonts w:eastAsia="ＭＳ 明朝"/>
                <w:kern w:val="0"/>
                <w:szCs w:val="22"/>
                <w:lang w:val="en-US" w:eastAsia="en-US" w:bidi="ar-SA"/>
              </w:rPr>
            </w:pPr>
            <w:r>
              <w:rPr>
                <w:rFonts w:eastAsia="ＭＳ 明朝"/>
                <w:kern w:val="0"/>
                <w:szCs w:val="22"/>
                <w:lang w:val="en-US" w:eastAsia="en-US" w:bidi="ar-SA"/>
              </w:rPr>
              <w:t>Confidentiality</w:t>
            </w:r>
          </w:p>
        </w:tc>
        <w:tc>
          <w:tcPr>
            <w:tcW w:w="7201" w:type="dxa"/>
            <w:tcBorders>
              <w:top w:val="single" w:sz="4" w:space="0" w:color="000000"/>
              <w:start w:val="single" w:sz="4" w:space="0" w:color="000000"/>
              <w:bottom w:val="single" w:sz="4" w:space="0" w:color="000000"/>
              <w:end w:val="single" w:sz="4" w:space="0" w:color="000000"/>
            </w:tcBorders>
            <w:shd w:fill="EEF5FB" w:val="clear"/>
          </w:tcPr>
          <w:p>
            <w:pPr>
              <w:pStyle w:val="Normal"/>
              <w:keepLines/>
              <w:widowControl/>
              <w:spacing w:lineRule="auto" w:line="240" w:before="0" w:after="30"/>
              <w:jc w:val="start"/>
              <w:rPr>
                <w:rFonts w:eastAsia="ＭＳ 明朝"/>
                <w:kern w:val="0"/>
                <w:szCs w:val="22"/>
                <w:lang w:val="en-US" w:eastAsia="en-US" w:bidi="ar-SA"/>
              </w:rPr>
            </w:pPr>
            <w:r>
              <w:rPr>
                <w:rFonts w:eastAsia="ＭＳ 明朝"/>
                <w:kern w:val="0"/>
                <w:szCs w:val="22"/>
                <w:lang w:val="en-US" w:eastAsia="en-US" w:bidi="ar-SA"/>
              </w:rPr>
              <w:t>Confidential - Project Use Only</w:t>
            </w:r>
          </w:p>
        </w:tc>
      </w:tr>
    </w:tbl>
    <w:p>
      <w:pPr>
        <w:pStyle w:val="Normal"/>
        <w:widowControl/>
        <w:spacing w:before="0" w:after="20"/>
        <w:rPr/>
      </w:pPr>
      <w:r>
        <w:rPr/>
      </w:r>
    </w:p>
    <w:tbl>
      <w:tblPr>
        <w:tblW w:w="10656" w:type="dxa"/>
        <w:jc w:val="center"/>
        <w:tblInd w:w="0" w:type="dxa"/>
        <w:tblLayout w:type="fixed"/>
        <w:tblCellMar>
          <w:top w:w="90" w:type="dxa"/>
          <w:start w:w="100" w:type="dxa"/>
          <w:bottom w:w="90" w:type="dxa"/>
          <w:end w:w="100" w:type="dxa"/>
        </w:tblCellMar>
      </w:tblPr>
      <w:tblGrid>
        <w:gridCol w:w="10656"/>
      </w:tblGrid>
      <w:tr>
        <w:trPr>
          <w:tblHeader w:val="true"/>
        </w:trPr>
        <w:tc>
          <w:tcPr>
            <w:tcW w:w="10656" w:type="dxa"/>
            <w:tcBorders>
              <w:top w:val="single" w:sz="4" w:space="0" w:color="000000"/>
              <w:start w:val="single" w:sz="4" w:space="0" w:color="000000"/>
              <w:bottom w:val="single" w:sz="4" w:space="0" w:color="000000"/>
              <w:end w:val="single" w:sz="4" w:space="0" w:color="000000"/>
            </w:tcBorders>
            <w:shd w:fill="F4E3B2" w:val="clear"/>
          </w:tcPr>
          <w:p>
            <w:pPr>
              <w:pStyle w:val="CalloutX"/>
              <w:widowControl/>
              <w:spacing w:lineRule="auto" w:line="240" w:before="0" w:after="80"/>
              <w:jc w:val="start"/>
              <w:rPr>
                <w:rFonts w:eastAsia="ＭＳ 明朝"/>
                <w:kern w:val="0"/>
                <w:szCs w:val="22"/>
                <w:lang w:val="en-US" w:eastAsia="en-US" w:bidi="ar-SA"/>
              </w:rPr>
            </w:pPr>
            <w:r>
              <w:rPr>
                <w:rFonts w:eastAsia="ＭＳ 明朝"/>
                <w:color w:val="1F5A88"/>
                <w:kern w:val="0"/>
                <w:szCs w:val="22"/>
                <w:lang w:val="en-US" w:eastAsia="en-US" w:bidi="ar-SA"/>
              </w:rPr>
              <w:t>Design Positioning</w:t>
              <w:br/>
            </w:r>
            <w:r>
              <w:rPr>
                <w:rFonts w:eastAsia="ＭＳ 明朝"/>
                <w:b w:val="false"/>
                <w:kern w:val="0"/>
                <w:sz w:val="19"/>
                <w:szCs w:val="22"/>
                <w:lang w:val="en-US" w:eastAsia="en-US" w:bidi="ar-SA"/>
              </w:rPr>
              <w:t>Create once. Approve once. Synchronize everywhere. Audit every change. Certify before planning.</w:t>
            </w:r>
          </w:p>
        </w:tc>
      </w:tr>
    </w:tbl>
    <w:p>
      <w:pPr>
        <w:pStyle w:val="Normal"/>
        <w:widowControl/>
        <w:spacing w:before="0" w:after="20"/>
        <w:rPr/>
      </w:pPr>
      <w:r>
        <w:rPr/>
      </w:r>
    </w:p>
    <w:p>
      <w:pPr>
        <w:pStyle w:val="Normal"/>
        <w:widowControl/>
        <w:rPr/>
      </w:pPr>
      <w:r>
        <w:rPr/>
      </w:r>
    </w:p>
    <w:p>
      <w:pPr>
        <w:pStyle w:val="Heading1"/>
        <w:keepNext w:val="true"/>
        <w:widowControl/>
        <w:rPr/>
      </w:pPr>
      <w:r>
        <w:rPr/>
        <w:t>0. Document Control and Governance</w:t>
      </w:r>
    </w:p>
    <w:tbl>
      <w:tblPr>
        <w:tblW w:w="10800" w:type="dxa"/>
        <w:jc w:val="center"/>
        <w:tblInd w:w="0" w:type="dxa"/>
        <w:tblLayout w:type="fixed"/>
        <w:tblCellMar>
          <w:top w:w="0" w:type="dxa"/>
          <w:start w:w="108" w:type="dxa"/>
          <w:bottom w:w="0" w:type="dxa"/>
          <w:end w:w="108" w:type="dxa"/>
        </w:tblCellMar>
      </w:tblPr>
      <w:tblGrid>
        <w:gridCol w:w="1007"/>
        <w:gridCol w:w="4177"/>
        <w:gridCol w:w="2303"/>
        <w:gridCol w:w="1872"/>
        <w:gridCol w:w="1441"/>
      </w:tblGrid>
      <w:tr>
        <w:trPr/>
        <w:tc>
          <w:tcPr>
            <w:tcW w:w="1007"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80"/>
              <w:jc w:val="start"/>
              <w:rPr>
                <w:rFonts w:eastAsia="ＭＳ 明朝"/>
                <w:kern w:val="0"/>
                <w:szCs w:val="22"/>
                <w:lang w:val="en-US" w:eastAsia="en-US" w:bidi="ar-SA"/>
              </w:rPr>
            </w:pPr>
            <w:r>
              <w:rPr>
                <w:rFonts w:eastAsia="ＭＳ 明朝"/>
                <w:kern w:val="0"/>
                <w:szCs w:val="22"/>
                <w:lang w:val="en-US" w:eastAsia="en-US" w:bidi="ar-SA"/>
              </w:rPr>
              <w:t>v10.0</w:t>
            </w:r>
          </w:p>
        </w:tc>
        <w:tc>
          <w:tcPr>
            <w:tcW w:w="4177"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80"/>
              <w:jc w:val="start"/>
              <w:rPr>
                <w:rFonts w:eastAsia="ＭＳ 明朝"/>
                <w:kern w:val="0"/>
                <w:szCs w:val="22"/>
                <w:lang w:val="en-US" w:eastAsia="en-US" w:bidi="ar-SA"/>
              </w:rPr>
            </w:pPr>
            <w:r>
              <w:rPr>
                <w:rFonts w:eastAsia="ＭＳ 明朝"/>
                <w:kern w:val="0"/>
                <w:szCs w:val="22"/>
                <w:lang w:val="en-US" w:eastAsia="en-US" w:bidi="ar-SA"/>
              </w:rPr>
              <w:t>Completed the functional solution design package with official MOM traceability, five solution themes, personas, UX requirements, workflows, connected user stories, functional data entities, validation and audit controls, open-question ownership and sign-off criteria.</w:t>
            </w:r>
          </w:p>
        </w:tc>
        <w:tc>
          <w:tcPr>
            <w:tcW w:w="2303"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80"/>
              <w:jc w:val="start"/>
              <w:rPr>
                <w:rFonts w:eastAsia="ＭＳ 明朝"/>
                <w:kern w:val="0"/>
                <w:szCs w:val="22"/>
                <w:lang w:val="en-US" w:eastAsia="en-US" w:bidi="ar-SA"/>
              </w:rPr>
            </w:pPr>
            <w:r>
              <w:rPr>
                <w:rFonts w:eastAsia="ＭＳ 明朝"/>
                <w:kern w:val="0"/>
                <w:szCs w:val="22"/>
                <w:lang w:val="en-US" w:eastAsia="en-US" w:bidi="ar-SA"/>
              </w:rPr>
              <w:t>Aditya Chauhan - T5 Owner</w:t>
            </w:r>
          </w:p>
        </w:tc>
        <w:tc>
          <w:tcPr>
            <w:tcW w:w="1872"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80"/>
              <w:jc w:val="start"/>
              <w:rPr>
                <w:rFonts w:eastAsia="ＭＳ 明朝"/>
                <w:kern w:val="0"/>
                <w:szCs w:val="22"/>
                <w:lang w:val="en-US" w:eastAsia="en-US" w:bidi="ar-SA"/>
              </w:rPr>
            </w:pPr>
            <w:r>
              <w:rPr>
                <w:rFonts w:eastAsia="ＭＳ 明朝"/>
                <w:kern w:val="0"/>
                <w:szCs w:val="22"/>
                <w:lang w:val="en-US" w:eastAsia="en-US" w:bidi="ar-SA"/>
              </w:rPr>
              <w:t>Hemanth Holla, Rajkumar Jain, S&amp;OP Leads and VECV Functions</w:t>
            </w:r>
          </w:p>
        </w:tc>
        <w:tc>
          <w:tcPr>
            <w:tcW w:w="144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80"/>
              <w:jc w:val="start"/>
              <w:rPr>
                <w:rFonts w:eastAsia="ＭＳ 明朝"/>
                <w:kern w:val="0"/>
                <w:szCs w:val="22"/>
                <w:lang w:val="en-US" w:eastAsia="en-US" w:bidi="ar-SA"/>
              </w:rPr>
            </w:pPr>
            <w:r>
              <w:rPr>
                <w:rFonts w:eastAsia="ＭＳ 明朝"/>
                <w:kern w:val="0"/>
                <w:szCs w:val="22"/>
                <w:lang w:val="en-US" w:eastAsia="en-US" w:bidi="ar-SA"/>
              </w:rPr>
              <w:t>Completed - Pending Validation and Sign-off</w:t>
            </w:r>
          </w:p>
        </w:tc>
      </w:tr>
      <w:tr>
        <w:trPr/>
        <w:tc>
          <w:tcPr>
            <w:tcW w:w="1007"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80"/>
              <w:jc w:val="start"/>
              <w:rPr>
                <w:rFonts w:eastAsia="ＭＳ 明朝"/>
                <w:kern w:val="0"/>
                <w:szCs w:val="22"/>
                <w:lang w:val="en-US" w:eastAsia="en-US" w:bidi="ar-SA"/>
              </w:rPr>
            </w:pPr>
            <w:r>
              <w:rPr>
                <w:rFonts w:eastAsia="ＭＳ 明朝"/>
                <w:kern w:val="0"/>
                <w:szCs w:val="22"/>
                <w:lang w:val="en-US" w:eastAsia="en-US" w:bidi="ar-SA"/>
              </w:rPr>
              <w:t>v9.0</w:t>
            </w:r>
          </w:p>
        </w:tc>
        <w:tc>
          <w:tcPr>
            <w:tcW w:w="4177"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80"/>
              <w:jc w:val="start"/>
              <w:rPr>
                <w:rFonts w:eastAsia="ＭＳ 明朝"/>
                <w:kern w:val="0"/>
                <w:szCs w:val="22"/>
                <w:lang w:val="en-US" w:eastAsia="en-US" w:bidi="ar-SA"/>
              </w:rPr>
            </w:pPr>
            <w:r>
              <w:rPr>
                <w:rFonts w:eastAsia="ＭＳ 明朝"/>
                <w:kern w:val="0"/>
                <w:szCs w:val="22"/>
                <w:lang w:val="en-US" w:eastAsia="en-US" w:bidi="ar-SA"/>
              </w:rPr>
              <w:t>Refined using Rajkumar Jain's official MOM dated 15 July 2026. Retains the 17-issue catalogue and focuses detailed design on five MOM-aligned solution themes with connected personas, UX, workflows, user stories, data entities, controls and open questions.</w:t>
            </w:r>
          </w:p>
        </w:tc>
        <w:tc>
          <w:tcPr>
            <w:tcW w:w="2303"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80"/>
              <w:jc w:val="start"/>
              <w:rPr>
                <w:rFonts w:eastAsia="ＭＳ 明朝"/>
                <w:kern w:val="0"/>
                <w:szCs w:val="22"/>
                <w:lang w:val="en-US" w:eastAsia="en-US" w:bidi="ar-SA"/>
              </w:rPr>
            </w:pPr>
            <w:r>
              <w:rPr>
                <w:rFonts w:eastAsia="ＭＳ 明朝"/>
                <w:kern w:val="0"/>
                <w:szCs w:val="22"/>
                <w:lang w:val="en-US" w:eastAsia="en-US" w:bidi="ar-SA"/>
              </w:rPr>
              <w:t>Aditya Chauhan - T5 Owner</w:t>
            </w:r>
          </w:p>
        </w:tc>
        <w:tc>
          <w:tcPr>
            <w:tcW w:w="1872"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80"/>
              <w:jc w:val="start"/>
              <w:rPr>
                <w:rFonts w:eastAsia="ＭＳ 明朝"/>
                <w:kern w:val="0"/>
                <w:szCs w:val="22"/>
                <w:lang w:val="en-US" w:eastAsia="en-US" w:bidi="ar-SA"/>
              </w:rPr>
            </w:pPr>
            <w:r>
              <w:rPr>
                <w:rFonts w:eastAsia="ＭＳ 明朝"/>
                <w:kern w:val="0"/>
                <w:szCs w:val="22"/>
                <w:lang w:val="en-US" w:eastAsia="en-US" w:bidi="ar-SA"/>
              </w:rPr>
              <w:t>Hemanth Holla, Rajkumar Jain, S&amp;OP Leads and VECV Functions</w:t>
            </w:r>
          </w:p>
        </w:tc>
        <w:tc>
          <w:tcPr>
            <w:tcW w:w="144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80"/>
              <w:jc w:val="start"/>
              <w:rPr>
                <w:rFonts w:eastAsia="ＭＳ 明朝"/>
                <w:kern w:val="0"/>
                <w:szCs w:val="22"/>
                <w:lang w:val="en-US" w:eastAsia="en-US" w:bidi="ar-SA"/>
              </w:rPr>
            </w:pPr>
            <w:r>
              <w:rPr>
                <w:rFonts w:eastAsia="ＭＳ 明朝"/>
                <w:kern w:val="0"/>
                <w:szCs w:val="22"/>
                <w:lang w:val="en-US" w:eastAsia="en-US" w:bidi="ar-SA"/>
              </w:rPr>
              <w:t>For Review</w:t>
            </w:r>
          </w:p>
        </w:tc>
      </w:tr>
      <w:tr>
        <w:trPr/>
        <w:tc>
          <w:tcPr>
            <w:tcW w:w="1007"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80"/>
              <w:jc w:val="start"/>
              <w:rPr>
                <w:rFonts w:eastAsia="ＭＳ 明朝"/>
                <w:kern w:val="0"/>
                <w:szCs w:val="22"/>
                <w:lang w:val="en-US" w:eastAsia="en-US" w:bidi="ar-SA"/>
              </w:rPr>
            </w:pPr>
            <w:r>
              <w:rPr>
                <w:rFonts w:eastAsia="ＭＳ 明朝"/>
                <w:kern w:val="0"/>
                <w:szCs w:val="22"/>
                <w:lang w:val="en-US" w:eastAsia="en-US" w:bidi="ar-SA"/>
              </w:rPr>
              <w:t>v8.1</w:t>
            </w:r>
          </w:p>
        </w:tc>
        <w:tc>
          <w:tcPr>
            <w:tcW w:w="4177"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80"/>
              <w:jc w:val="start"/>
              <w:rPr>
                <w:rFonts w:eastAsia="ＭＳ 明朝"/>
                <w:kern w:val="0"/>
                <w:szCs w:val="22"/>
                <w:lang w:val="en-US" w:eastAsia="en-US" w:bidi="ar-SA"/>
              </w:rPr>
            </w:pPr>
            <w:r>
              <w:rPr>
                <w:rFonts w:eastAsia="ＭＳ 明朝"/>
                <w:kern w:val="0"/>
                <w:szCs w:val="22"/>
                <w:lang w:val="en-US" w:eastAsia="en-US" w:bidi="ar-SA"/>
              </w:rPr>
              <w:t>Incorporated validated inputs from the 15 July 2026 MDM and FERT Governance review meeting, including planning-lineage clarifications, RRS governance, non-SOP controls, differentiated blocking and pending business-rule inputs.</w:t>
            </w:r>
          </w:p>
        </w:tc>
        <w:tc>
          <w:tcPr>
            <w:tcW w:w="2303"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80"/>
              <w:jc w:val="start"/>
              <w:rPr>
                <w:rFonts w:eastAsia="ＭＳ 明朝"/>
                <w:kern w:val="0"/>
                <w:szCs w:val="22"/>
                <w:lang w:val="en-US" w:eastAsia="en-US" w:bidi="ar-SA"/>
              </w:rPr>
            </w:pPr>
            <w:r>
              <w:rPr>
                <w:rFonts w:eastAsia="ＭＳ 明朝"/>
                <w:kern w:val="0"/>
                <w:szCs w:val="22"/>
                <w:lang w:val="en-US" w:eastAsia="en-US" w:bidi="ar-SA"/>
              </w:rPr>
              <w:t>MDM / FERT Governance Workstream</w:t>
            </w:r>
          </w:p>
        </w:tc>
        <w:tc>
          <w:tcPr>
            <w:tcW w:w="1872"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80"/>
              <w:jc w:val="start"/>
              <w:rPr>
                <w:rFonts w:eastAsia="ＭＳ 明朝"/>
                <w:kern w:val="0"/>
                <w:szCs w:val="22"/>
                <w:lang w:val="en-US" w:eastAsia="en-US" w:bidi="ar-SA"/>
              </w:rPr>
            </w:pPr>
            <w:r>
              <w:rPr>
                <w:rFonts w:eastAsia="ＭＳ 明朝"/>
                <w:kern w:val="0"/>
                <w:szCs w:val="22"/>
                <w:lang w:val="en-US" w:eastAsia="en-US" w:bidi="ar-SA"/>
              </w:rPr>
              <w:t>Hemant / VECV Business, PSP, Marketing, Planning, MDM and IT</w:t>
            </w:r>
          </w:p>
        </w:tc>
        <w:tc>
          <w:tcPr>
            <w:tcW w:w="1441"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80"/>
              <w:jc w:val="start"/>
              <w:rPr>
                <w:rFonts w:eastAsia="ＭＳ 明朝"/>
                <w:kern w:val="0"/>
                <w:szCs w:val="22"/>
                <w:lang w:val="en-US" w:eastAsia="en-US" w:bidi="ar-SA"/>
              </w:rPr>
            </w:pPr>
            <w:r>
              <w:rPr>
                <w:rFonts w:eastAsia="ＭＳ 明朝"/>
                <w:kern w:val="0"/>
                <w:szCs w:val="22"/>
                <w:lang w:val="en-US" w:eastAsia="en-US" w:bidi="ar-SA"/>
              </w:rPr>
              <w:t>Working Draft</w:t>
            </w:r>
          </w:p>
        </w:tc>
      </w:tr>
      <w:tr>
        <w:trPr/>
        <w:tc>
          <w:tcPr>
            <w:tcW w:w="1007" w:type="dxa"/>
            <w:tcBorders>
              <w:top w:val="single" w:sz="4" w:space="0" w:color="000000"/>
              <w:start w:val="single" w:sz="4" w:space="0" w:color="000000"/>
              <w:bottom w:val="single" w:sz="4" w:space="0" w:color="000000"/>
              <w:end w:val="single" w:sz="4" w:space="0" w:color="000000"/>
            </w:tcBorders>
            <w:shd w:fill="0C1E2D" w:val="clear"/>
            <w:tcMar>
              <w:top w:w="60" w:type="dxa"/>
              <w:start w:w="70" w:type="dxa"/>
              <w:bottom w:w="60" w:type="dxa"/>
              <w:end w:w="70" w:type="dxa"/>
            </w:tcMar>
            <w:vAlign w:val="center"/>
          </w:tcPr>
          <w:p>
            <w:pPr>
              <w:pStyle w:val="Normal"/>
              <w:widowControl/>
              <w:spacing w:lineRule="auto" w:line="240" w:before="0" w:after="80"/>
              <w:jc w:val="start"/>
              <w:rPr>
                <w:rFonts w:eastAsia="ＭＳ 明朝"/>
                <w:b/>
                <w:color w:val="FFFFFF"/>
                <w:kern w:val="0"/>
                <w:sz w:val="16"/>
                <w:szCs w:val="22"/>
                <w:lang w:val="en-US" w:eastAsia="en-US" w:bidi="ar-SA"/>
              </w:rPr>
            </w:pPr>
            <w:r>
              <w:rPr>
                <w:rFonts w:eastAsia="ＭＳ 明朝"/>
                <w:b/>
                <w:color w:val="FFFFFF"/>
                <w:kern w:val="0"/>
                <w:sz w:val="16"/>
                <w:szCs w:val="22"/>
                <w:lang w:val="en-US" w:eastAsia="en-US" w:bidi="ar-SA"/>
              </w:rPr>
              <w:t>Version</w:t>
            </w:r>
          </w:p>
        </w:tc>
        <w:tc>
          <w:tcPr>
            <w:tcW w:w="4177" w:type="dxa"/>
            <w:tcBorders>
              <w:top w:val="single" w:sz="4" w:space="0" w:color="000000"/>
              <w:start w:val="single" w:sz="4" w:space="0" w:color="000000"/>
              <w:bottom w:val="single" w:sz="4" w:space="0" w:color="000000"/>
              <w:end w:val="single" w:sz="4" w:space="0" w:color="000000"/>
            </w:tcBorders>
            <w:shd w:fill="0C1E2D" w:val="clear"/>
            <w:tcMar>
              <w:top w:w="60" w:type="dxa"/>
              <w:start w:w="70" w:type="dxa"/>
              <w:bottom w:w="60" w:type="dxa"/>
              <w:end w:w="70" w:type="dxa"/>
            </w:tcMar>
            <w:vAlign w:val="center"/>
          </w:tcPr>
          <w:p>
            <w:pPr>
              <w:pStyle w:val="Normal"/>
              <w:widowControl/>
              <w:spacing w:lineRule="auto" w:line="240" w:before="0" w:after="80"/>
              <w:jc w:val="start"/>
              <w:rPr>
                <w:rFonts w:eastAsia="ＭＳ 明朝"/>
                <w:b/>
                <w:color w:val="FFFFFF"/>
                <w:kern w:val="0"/>
                <w:sz w:val="16"/>
                <w:szCs w:val="22"/>
                <w:lang w:val="en-US" w:eastAsia="en-US" w:bidi="ar-SA"/>
              </w:rPr>
            </w:pPr>
            <w:r>
              <w:rPr>
                <w:rFonts w:eastAsia="ＭＳ 明朝"/>
                <w:b/>
                <w:color w:val="FFFFFF"/>
                <w:kern w:val="0"/>
                <w:sz w:val="16"/>
                <w:szCs w:val="22"/>
                <w:lang w:val="en-US" w:eastAsia="en-US" w:bidi="ar-SA"/>
              </w:rPr>
              <w:t>Description</w:t>
            </w:r>
          </w:p>
        </w:tc>
        <w:tc>
          <w:tcPr>
            <w:tcW w:w="2303" w:type="dxa"/>
            <w:tcBorders>
              <w:top w:val="single" w:sz="4" w:space="0" w:color="000000"/>
              <w:start w:val="single" w:sz="4" w:space="0" w:color="000000"/>
              <w:bottom w:val="single" w:sz="4" w:space="0" w:color="000000"/>
              <w:end w:val="single" w:sz="4" w:space="0" w:color="000000"/>
            </w:tcBorders>
            <w:shd w:fill="0C1E2D" w:val="clear"/>
            <w:tcMar>
              <w:top w:w="60" w:type="dxa"/>
              <w:start w:w="70" w:type="dxa"/>
              <w:bottom w:w="60" w:type="dxa"/>
              <w:end w:w="70" w:type="dxa"/>
            </w:tcMar>
            <w:vAlign w:val="center"/>
          </w:tcPr>
          <w:p>
            <w:pPr>
              <w:pStyle w:val="Normal"/>
              <w:widowControl/>
              <w:spacing w:lineRule="auto" w:line="240" w:before="0" w:after="80"/>
              <w:jc w:val="start"/>
              <w:rPr>
                <w:rFonts w:eastAsia="ＭＳ 明朝"/>
                <w:b/>
                <w:color w:val="FFFFFF"/>
                <w:kern w:val="0"/>
                <w:sz w:val="16"/>
                <w:szCs w:val="22"/>
                <w:lang w:val="en-US" w:eastAsia="en-US" w:bidi="ar-SA"/>
              </w:rPr>
            </w:pPr>
            <w:r>
              <w:rPr>
                <w:rFonts w:eastAsia="ＭＳ 明朝"/>
                <w:b/>
                <w:color w:val="FFFFFF"/>
                <w:kern w:val="0"/>
                <w:sz w:val="16"/>
                <w:szCs w:val="22"/>
                <w:lang w:val="en-US" w:eastAsia="en-US" w:bidi="ar-SA"/>
              </w:rPr>
              <w:t>Author / Role</w:t>
            </w:r>
          </w:p>
        </w:tc>
        <w:tc>
          <w:tcPr>
            <w:tcW w:w="1872" w:type="dxa"/>
            <w:tcBorders>
              <w:top w:val="single" w:sz="4" w:space="0" w:color="000000"/>
              <w:start w:val="single" w:sz="4" w:space="0" w:color="000000"/>
              <w:bottom w:val="single" w:sz="4" w:space="0" w:color="000000"/>
              <w:end w:val="single" w:sz="4" w:space="0" w:color="000000"/>
            </w:tcBorders>
            <w:shd w:fill="0C1E2D" w:val="clear"/>
            <w:tcMar>
              <w:top w:w="60" w:type="dxa"/>
              <w:start w:w="70" w:type="dxa"/>
              <w:bottom w:w="60" w:type="dxa"/>
              <w:end w:w="70" w:type="dxa"/>
            </w:tcMar>
            <w:vAlign w:val="center"/>
          </w:tcPr>
          <w:p>
            <w:pPr>
              <w:pStyle w:val="Normal"/>
              <w:widowControl/>
              <w:spacing w:lineRule="auto" w:line="240" w:before="0" w:after="80"/>
              <w:jc w:val="start"/>
              <w:rPr>
                <w:rFonts w:eastAsia="ＭＳ 明朝"/>
                <w:b/>
                <w:color w:val="FFFFFF"/>
                <w:kern w:val="0"/>
                <w:sz w:val="16"/>
                <w:szCs w:val="22"/>
                <w:lang w:val="en-US" w:eastAsia="en-US" w:bidi="ar-SA"/>
              </w:rPr>
            </w:pPr>
            <w:r>
              <w:rPr>
                <w:rFonts w:eastAsia="ＭＳ 明朝"/>
                <w:b/>
                <w:color w:val="FFFFFF"/>
                <w:kern w:val="0"/>
                <w:sz w:val="16"/>
                <w:szCs w:val="22"/>
                <w:lang w:val="en-US" w:eastAsia="en-US" w:bidi="ar-SA"/>
              </w:rPr>
              <w:t>Reviewer</w:t>
            </w:r>
          </w:p>
        </w:tc>
        <w:tc>
          <w:tcPr>
            <w:tcW w:w="1441" w:type="dxa"/>
            <w:tcBorders>
              <w:top w:val="single" w:sz="4" w:space="0" w:color="000000"/>
              <w:start w:val="single" w:sz="4" w:space="0" w:color="000000"/>
              <w:bottom w:val="single" w:sz="4" w:space="0" w:color="000000"/>
              <w:end w:val="single" w:sz="4" w:space="0" w:color="000000"/>
            </w:tcBorders>
            <w:shd w:fill="0C1E2D" w:val="clear"/>
            <w:tcMar>
              <w:top w:w="60" w:type="dxa"/>
              <w:start w:w="70" w:type="dxa"/>
              <w:bottom w:w="60" w:type="dxa"/>
              <w:end w:w="70" w:type="dxa"/>
            </w:tcMar>
            <w:vAlign w:val="center"/>
          </w:tcPr>
          <w:p>
            <w:pPr>
              <w:pStyle w:val="Normal"/>
              <w:widowControl/>
              <w:spacing w:lineRule="auto" w:line="240" w:before="0" w:after="80"/>
              <w:jc w:val="start"/>
              <w:rPr>
                <w:rFonts w:eastAsia="ＭＳ 明朝"/>
                <w:b/>
                <w:color w:val="FFFFFF"/>
                <w:kern w:val="0"/>
                <w:sz w:val="16"/>
                <w:szCs w:val="22"/>
                <w:lang w:val="en-US" w:eastAsia="en-US" w:bidi="ar-SA"/>
              </w:rPr>
            </w:pPr>
            <w:r>
              <w:rPr>
                <w:rFonts w:eastAsia="ＭＳ 明朝"/>
                <w:b/>
                <w:color w:val="FFFFFF"/>
                <w:kern w:val="0"/>
                <w:sz w:val="16"/>
                <w:szCs w:val="22"/>
                <w:lang w:val="en-US" w:eastAsia="en-US" w:bidi="ar-SA"/>
              </w:rPr>
              <w:t>Sign-off Status</w:t>
            </w:r>
          </w:p>
        </w:tc>
      </w:tr>
      <w:tr>
        <w:trPr/>
        <w:tc>
          <w:tcPr>
            <w:tcW w:w="1007" w:type="dxa"/>
            <w:tcBorders>
              <w:top w:val="single" w:sz="4" w:space="0" w:color="000000"/>
              <w:start w:val="single" w:sz="4" w:space="0" w:color="000000"/>
              <w:bottom w:val="single" w:sz="4" w:space="0" w:color="000000"/>
              <w:end w:val="single" w:sz="4" w:space="0" w:color="000000"/>
            </w:tcBorders>
            <w:tcMar>
              <w:top w:w="60" w:type="dxa"/>
              <w:start w:w="70" w:type="dxa"/>
              <w:bottom w:w="60" w:type="dxa"/>
              <w:end w:w="70" w:type="dxa"/>
            </w:tcMar>
          </w:tcPr>
          <w:p>
            <w:pPr>
              <w:pStyle w:val="Normal"/>
              <w:keepLines/>
              <w:widowControl/>
              <w:spacing w:lineRule="auto" w:line="240" w:before="0" w:after="30"/>
              <w:jc w:val="start"/>
              <w:rPr>
                <w:rFonts w:eastAsia="ＭＳ 明朝"/>
                <w:kern w:val="0"/>
                <w:sz w:val="16"/>
                <w:szCs w:val="22"/>
                <w:lang w:val="en-US" w:eastAsia="en-US" w:bidi="ar-SA"/>
              </w:rPr>
            </w:pPr>
            <w:r>
              <w:rPr>
                <w:rFonts w:eastAsia="ＭＳ 明朝"/>
                <w:kern w:val="0"/>
                <w:sz w:val="16"/>
                <w:szCs w:val="22"/>
                <w:lang w:val="en-US" w:eastAsia="en-US" w:bidi="ar-SA"/>
              </w:rPr>
              <w:t>v4.0</w:t>
            </w:r>
          </w:p>
        </w:tc>
        <w:tc>
          <w:tcPr>
            <w:tcW w:w="4177" w:type="dxa"/>
            <w:tcBorders>
              <w:top w:val="single" w:sz="4" w:space="0" w:color="000000"/>
              <w:start w:val="single" w:sz="4" w:space="0" w:color="000000"/>
              <w:bottom w:val="single" w:sz="4" w:space="0" w:color="000000"/>
              <w:end w:val="single" w:sz="4" w:space="0" w:color="000000"/>
            </w:tcBorders>
            <w:tcMar>
              <w:top w:w="60" w:type="dxa"/>
              <w:start w:w="70" w:type="dxa"/>
              <w:bottom w:w="60" w:type="dxa"/>
              <w:end w:w="70" w:type="dxa"/>
            </w:tcMar>
          </w:tcPr>
          <w:p>
            <w:pPr>
              <w:pStyle w:val="Normal"/>
              <w:keepLines/>
              <w:widowControl/>
              <w:spacing w:lineRule="auto" w:line="240" w:before="0" w:after="30"/>
              <w:jc w:val="start"/>
              <w:rPr>
                <w:rFonts w:eastAsia="ＭＳ 明朝"/>
                <w:kern w:val="0"/>
                <w:sz w:val="16"/>
                <w:szCs w:val="22"/>
                <w:lang w:val="en-US" w:eastAsia="en-US" w:bidi="ar-SA"/>
              </w:rPr>
            </w:pPr>
            <w:r>
              <w:rPr>
                <w:rFonts w:eastAsia="ＭＳ 明朝"/>
                <w:kern w:val="0"/>
                <w:sz w:val="16"/>
                <w:szCs w:val="22"/>
                <w:lang w:val="en-US" w:eastAsia="en-US" w:bidi="ar-SA"/>
              </w:rPr>
              <w:t>Highly detailed FSD consolidating current-state FERT creation, manual mapping, two MDM solution books, DPW and Rush Order dependencies.</w:t>
            </w:r>
          </w:p>
        </w:tc>
        <w:tc>
          <w:tcPr>
            <w:tcW w:w="2303" w:type="dxa"/>
            <w:tcBorders>
              <w:top w:val="single" w:sz="4" w:space="0" w:color="000000"/>
              <w:start w:val="single" w:sz="4" w:space="0" w:color="000000"/>
              <w:bottom w:val="single" w:sz="4" w:space="0" w:color="000000"/>
              <w:end w:val="single" w:sz="4" w:space="0" w:color="000000"/>
            </w:tcBorders>
            <w:tcMar>
              <w:top w:w="60" w:type="dxa"/>
              <w:start w:w="70" w:type="dxa"/>
              <w:bottom w:w="60" w:type="dxa"/>
              <w:end w:w="70" w:type="dxa"/>
            </w:tcMar>
          </w:tcPr>
          <w:p>
            <w:pPr>
              <w:pStyle w:val="Normal"/>
              <w:keepLines/>
              <w:widowControl/>
              <w:spacing w:lineRule="auto" w:line="240" w:before="0" w:after="30"/>
              <w:jc w:val="start"/>
              <w:rPr>
                <w:rFonts w:eastAsia="ＭＳ 明朝"/>
                <w:kern w:val="0"/>
                <w:sz w:val="16"/>
                <w:szCs w:val="22"/>
                <w:lang w:val="en-US" w:eastAsia="en-US" w:bidi="ar-SA"/>
              </w:rPr>
            </w:pPr>
            <w:r>
              <w:rPr>
                <w:rFonts w:eastAsia="ＭＳ 明朝"/>
                <w:kern w:val="0"/>
                <w:sz w:val="16"/>
                <w:szCs w:val="22"/>
                <w:lang w:val="en-US" w:eastAsia="en-US" w:bidi="ar-SA"/>
              </w:rPr>
              <w:t>MDM / FERT Governance Workstream</w:t>
            </w:r>
          </w:p>
        </w:tc>
        <w:tc>
          <w:tcPr>
            <w:tcW w:w="1872" w:type="dxa"/>
            <w:tcBorders>
              <w:top w:val="single" w:sz="4" w:space="0" w:color="000000"/>
              <w:start w:val="single" w:sz="4" w:space="0" w:color="000000"/>
              <w:bottom w:val="single" w:sz="4" w:space="0" w:color="000000"/>
              <w:end w:val="single" w:sz="4" w:space="0" w:color="000000"/>
            </w:tcBorders>
            <w:tcMar>
              <w:top w:w="60" w:type="dxa"/>
              <w:start w:w="70" w:type="dxa"/>
              <w:bottom w:w="60" w:type="dxa"/>
              <w:end w:w="70" w:type="dxa"/>
            </w:tcMar>
          </w:tcPr>
          <w:p>
            <w:pPr>
              <w:pStyle w:val="Normal"/>
              <w:keepLines/>
              <w:widowControl/>
              <w:spacing w:lineRule="auto" w:line="240" w:before="0" w:after="30"/>
              <w:jc w:val="start"/>
              <w:rPr>
                <w:rFonts w:eastAsia="ＭＳ 明朝"/>
                <w:kern w:val="0"/>
                <w:sz w:val="16"/>
                <w:szCs w:val="22"/>
                <w:lang w:val="en-US" w:eastAsia="en-US" w:bidi="ar-SA"/>
              </w:rPr>
            </w:pPr>
            <w:r>
              <w:rPr>
                <w:rFonts w:eastAsia="ＭＳ 明朝"/>
                <w:kern w:val="0"/>
                <w:sz w:val="16"/>
                <w:szCs w:val="22"/>
                <w:lang w:val="en-US" w:eastAsia="en-US" w:bidi="ar-SA"/>
              </w:rPr>
              <w:t>Business, Engineering, MDM, Central Planning, SAP/IT, UST</w:t>
            </w:r>
          </w:p>
        </w:tc>
        <w:tc>
          <w:tcPr>
            <w:tcW w:w="1441" w:type="dxa"/>
            <w:tcBorders>
              <w:top w:val="single" w:sz="4" w:space="0" w:color="000000"/>
              <w:start w:val="single" w:sz="4" w:space="0" w:color="000000"/>
              <w:bottom w:val="single" w:sz="4" w:space="0" w:color="000000"/>
              <w:end w:val="single" w:sz="4" w:space="0" w:color="000000"/>
            </w:tcBorders>
            <w:tcMar>
              <w:top w:w="60" w:type="dxa"/>
              <w:start w:w="70" w:type="dxa"/>
              <w:bottom w:w="60" w:type="dxa"/>
              <w:end w:w="70" w:type="dxa"/>
            </w:tcMar>
          </w:tcPr>
          <w:p>
            <w:pPr>
              <w:pStyle w:val="Normal"/>
              <w:keepLines/>
              <w:widowControl/>
              <w:spacing w:lineRule="auto" w:line="240" w:before="0" w:after="30"/>
              <w:jc w:val="start"/>
              <w:rPr>
                <w:rFonts w:eastAsia="ＭＳ 明朝"/>
                <w:kern w:val="0"/>
                <w:sz w:val="16"/>
                <w:szCs w:val="22"/>
                <w:lang w:val="en-US" w:eastAsia="en-US" w:bidi="ar-SA"/>
              </w:rPr>
            </w:pPr>
            <w:r>
              <w:rPr>
                <w:rFonts w:eastAsia="ＭＳ 明朝"/>
                <w:kern w:val="0"/>
                <w:sz w:val="16"/>
                <w:szCs w:val="22"/>
                <w:lang w:val="en-US" w:eastAsia="en-US" w:bidi="ar-SA"/>
              </w:rPr>
              <w:t>Pending</w:t>
            </w:r>
          </w:p>
        </w:tc>
      </w:tr>
      <w:tr>
        <w:trPr/>
        <w:tc>
          <w:tcPr>
            <w:tcW w:w="1007" w:type="dxa"/>
            <w:tcBorders>
              <w:top w:val="single" w:sz="4" w:space="0" w:color="000000"/>
              <w:start w:val="single" w:sz="4" w:space="0" w:color="000000"/>
              <w:bottom w:val="single" w:sz="4" w:space="0" w:color="000000"/>
              <w:end w:val="single" w:sz="4" w:space="0" w:color="000000"/>
            </w:tcBorders>
            <w:shd w:fill="EEF5FB" w:val="clear"/>
            <w:tcMar>
              <w:top w:w="60" w:type="dxa"/>
              <w:start w:w="70" w:type="dxa"/>
              <w:bottom w:w="60" w:type="dxa"/>
              <w:end w:w="70" w:type="dxa"/>
            </w:tcMar>
          </w:tcPr>
          <w:p>
            <w:pPr>
              <w:pStyle w:val="Normal"/>
              <w:keepLines/>
              <w:widowControl/>
              <w:spacing w:lineRule="auto" w:line="240" w:before="0" w:after="30"/>
              <w:jc w:val="start"/>
              <w:rPr>
                <w:rFonts w:eastAsia="ＭＳ 明朝"/>
                <w:kern w:val="0"/>
                <w:sz w:val="16"/>
                <w:szCs w:val="22"/>
                <w:lang w:val="en-US" w:eastAsia="en-US" w:bidi="ar-SA"/>
              </w:rPr>
            </w:pPr>
            <w:r>
              <w:rPr>
                <w:rFonts w:eastAsia="ＭＳ 明朝"/>
                <w:kern w:val="0"/>
                <w:sz w:val="16"/>
                <w:szCs w:val="22"/>
                <w:lang w:val="en-US" w:eastAsia="en-US" w:bidi="ar-SA"/>
              </w:rPr>
              <w:t>v3.0</w:t>
            </w:r>
          </w:p>
        </w:tc>
        <w:tc>
          <w:tcPr>
            <w:tcW w:w="4177" w:type="dxa"/>
            <w:tcBorders>
              <w:top w:val="single" w:sz="4" w:space="0" w:color="000000"/>
              <w:start w:val="single" w:sz="4" w:space="0" w:color="000000"/>
              <w:bottom w:val="single" w:sz="4" w:space="0" w:color="000000"/>
              <w:end w:val="single" w:sz="4" w:space="0" w:color="000000"/>
            </w:tcBorders>
            <w:shd w:fill="EEF5FB" w:val="clear"/>
            <w:tcMar>
              <w:top w:w="60" w:type="dxa"/>
              <w:start w:w="70" w:type="dxa"/>
              <w:bottom w:w="60" w:type="dxa"/>
              <w:end w:w="70" w:type="dxa"/>
            </w:tcMar>
          </w:tcPr>
          <w:p>
            <w:pPr>
              <w:pStyle w:val="Normal"/>
              <w:keepLines/>
              <w:widowControl/>
              <w:spacing w:lineRule="auto" w:line="240" w:before="0" w:after="30"/>
              <w:jc w:val="start"/>
              <w:rPr>
                <w:rFonts w:eastAsia="ＭＳ 明朝"/>
                <w:kern w:val="0"/>
                <w:sz w:val="16"/>
                <w:szCs w:val="22"/>
                <w:lang w:val="en-US" w:eastAsia="en-US" w:bidi="ar-SA"/>
              </w:rPr>
            </w:pPr>
            <w:r>
              <w:rPr>
                <w:rFonts w:eastAsia="ＭＳ 明朝"/>
                <w:kern w:val="0"/>
                <w:sz w:val="16"/>
                <w:szCs w:val="22"/>
                <w:lang w:val="en-US" w:eastAsia="en-US" w:bidi="ar-SA"/>
              </w:rPr>
              <w:t>Expanded detailed draft.</w:t>
            </w:r>
          </w:p>
        </w:tc>
        <w:tc>
          <w:tcPr>
            <w:tcW w:w="2303" w:type="dxa"/>
            <w:tcBorders>
              <w:top w:val="single" w:sz="4" w:space="0" w:color="000000"/>
              <w:start w:val="single" w:sz="4" w:space="0" w:color="000000"/>
              <w:bottom w:val="single" w:sz="4" w:space="0" w:color="000000"/>
              <w:end w:val="single" w:sz="4" w:space="0" w:color="000000"/>
            </w:tcBorders>
            <w:shd w:fill="EEF5FB" w:val="clear"/>
            <w:tcMar>
              <w:top w:w="60" w:type="dxa"/>
              <w:start w:w="70" w:type="dxa"/>
              <w:bottom w:w="60" w:type="dxa"/>
              <w:end w:w="70" w:type="dxa"/>
            </w:tcMar>
          </w:tcPr>
          <w:p>
            <w:pPr>
              <w:pStyle w:val="Normal"/>
              <w:keepLines/>
              <w:widowControl/>
              <w:spacing w:lineRule="auto" w:line="240" w:before="0" w:after="30"/>
              <w:jc w:val="start"/>
              <w:rPr>
                <w:rFonts w:eastAsia="ＭＳ 明朝"/>
                <w:kern w:val="0"/>
                <w:sz w:val="16"/>
                <w:szCs w:val="22"/>
                <w:lang w:val="en-US" w:eastAsia="en-US" w:bidi="ar-SA"/>
              </w:rPr>
            </w:pPr>
            <w:r>
              <w:rPr>
                <w:rFonts w:eastAsia="ＭＳ 明朝"/>
                <w:kern w:val="0"/>
                <w:sz w:val="16"/>
                <w:szCs w:val="22"/>
                <w:lang w:val="en-US" w:eastAsia="en-US" w:bidi="ar-SA"/>
              </w:rPr>
              <w:t>Project Team</w:t>
            </w:r>
          </w:p>
        </w:tc>
        <w:tc>
          <w:tcPr>
            <w:tcW w:w="1872" w:type="dxa"/>
            <w:tcBorders>
              <w:top w:val="single" w:sz="4" w:space="0" w:color="000000"/>
              <w:start w:val="single" w:sz="4" w:space="0" w:color="000000"/>
              <w:bottom w:val="single" w:sz="4" w:space="0" w:color="000000"/>
              <w:end w:val="single" w:sz="4" w:space="0" w:color="000000"/>
            </w:tcBorders>
            <w:shd w:fill="EEF5FB" w:val="clear"/>
            <w:tcMar>
              <w:top w:w="60" w:type="dxa"/>
              <w:start w:w="70" w:type="dxa"/>
              <w:bottom w:w="60" w:type="dxa"/>
              <w:end w:w="70" w:type="dxa"/>
            </w:tcMar>
          </w:tcPr>
          <w:p>
            <w:pPr>
              <w:pStyle w:val="Normal"/>
              <w:keepLines/>
              <w:widowControl/>
              <w:spacing w:lineRule="auto" w:line="240" w:before="0" w:after="30"/>
              <w:jc w:val="start"/>
              <w:rPr>
                <w:rFonts w:eastAsia="ＭＳ 明朝"/>
                <w:kern w:val="0"/>
                <w:sz w:val="16"/>
                <w:szCs w:val="22"/>
                <w:lang w:val="en-US" w:eastAsia="en-US" w:bidi="ar-SA"/>
              </w:rPr>
            </w:pPr>
            <w:r>
              <w:rPr>
                <w:rFonts w:eastAsia="ＭＳ 明朝"/>
                <w:kern w:val="0"/>
                <w:sz w:val="16"/>
                <w:szCs w:val="22"/>
                <w:lang w:val="en-US" w:eastAsia="en-US" w:bidi="ar-SA"/>
              </w:rPr>
              <w:t>Internal Review</w:t>
            </w:r>
          </w:p>
        </w:tc>
        <w:tc>
          <w:tcPr>
            <w:tcW w:w="1441" w:type="dxa"/>
            <w:tcBorders>
              <w:top w:val="single" w:sz="4" w:space="0" w:color="000000"/>
              <w:start w:val="single" w:sz="4" w:space="0" w:color="000000"/>
              <w:bottom w:val="single" w:sz="4" w:space="0" w:color="000000"/>
              <w:end w:val="single" w:sz="4" w:space="0" w:color="000000"/>
            </w:tcBorders>
            <w:shd w:fill="EEF5FB" w:val="clear"/>
            <w:tcMar>
              <w:top w:w="60" w:type="dxa"/>
              <w:start w:w="70" w:type="dxa"/>
              <w:bottom w:w="60" w:type="dxa"/>
              <w:end w:w="70" w:type="dxa"/>
            </w:tcMar>
          </w:tcPr>
          <w:p>
            <w:pPr>
              <w:pStyle w:val="Normal"/>
              <w:keepLines/>
              <w:widowControl/>
              <w:spacing w:lineRule="auto" w:line="240" w:before="0" w:after="30"/>
              <w:jc w:val="start"/>
              <w:rPr>
                <w:rFonts w:eastAsia="ＭＳ 明朝"/>
                <w:kern w:val="0"/>
                <w:sz w:val="16"/>
                <w:szCs w:val="22"/>
                <w:lang w:val="en-US" w:eastAsia="en-US" w:bidi="ar-SA"/>
              </w:rPr>
            </w:pPr>
            <w:r>
              <w:rPr>
                <w:rFonts w:eastAsia="ＭＳ 明朝"/>
                <w:kern w:val="0"/>
                <w:sz w:val="16"/>
                <w:szCs w:val="22"/>
                <w:lang w:val="en-US" w:eastAsia="en-US" w:bidi="ar-SA"/>
              </w:rPr>
              <w:t>Superseded</w:t>
            </w:r>
          </w:p>
        </w:tc>
      </w:tr>
    </w:tbl>
    <w:p>
      <w:pPr>
        <w:pStyle w:val="Normal"/>
        <w:widowControl/>
        <w:spacing w:before="0" w:after="20"/>
        <w:rPr/>
      </w:pPr>
      <w:r>
        <w:rPr/>
      </w:r>
    </w:p>
    <w:tbl>
      <w:tblPr>
        <w:tblW w:w="10800" w:type="dxa"/>
        <w:jc w:val="center"/>
        <w:tblInd w:w="0" w:type="dxa"/>
        <w:tblLayout w:type="fixed"/>
        <w:tblCellMar>
          <w:top w:w="60" w:type="dxa"/>
          <w:start w:w="70" w:type="dxa"/>
          <w:bottom w:w="60" w:type="dxa"/>
          <w:end w:w="70" w:type="dxa"/>
        </w:tblCellMar>
      </w:tblPr>
      <w:tblGrid>
        <w:gridCol w:w="2016"/>
        <w:gridCol w:w="2879"/>
        <w:gridCol w:w="5905"/>
      </w:tblGrid>
      <w:tr>
        <w:trPr>
          <w:tblHeader w:val="true"/>
        </w:trPr>
        <w:tc>
          <w:tcPr>
            <w:tcW w:w="2016" w:type="dxa"/>
            <w:tcBorders>
              <w:top w:val="single" w:sz="4" w:space="0" w:color="000000"/>
              <w:start w:val="single" w:sz="4" w:space="0" w:color="000000"/>
              <w:bottom w:val="single" w:sz="4" w:space="0" w:color="000000"/>
              <w:end w:val="single" w:sz="4" w:space="0" w:color="000000"/>
            </w:tcBorders>
            <w:shd w:fill="0C1E2D" w:val="clear"/>
            <w:vAlign w:val="center"/>
          </w:tcPr>
          <w:p>
            <w:pPr>
              <w:pStyle w:val="Normal"/>
              <w:widowControl/>
              <w:spacing w:lineRule="auto" w:line="240" w:before="0" w:after="80"/>
              <w:jc w:val="start"/>
              <w:rPr>
                <w:rFonts w:eastAsia="ＭＳ 明朝"/>
                <w:b/>
                <w:color w:val="FFFFFF"/>
                <w:kern w:val="0"/>
                <w:sz w:val="16"/>
                <w:szCs w:val="22"/>
                <w:lang w:val="en-US" w:eastAsia="en-US" w:bidi="ar-SA"/>
              </w:rPr>
            </w:pPr>
            <w:r>
              <w:rPr>
                <w:rFonts w:eastAsia="ＭＳ 明朝"/>
                <w:b/>
                <w:color w:val="FFFFFF"/>
                <w:kern w:val="0"/>
                <w:sz w:val="16"/>
                <w:szCs w:val="22"/>
                <w:lang w:val="en-US" w:eastAsia="en-US" w:bidi="ar-SA"/>
              </w:rPr>
              <w:t>Approval Role</w:t>
            </w:r>
          </w:p>
        </w:tc>
        <w:tc>
          <w:tcPr>
            <w:tcW w:w="2879" w:type="dxa"/>
            <w:tcBorders>
              <w:top w:val="single" w:sz="4" w:space="0" w:color="000000"/>
              <w:start w:val="single" w:sz="4" w:space="0" w:color="000000"/>
              <w:bottom w:val="single" w:sz="4" w:space="0" w:color="000000"/>
              <w:end w:val="single" w:sz="4" w:space="0" w:color="000000"/>
            </w:tcBorders>
            <w:shd w:fill="0C1E2D" w:val="clear"/>
            <w:vAlign w:val="center"/>
          </w:tcPr>
          <w:p>
            <w:pPr>
              <w:pStyle w:val="Normal"/>
              <w:widowControl/>
              <w:spacing w:lineRule="auto" w:line="240" w:before="0" w:after="80"/>
              <w:jc w:val="start"/>
              <w:rPr>
                <w:rFonts w:eastAsia="ＭＳ 明朝"/>
                <w:b/>
                <w:color w:val="FFFFFF"/>
                <w:kern w:val="0"/>
                <w:sz w:val="16"/>
                <w:szCs w:val="22"/>
                <w:lang w:val="en-US" w:eastAsia="en-US" w:bidi="ar-SA"/>
              </w:rPr>
            </w:pPr>
            <w:r>
              <w:rPr>
                <w:rFonts w:eastAsia="ＭＳ 明朝"/>
                <w:b/>
                <w:color w:val="FFFFFF"/>
                <w:kern w:val="0"/>
                <w:sz w:val="16"/>
                <w:szCs w:val="22"/>
                <w:lang w:val="en-US" w:eastAsia="en-US" w:bidi="ar-SA"/>
              </w:rPr>
              <w:t>Expected Approver</w:t>
            </w:r>
          </w:p>
        </w:tc>
        <w:tc>
          <w:tcPr>
            <w:tcW w:w="5905" w:type="dxa"/>
            <w:tcBorders>
              <w:top w:val="single" w:sz="4" w:space="0" w:color="000000"/>
              <w:start w:val="single" w:sz="4" w:space="0" w:color="000000"/>
              <w:bottom w:val="single" w:sz="4" w:space="0" w:color="000000"/>
              <w:end w:val="single" w:sz="4" w:space="0" w:color="000000"/>
            </w:tcBorders>
            <w:shd w:fill="0C1E2D" w:val="clear"/>
            <w:vAlign w:val="center"/>
          </w:tcPr>
          <w:p>
            <w:pPr>
              <w:pStyle w:val="Normal"/>
              <w:widowControl/>
              <w:spacing w:lineRule="auto" w:line="240" w:before="0" w:after="80"/>
              <w:jc w:val="start"/>
              <w:rPr>
                <w:rFonts w:eastAsia="ＭＳ 明朝"/>
                <w:b/>
                <w:color w:val="FFFFFF"/>
                <w:kern w:val="0"/>
                <w:sz w:val="16"/>
                <w:szCs w:val="22"/>
                <w:lang w:val="en-US" w:eastAsia="en-US" w:bidi="ar-SA"/>
              </w:rPr>
            </w:pPr>
            <w:r>
              <w:rPr>
                <w:rFonts w:eastAsia="ＭＳ 明朝"/>
                <w:b/>
                <w:color w:val="FFFFFF"/>
                <w:kern w:val="0"/>
                <w:sz w:val="16"/>
                <w:szCs w:val="22"/>
                <w:lang w:val="en-US" w:eastAsia="en-US" w:bidi="ar-SA"/>
              </w:rPr>
              <w:t>Approval Focus</w:t>
            </w:r>
          </w:p>
        </w:tc>
      </w:tr>
      <w:tr>
        <w:trPr/>
        <w:tc>
          <w:tcPr>
            <w:tcW w:w="2016"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30"/>
              <w:jc w:val="start"/>
              <w:rPr>
                <w:rFonts w:eastAsia="ＭＳ 明朝"/>
                <w:kern w:val="0"/>
                <w:sz w:val="16"/>
                <w:szCs w:val="22"/>
                <w:lang w:val="en-US" w:eastAsia="en-US" w:bidi="ar-SA"/>
              </w:rPr>
            </w:pPr>
            <w:r>
              <w:rPr>
                <w:rFonts w:eastAsia="ＭＳ 明朝"/>
                <w:kern w:val="0"/>
                <w:sz w:val="16"/>
                <w:szCs w:val="22"/>
                <w:lang w:val="en-US" w:eastAsia="en-US" w:bidi="ar-SA"/>
              </w:rPr>
              <w:t>Business Process Owner</w:t>
            </w:r>
          </w:p>
        </w:tc>
        <w:tc>
          <w:tcPr>
            <w:tcW w:w="2879"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30"/>
              <w:jc w:val="start"/>
              <w:rPr>
                <w:rFonts w:eastAsia="ＭＳ 明朝"/>
                <w:kern w:val="0"/>
                <w:sz w:val="16"/>
                <w:szCs w:val="22"/>
                <w:lang w:val="en-US" w:eastAsia="en-US" w:bidi="ar-SA"/>
              </w:rPr>
            </w:pPr>
            <w:r>
              <w:rPr>
                <w:rFonts w:eastAsia="ＭＳ 明朝"/>
                <w:kern w:val="0"/>
                <w:sz w:val="16"/>
                <w:szCs w:val="22"/>
                <w:lang w:val="en-US" w:eastAsia="en-US" w:bidi="ar-SA"/>
              </w:rPr>
              <w:t>VECV S&amp;OP / Product Planning Lead</w:t>
            </w:r>
          </w:p>
        </w:tc>
        <w:tc>
          <w:tcPr>
            <w:tcW w:w="5905"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30"/>
              <w:jc w:val="start"/>
              <w:rPr>
                <w:rFonts w:eastAsia="ＭＳ 明朝"/>
                <w:kern w:val="0"/>
                <w:sz w:val="16"/>
                <w:szCs w:val="22"/>
                <w:lang w:val="en-US" w:eastAsia="en-US" w:bidi="ar-SA"/>
              </w:rPr>
            </w:pPr>
            <w:r>
              <w:rPr>
                <w:rFonts w:eastAsia="ＭＳ 明朝"/>
                <w:kern w:val="0"/>
                <w:sz w:val="16"/>
                <w:szCs w:val="22"/>
                <w:lang w:val="en-US" w:eastAsia="en-US" w:bidi="ar-SA"/>
              </w:rPr>
              <w:t>Business process, scope, policies and lifecycle behavior</w:t>
            </w:r>
          </w:p>
        </w:tc>
      </w:tr>
      <w:tr>
        <w:trPr/>
        <w:tc>
          <w:tcPr>
            <w:tcW w:w="2016" w:type="dxa"/>
            <w:tcBorders>
              <w:top w:val="single" w:sz="4" w:space="0" w:color="000000"/>
              <w:start w:val="single" w:sz="4" w:space="0" w:color="000000"/>
              <w:bottom w:val="single" w:sz="4" w:space="0" w:color="000000"/>
              <w:end w:val="single" w:sz="4" w:space="0" w:color="000000"/>
            </w:tcBorders>
            <w:shd w:fill="EEF5FB" w:val="clear"/>
          </w:tcPr>
          <w:p>
            <w:pPr>
              <w:pStyle w:val="Normal"/>
              <w:keepLines/>
              <w:widowControl/>
              <w:spacing w:lineRule="auto" w:line="240" w:before="0" w:after="30"/>
              <w:jc w:val="start"/>
              <w:rPr>
                <w:rFonts w:eastAsia="ＭＳ 明朝"/>
                <w:kern w:val="0"/>
                <w:sz w:val="16"/>
                <w:szCs w:val="22"/>
                <w:lang w:val="en-US" w:eastAsia="en-US" w:bidi="ar-SA"/>
              </w:rPr>
            </w:pPr>
            <w:r>
              <w:rPr>
                <w:rFonts w:eastAsia="ＭＳ 明朝"/>
                <w:kern w:val="0"/>
                <w:sz w:val="16"/>
                <w:szCs w:val="22"/>
                <w:lang w:val="en-US" w:eastAsia="en-US" w:bidi="ar-SA"/>
              </w:rPr>
              <w:t>Engineering / IDM Owner</w:t>
            </w:r>
          </w:p>
        </w:tc>
        <w:tc>
          <w:tcPr>
            <w:tcW w:w="2879" w:type="dxa"/>
            <w:tcBorders>
              <w:top w:val="single" w:sz="4" w:space="0" w:color="000000"/>
              <w:start w:val="single" w:sz="4" w:space="0" w:color="000000"/>
              <w:bottom w:val="single" w:sz="4" w:space="0" w:color="000000"/>
              <w:end w:val="single" w:sz="4" w:space="0" w:color="000000"/>
            </w:tcBorders>
            <w:shd w:fill="EEF5FB" w:val="clear"/>
          </w:tcPr>
          <w:p>
            <w:pPr>
              <w:pStyle w:val="Normal"/>
              <w:keepLines/>
              <w:widowControl/>
              <w:spacing w:lineRule="auto" w:line="240" w:before="0" w:after="30"/>
              <w:jc w:val="start"/>
              <w:rPr>
                <w:rFonts w:eastAsia="ＭＳ 明朝"/>
                <w:kern w:val="0"/>
                <w:sz w:val="16"/>
                <w:szCs w:val="22"/>
                <w:lang w:val="en-US" w:eastAsia="en-US" w:bidi="ar-SA"/>
              </w:rPr>
            </w:pPr>
            <w:r>
              <w:rPr>
                <w:rFonts w:eastAsia="ＭＳ 明朝"/>
                <w:kern w:val="0"/>
                <w:sz w:val="16"/>
                <w:szCs w:val="22"/>
                <w:lang w:val="en-US" w:eastAsia="en-US" w:bidi="ar-SA"/>
              </w:rPr>
              <w:t>Product Development / PLM Owner</w:t>
            </w:r>
          </w:p>
        </w:tc>
        <w:tc>
          <w:tcPr>
            <w:tcW w:w="5905" w:type="dxa"/>
            <w:tcBorders>
              <w:top w:val="single" w:sz="4" w:space="0" w:color="000000"/>
              <w:start w:val="single" w:sz="4" w:space="0" w:color="000000"/>
              <w:bottom w:val="single" w:sz="4" w:space="0" w:color="000000"/>
              <w:end w:val="single" w:sz="4" w:space="0" w:color="000000"/>
            </w:tcBorders>
            <w:shd w:fill="EEF5FB" w:val="clear"/>
          </w:tcPr>
          <w:p>
            <w:pPr>
              <w:pStyle w:val="Normal"/>
              <w:keepLines/>
              <w:widowControl/>
              <w:spacing w:lineRule="auto" w:line="240" w:before="0" w:after="30"/>
              <w:jc w:val="start"/>
              <w:rPr>
                <w:rFonts w:eastAsia="ＭＳ 明朝"/>
                <w:kern w:val="0"/>
                <w:sz w:val="16"/>
                <w:szCs w:val="22"/>
                <w:lang w:val="en-US" w:eastAsia="en-US" w:bidi="ar-SA"/>
              </w:rPr>
            </w:pPr>
            <w:r>
              <w:rPr>
                <w:rFonts w:eastAsia="ＭＳ 明朝"/>
                <w:kern w:val="0"/>
                <w:sz w:val="16"/>
                <w:szCs w:val="22"/>
                <w:lang w:val="en-US" w:eastAsia="en-US" w:bidi="ar-SA"/>
              </w:rPr>
              <w:t>Technical attributes, ECN and product identity</w:t>
            </w:r>
          </w:p>
        </w:tc>
      </w:tr>
      <w:tr>
        <w:trPr/>
        <w:tc>
          <w:tcPr>
            <w:tcW w:w="2016"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30"/>
              <w:jc w:val="start"/>
              <w:rPr>
                <w:rFonts w:eastAsia="ＭＳ 明朝"/>
                <w:kern w:val="0"/>
                <w:sz w:val="16"/>
                <w:szCs w:val="22"/>
                <w:lang w:val="en-US" w:eastAsia="en-US" w:bidi="ar-SA"/>
              </w:rPr>
            </w:pPr>
            <w:r>
              <w:rPr>
                <w:rFonts w:eastAsia="ＭＳ 明朝"/>
                <w:kern w:val="0"/>
                <w:sz w:val="16"/>
                <w:szCs w:val="22"/>
                <w:lang w:val="en-US" w:eastAsia="en-US" w:bidi="ar-SA"/>
              </w:rPr>
              <w:t>MDM Owner</w:t>
            </w:r>
          </w:p>
        </w:tc>
        <w:tc>
          <w:tcPr>
            <w:tcW w:w="2879"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30"/>
              <w:jc w:val="start"/>
              <w:rPr>
                <w:rFonts w:eastAsia="ＭＳ 明朝"/>
                <w:kern w:val="0"/>
                <w:sz w:val="16"/>
                <w:szCs w:val="22"/>
                <w:lang w:val="en-US" w:eastAsia="en-US" w:bidi="ar-SA"/>
              </w:rPr>
            </w:pPr>
            <w:r>
              <w:rPr>
                <w:rFonts w:eastAsia="ＭＳ 明朝"/>
                <w:kern w:val="0"/>
                <w:sz w:val="16"/>
                <w:szCs w:val="22"/>
                <w:lang w:val="en-US" w:eastAsia="en-US" w:bidi="ar-SA"/>
              </w:rPr>
              <w:t>Master Data Governance Lead</w:t>
            </w:r>
          </w:p>
        </w:tc>
        <w:tc>
          <w:tcPr>
            <w:tcW w:w="5905"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30"/>
              <w:jc w:val="start"/>
              <w:rPr>
                <w:rFonts w:eastAsia="ＭＳ 明朝"/>
                <w:kern w:val="0"/>
                <w:sz w:val="16"/>
                <w:szCs w:val="22"/>
                <w:lang w:val="en-US" w:eastAsia="en-US" w:bidi="ar-SA"/>
              </w:rPr>
            </w:pPr>
            <w:r>
              <w:rPr>
                <w:rFonts w:eastAsia="ＭＳ 明朝"/>
                <w:kern w:val="0"/>
                <w:sz w:val="16"/>
                <w:szCs w:val="22"/>
                <w:lang w:val="en-US" w:eastAsia="en-US" w:bidi="ar-SA"/>
              </w:rPr>
              <w:t>Data standards, workflow, stewardship and quality controls</w:t>
            </w:r>
          </w:p>
        </w:tc>
      </w:tr>
      <w:tr>
        <w:trPr/>
        <w:tc>
          <w:tcPr>
            <w:tcW w:w="2016" w:type="dxa"/>
            <w:tcBorders>
              <w:top w:val="single" w:sz="4" w:space="0" w:color="000000"/>
              <w:start w:val="single" w:sz="4" w:space="0" w:color="000000"/>
              <w:bottom w:val="single" w:sz="4" w:space="0" w:color="000000"/>
              <w:end w:val="single" w:sz="4" w:space="0" w:color="000000"/>
            </w:tcBorders>
            <w:shd w:fill="EEF5FB" w:val="clear"/>
          </w:tcPr>
          <w:p>
            <w:pPr>
              <w:pStyle w:val="Normal"/>
              <w:keepLines/>
              <w:widowControl/>
              <w:spacing w:lineRule="auto" w:line="240" w:before="0" w:after="30"/>
              <w:jc w:val="start"/>
              <w:rPr>
                <w:rFonts w:eastAsia="ＭＳ 明朝"/>
                <w:kern w:val="0"/>
                <w:sz w:val="16"/>
                <w:szCs w:val="22"/>
                <w:lang w:val="en-US" w:eastAsia="en-US" w:bidi="ar-SA"/>
              </w:rPr>
            </w:pPr>
            <w:r>
              <w:rPr>
                <w:rFonts w:eastAsia="ＭＳ 明朝"/>
                <w:kern w:val="0"/>
                <w:sz w:val="16"/>
                <w:szCs w:val="22"/>
                <w:lang w:val="en-US" w:eastAsia="en-US" w:bidi="ar-SA"/>
              </w:rPr>
              <w:t>Manufacturing Engineering</w:t>
            </w:r>
          </w:p>
        </w:tc>
        <w:tc>
          <w:tcPr>
            <w:tcW w:w="2879" w:type="dxa"/>
            <w:tcBorders>
              <w:top w:val="single" w:sz="4" w:space="0" w:color="000000"/>
              <w:start w:val="single" w:sz="4" w:space="0" w:color="000000"/>
              <w:bottom w:val="single" w:sz="4" w:space="0" w:color="000000"/>
              <w:end w:val="single" w:sz="4" w:space="0" w:color="000000"/>
            </w:tcBorders>
            <w:shd w:fill="EEF5FB" w:val="clear"/>
          </w:tcPr>
          <w:p>
            <w:pPr>
              <w:pStyle w:val="Normal"/>
              <w:keepLines/>
              <w:widowControl/>
              <w:spacing w:lineRule="auto" w:line="240" w:before="0" w:after="30"/>
              <w:jc w:val="start"/>
              <w:rPr>
                <w:rFonts w:eastAsia="ＭＳ 明朝"/>
                <w:kern w:val="0"/>
                <w:sz w:val="16"/>
                <w:szCs w:val="22"/>
                <w:lang w:val="en-US" w:eastAsia="en-US" w:bidi="ar-SA"/>
              </w:rPr>
            </w:pPr>
            <w:r>
              <w:rPr>
                <w:rFonts w:eastAsia="ＭＳ 明朝"/>
                <w:kern w:val="0"/>
                <w:sz w:val="16"/>
                <w:szCs w:val="22"/>
                <w:lang w:val="en-US" w:eastAsia="en-US" w:bidi="ar-SA"/>
              </w:rPr>
              <w:t>ME / BOM / Routing Owner</w:t>
            </w:r>
          </w:p>
        </w:tc>
        <w:tc>
          <w:tcPr>
            <w:tcW w:w="5905" w:type="dxa"/>
            <w:tcBorders>
              <w:top w:val="single" w:sz="4" w:space="0" w:color="000000"/>
              <w:start w:val="single" w:sz="4" w:space="0" w:color="000000"/>
              <w:bottom w:val="single" w:sz="4" w:space="0" w:color="000000"/>
              <w:end w:val="single" w:sz="4" w:space="0" w:color="000000"/>
            </w:tcBorders>
            <w:shd w:fill="EEF5FB" w:val="clear"/>
          </w:tcPr>
          <w:p>
            <w:pPr>
              <w:pStyle w:val="Normal"/>
              <w:keepLines/>
              <w:widowControl/>
              <w:spacing w:lineRule="auto" w:line="240" w:before="0" w:after="30"/>
              <w:jc w:val="start"/>
              <w:rPr>
                <w:rFonts w:eastAsia="ＭＳ 明朝"/>
                <w:kern w:val="0"/>
                <w:sz w:val="16"/>
                <w:szCs w:val="22"/>
                <w:lang w:val="en-US" w:eastAsia="en-US" w:bidi="ar-SA"/>
              </w:rPr>
            </w:pPr>
            <w:r>
              <w:rPr>
                <w:rFonts w:eastAsia="ＭＳ 明朝"/>
                <w:kern w:val="0"/>
                <w:sz w:val="16"/>
                <w:szCs w:val="22"/>
                <w:lang w:val="en-US" w:eastAsia="en-US" w:bidi="ar-SA"/>
              </w:rPr>
              <w:t>Manufacturing readiness and BOM/routing controls</w:t>
            </w:r>
          </w:p>
        </w:tc>
      </w:tr>
      <w:tr>
        <w:trPr/>
        <w:tc>
          <w:tcPr>
            <w:tcW w:w="2016"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30"/>
              <w:jc w:val="start"/>
              <w:rPr>
                <w:rFonts w:eastAsia="ＭＳ 明朝"/>
                <w:kern w:val="0"/>
                <w:sz w:val="16"/>
                <w:szCs w:val="22"/>
                <w:lang w:val="en-US" w:eastAsia="en-US" w:bidi="ar-SA"/>
              </w:rPr>
            </w:pPr>
            <w:r>
              <w:rPr>
                <w:rFonts w:eastAsia="ＭＳ 明朝"/>
                <w:kern w:val="0"/>
                <w:sz w:val="16"/>
                <w:szCs w:val="22"/>
                <w:lang w:val="en-US" w:eastAsia="en-US" w:bidi="ar-SA"/>
              </w:rPr>
              <w:t>PPC / Supply Planning</w:t>
            </w:r>
          </w:p>
        </w:tc>
        <w:tc>
          <w:tcPr>
            <w:tcW w:w="2879"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30"/>
              <w:jc w:val="start"/>
              <w:rPr>
                <w:rFonts w:eastAsia="ＭＳ 明朝"/>
                <w:kern w:val="0"/>
                <w:sz w:val="16"/>
                <w:szCs w:val="22"/>
                <w:lang w:val="en-US" w:eastAsia="en-US" w:bidi="ar-SA"/>
              </w:rPr>
            </w:pPr>
            <w:r>
              <w:rPr>
                <w:rFonts w:eastAsia="ＭＳ 明朝"/>
                <w:kern w:val="0"/>
                <w:sz w:val="16"/>
                <w:szCs w:val="22"/>
                <w:lang w:val="en-US" w:eastAsia="en-US" w:bidi="ar-SA"/>
              </w:rPr>
              <w:t>PPC Lead</w:t>
            </w:r>
          </w:p>
        </w:tc>
        <w:tc>
          <w:tcPr>
            <w:tcW w:w="5905"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30"/>
              <w:jc w:val="start"/>
              <w:rPr>
                <w:rFonts w:eastAsia="ＭＳ 明朝"/>
                <w:kern w:val="0"/>
                <w:sz w:val="16"/>
                <w:szCs w:val="22"/>
                <w:lang w:val="en-US" w:eastAsia="en-US" w:bidi="ar-SA"/>
              </w:rPr>
            </w:pPr>
            <w:r>
              <w:rPr>
                <w:rFonts w:eastAsia="ＭＳ 明朝"/>
                <w:kern w:val="0"/>
                <w:sz w:val="16"/>
                <w:szCs w:val="22"/>
                <w:lang w:val="en-US" w:eastAsia="en-US" w:bidi="ar-SA"/>
              </w:rPr>
              <w:t>Planning parameters, plant-line and execution readiness</w:t>
            </w:r>
          </w:p>
        </w:tc>
      </w:tr>
      <w:tr>
        <w:trPr/>
        <w:tc>
          <w:tcPr>
            <w:tcW w:w="2016" w:type="dxa"/>
            <w:tcBorders>
              <w:top w:val="single" w:sz="4" w:space="0" w:color="000000"/>
              <w:start w:val="single" w:sz="4" w:space="0" w:color="000000"/>
              <w:bottom w:val="single" w:sz="4" w:space="0" w:color="000000"/>
              <w:end w:val="single" w:sz="4" w:space="0" w:color="000000"/>
            </w:tcBorders>
            <w:shd w:fill="EEF5FB" w:val="clear"/>
          </w:tcPr>
          <w:p>
            <w:pPr>
              <w:pStyle w:val="Normal"/>
              <w:keepLines/>
              <w:widowControl/>
              <w:spacing w:lineRule="auto" w:line="240" w:before="0" w:after="30"/>
              <w:jc w:val="start"/>
              <w:rPr>
                <w:rFonts w:eastAsia="ＭＳ 明朝"/>
                <w:kern w:val="0"/>
                <w:sz w:val="16"/>
                <w:szCs w:val="22"/>
                <w:lang w:val="en-US" w:eastAsia="en-US" w:bidi="ar-SA"/>
              </w:rPr>
            </w:pPr>
            <w:r>
              <w:rPr>
                <w:rFonts w:eastAsia="ＭＳ 明朝"/>
                <w:kern w:val="0"/>
                <w:sz w:val="16"/>
                <w:szCs w:val="22"/>
                <w:lang w:val="en-US" w:eastAsia="en-US" w:bidi="ar-SA"/>
              </w:rPr>
              <w:t>IT / Architecture</w:t>
            </w:r>
          </w:p>
        </w:tc>
        <w:tc>
          <w:tcPr>
            <w:tcW w:w="2879" w:type="dxa"/>
            <w:tcBorders>
              <w:top w:val="single" w:sz="4" w:space="0" w:color="000000"/>
              <w:start w:val="single" w:sz="4" w:space="0" w:color="000000"/>
              <w:bottom w:val="single" w:sz="4" w:space="0" w:color="000000"/>
              <w:end w:val="single" w:sz="4" w:space="0" w:color="000000"/>
            </w:tcBorders>
            <w:shd w:fill="EEF5FB" w:val="clear"/>
          </w:tcPr>
          <w:p>
            <w:pPr>
              <w:pStyle w:val="Normal"/>
              <w:keepLines/>
              <w:widowControl/>
              <w:spacing w:lineRule="auto" w:line="240" w:before="0" w:after="30"/>
              <w:jc w:val="start"/>
              <w:rPr>
                <w:rFonts w:eastAsia="ＭＳ 明朝"/>
                <w:kern w:val="0"/>
                <w:sz w:val="16"/>
                <w:szCs w:val="22"/>
                <w:lang w:val="en-US" w:eastAsia="en-US" w:bidi="ar-SA"/>
              </w:rPr>
            </w:pPr>
            <w:r>
              <w:rPr>
                <w:rFonts w:eastAsia="ＭＳ 明朝"/>
                <w:kern w:val="0"/>
                <w:sz w:val="16"/>
                <w:szCs w:val="22"/>
                <w:lang w:val="en-US" w:eastAsia="en-US" w:bidi="ar-SA"/>
              </w:rPr>
              <w:t>VECV IT / SAP / Integration Lead</w:t>
            </w:r>
          </w:p>
        </w:tc>
        <w:tc>
          <w:tcPr>
            <w:tcW w:w="5905" w:type="dxa"/>
            <w:tcBorders>
              <w:top w:val="single" w:sz="4" w:space="0" w:color="000000"/>
              <w:start w:val="single" w:sz="4" w:space="0" w:color="000000"/>
              <w:bottom w:val="single" w:sz="4" w:space="0" w:color="000000"/>
              <w:end w:val="single" w:sz="4" w:space="0" w:color="000000"/>
            </w:tcBorders>
            <w:shd w:fill="EEF5FB" w:val="clear"/>
          </w:tcPr>
          <w:p>
            <w:pPr>
              <w:pStyle w:val="Normal"/>
              <w:keepLines/>
              <w:widowControl/>
              <w:spacing w:lineRule="auto" w:line="240" w:before="0" w:after="30"/>
              <w:jc w:val="start"/>
              <w:rPr>
                <w:rFonts w:eastAsia="ＭＳ 明朝"/>
                <w:kern w:val="0"/>
                <w:sz w:val="16"/>
                <w:szCs w:val="22"/>
                <w:lang w:val="en-US" w:eastAsia="en-US" w:bidi="ar-SA"/>
              </w:rPr>
            </w:pPr>
            <w:r>
              <w:rPr>
                <w:rFonts w:eastAsia="ＭＳ 明朝"/>
                <w:kern w:val="0"/>
                <w:sz w:val="16"/>
                <w:szCs w:val="22"/>
                <w:lang w:val="en-US" w:eastAsia="en-US" w:bidi="ar-SA"/>
              </w:rPr>
              <w:t>System of record, interfaces, security and technical feasibility</w:t>
            </w:r>
          </w:p>
        </w:tc>
      </w:tr>
      <w:tr>
        <w:trPr/>
        <w:tc>
          <w:tcPr>
            <w:tcW w:w="2016"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30"/>
              <w:jc w:val="start"/>
              <w:rPr>
                <w:rFonts w:eastAsia="ＭＳ 明朝"/>
                <w:kern w:val="0"/>
                <w:sz w:val="16"/>
                <w:szCs w:val="22"/>
                <w:lang w:val="en-US" w:eastAsia="en-US" w:bidi="ar-SA"/>
              </w:rPr>
            </w:pPr>
            <w:r>
              <w:rPr>
                <w:rFonts w:eastAsia="ＭＳ 明朝"/>
                <w:kern w:val="0"/>
                <w:sz w:val="16"/>
                <w:szCs w:val="22"/>
                <w:lang w:val="en-US" w:eastAsia="en-US" w:bidi="ar-SA"/>
              </w:rPr>
              <w:t>Implementation Partner</w:t>
            </w:r>
          </w:p>
        </w:tc>
        <w:tc>
          <w:tcPr>
            <w:tcW w:w="2879"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30"/>
              <w:jc w:val="start"/>
              <w:rPr>
                <w:rFonts w:eastAsia="ＭＳ 明朝"/>
                <w:kern w:val="0"/>
                <w:sz w:val="16"/>
                <w:szCs w:val="22"/>
                <w:lang w:val="en-US" w:eastAsia="en-US" w:bidi="ar-SA"/>
              </w:rPr>
            </w:pPr>
            <w:r>
              <w:rPr>
                <w:rFonts w:eastAsia="ＭＳ 明朝"/>
                <w:kern w:val="0"/>
                <w:sz w:val="16"/>
                <w:szCs w:val="22"/>
                <w:lang w:val="en-US" w:eastAsia="en-US" w:bidi="ar-SA"/>
              </w:rPr>
              <w:t>UST Technical Lead</w:t>
            </w:r>
          </w:p>
        </w:tc>
        <w:tc>
          <w:tcPr>
            <w:tcW w:w="5905"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30"/>
              <w:jc w:val="start"/>
              <w:rPr>
                <w:rFonts w:eastAsia="ＭＳ 明朝"/>
                <w:kern w:val="0"/>
                <w:sz w:val="16"/>
                <w:szCs w:val="22"/>
                <w:lang w:val="en-US" w:eastAsia="en-US" w:bidi="ar-SA"/>
              </w:rPr>
            </w:pPr>
            <w:r>
              <w:rPr>
                <w:rFonts w:eastAsia="ＭＳ 明朝"/>
                <w:kern w:val="0"/>
                <w:sz w:val="16"/>
                <w:szCs w:val="22"/>
                <w:lang w:val="en-US" w:eastAsia="en-US" w:bidi="ar-SA"/>
              </w:rPr>
              <w:t>Build feasibility and technical specification readiness</w:t>
            </w:r>
          </w:p>
        </w:tc>
      </w:tr>
    </w:tbl>
    <w:p>
      <w:pPr>
        <w:pStyle w:val="Normal"/>
        <w:widowControl/>
        <w:spacing w:before="0" w:after="20"/>
        <w:rPr/>
      </w:pPr>
      <w:r>
        <w:rPr/>
      </w:r>
    </w:p>
    <w:p>
      <w:pPr>
        <w:pStyle w:val="Heading1"/>
        <w:keepNext w:val="true"/>
        <w:widowControl/>
        <w:rPr/>
      </w:pPr>
      <w:r>
        <w:rPr/>
        <w:t>1. Executive Summary</w:t>
      </w:r>
    </w:p>
    <w:tbl>
      <w:tblPr>
        <w:tblW w:w="10656" w:type="dxa"/>
        <w:jc w:val="center"/>
        <w:tblInd w:w="0" w:type="dxa"/>
        <w:tblLayout w:type="fixed"/>
        <w:tblCellMar>
          <w:top w:w="90" w:type="dxa"/>
          <w:start w:w="100" w:type="dxa"/>
          <w:bottom w:w="90" w:type="dxa"/>
          <w:end w:w="100" w:type="dxa"/>
        </w:tblCellMar>
      </w:tblPr>
      <w:tblGrid>
        <w:gridCol w:w="10656"/>
      </w:tblGrid>
      <w:tr>
        <w:trPr>
          <w:tblHeader w:val="true"/>
        </w:trPr>
        <w:tc>
          <w:tcPr>
            <w:tcW w:w="10656" w:type="dxa"/>
            <w:tcBorders>
              <w:top w:val="single" w:sz="4" w:space="0" w:color="000000"/>
              <w:start w:val="single" w:sz="4" w:space="0" w:color="000000"/>
              <w:bottom w:val="single" w:sz="4" w:space="0" w:color="000000"/>
              <w:end w:val="single" w:sz="4" w:space="0" w:color="000000"/>
            </w:tcBorders>
            <w:shd w:fill="DCEAF7" w:val="clear"/>
          </w:tcPr>
          <w:p>
            <w:pPr>
              <w:pStyle w:val="CalloutX"/>
              <w:widowControl/>
              <w:spacing w:lineRule="auto" w:line="240" w:before="0" w:after="80"/>
              <w:jc w:val="start"/>
              <w:rPr>
                <w:rFonts w:eastAsia="ＭＳ 明朝"/>
                <w:kern w:val="0"/>
                <w:szCs w:val="22"/>
                <w:lang w:val="en-US" w:eastAsia="en-US" w:bidi="ar-SA"/>
              </w:rPr>
            </w:pPr>
            <w:r>
              <w:rPr>
                <w:rFonts w:eastAsia="ＭＳ 明朝"/>
                <w:color w:val="1F5A88"/>
                <w:kern w:val="0"/>
                <w:szCs w:val="22"/>
                <w:lang w:val="en-US" w:eastAsia="en-US" w:bidi="ar-SA"/>
              </w:rPr>
              <w:t>Core Thesis</w:t>
              <w:br/>
            </w:r>
            <w:r>
              <w:rPr>
                <w:rFonts w:eastAsia="ＭＳ 明朝"/>
                <w:b w:val="false"/>
                <w:kern w:val="0"/>
                <w:sz w:val="19"/>
                <w:szCs w:val="22"/>
                <w:lang w:val="en-US" w:eastAsia="en-US" w:bidi="ar-SA"/>
              </w:rPr>
              <w:t>VECV does not only need cleaner material data. It needs a governed enterprise capability in which every FERT is uniquely identified, classified, validated, lifecycle-controlled, traceable, synchronized and formally certified as planning-ready before it can influence demand, supply, production, rush-order or S&amp;OP decisions.</w:t>
            </w:r>
          </w:p>
        </w:tc>
      </w:tr>
    </w:tbl>
    <w:p>
      <w:pPr>
        <w:pStyle w:val="Normal"/>
        <w:widowControl/>
        <w:spacing w:before="0" w:after="20"/>
        <w:rPr/>
      </w:pPr>
      <w:r>
        <w:rPr/>
      </w:r>
    </w:p>
    <w:p>
      <w:pPr>
        <w:pStyle w:val="Heading2"/>
        <w:keepNext w:val="true"/>
        <w:widowControl/>
        <w:rPr/>
      </w:pPr>
      <w:r>
        <w:rPr/>
        <w:t>1.1 Business Objective</w:t>
      </w:r>
    </w:p>
    <w:p>
      <w:pPr>
        <w:pStyle w:val="ListBullet"/>
        <w:widowControl/>
        <w:numPr>
          <w:ilvl w:val="0"/>
          <w:numId w:val="2"/>
        </w:numPr>
        <w:spacing w:before="0" w:after="40"/>
        <w:contextualSpacing/>
        <w:rPr/>
      </w:pPr>
      <w:r>
        <w:rPr/>
        <w:t>Establish a single authoritative Golden FERT Master for final assembly planning objects.</w:t>
      </w:r>
    </w:p>
    <w:p>
      <w:pPr>
        <w:pStyle w:val="ListBullet"/>
        <w:widowControl/>
        <w:numPr>
          <w:ilvl w:val="0"/>
          <w:numId w:val="2"/>
        </w:numPr>
        <w:spacing w:before="0" w:after="40"/>
        <w:contextualSpacing/>
        <w:rPr/>
      </w:pPr>
      <w:r>
        <w:rPr/>
        <w:t>Prevent duplicate, incomplete, invalid, obsolete or unsynchronized FERTs from entering VECVplan.</w:t>
      </w:r>
    </w:p>
    <w:p>
      <w:pPr>
        <w:pStyle w:val="ListBullet"/>
        <w:widowControl/>
        <w:numPr>
          <w:ilvl w:val="0"/>
          <w:numId w:val="2"/>
        </w:numPr>
        <w:spacing w:before="0" w:after="40"/>
        <w:contextualSpacing/>
        <w:rPr/>
      </w:pPr>
      <w:r>
        <w:rPr/>
        <w:t>Protect forecast continuity through predecessor-successor, migration, ramp-up/ramp-down and dual-running governance.</w:t>
      </w:r>
    </w:p>
    <w:p>
      <w:pPr>
        <w:pStyle w:val="ListBullet"/>
        <w:widowControl/>
        <w:numPr>
          <w:ilvl w:val="0"/>
          <w:numId w:val="2"/>
        </w:numPr>
        <w:spacing w:before="0" w:after="40"/>
        <w:contextualSpacing/>
        <w:rPr/>
      </w:pPr>
      <w:r>
        <w:rPr/>
        <w:t>Create clear ownership and approval for FERT creation, ECN changes, hierarchy, characteristics, planning parameters and retirement.</w:t>
      </w:r>
    </w:p>
    <w:p>
      <w:pPr>
        <w:pStyle w:val="ListBullet"/>
        <w:widowControl/>
        <w:numPr>
          <w:ilvl w:val="0"/>
          <w:numId w:val="2"/>
        </w:numPr>
        <w:spacing w:before="0" w:after="40"/>
        <w:contextualSpacing/>
        <w:rPr/>
      </w:pPr>
      <w:r>
        <w:rPr/>
        <w:t>Provide measurable planning readiness through audit checks, scorecards, exceptions and a prioritized remediation backlog.</w:t>
      </w:r>
    </w:p>
    <w:p>
      <w:pPr>
        <w:pStyle w:val="ListBullet"/>
        <w:widowControl/>
        <w:numPr>
          <w:ilvl w:val="0"/>
          <w:numId w:val="2"/>
        </w:numPr>
        <w:spacing w:before="0" w:after="40"/>
        <w:contextualSpacing/>
        <w:rPr/>
      </w:pPr>
      <w:r>
        <w:rPr/>
        <w:t>Integrate governance with IDM/PLM, SAP, BW/DVM, VECVplan Demand Planning, Rush Order, Pipeline, Supply Planning and Control Tower.</w:t>
      </w:r>
    </w:p>
    <w:p>
      <w:pPr>
        <w:pStyle w:val="Heading2"/>
        <w:keepNext w:val="true"/>
        <w:widowControl/>
        <w:rPr/>
      </w:pPr>
      <w:r>
        <w:rPr/>
        <w:t>1.2 Proposed Solution in One View</w:t>
      </w:r>
    </w:p>
    <w:tbl>
      <w:tblPr>
        <w:tblW w:w="10800" w:type="dxa"/>
        <w:jc w:val="center"/>
        <w:tblInd w:w="0" w:type="dxa"/>
        <w:tblLayout w:type="fixed"/>
        <w:tblCellMar>
          <w:top w:w="60" w:type="dxa"/>
          <w:start w:w="70" w:type="dxa"/>
          <w:bottom w:w="60" w:type="dxa"/>
          <w:end w:w="70" w:type="dxa"/>
        </w:tblCellMar>
      </w:tblPr>
      <w:tblGrid>
        <w:gridCol w:w="2016"/>
        <w:gridCol w:w="5184"/>
        <w:gridCol w:w="3600"/>
      </w:tblGrid>
      <w:tr>
        <w:trPr>
          <w:tblHeader w:val="true"/>
        </w:trPr>
        <w:tc>
          <w:tcPr>
            <w:tcW w:w="2016" w:type="dxa"/>
            <w:tcBorders>
              <w:top w:val="single" w:sz="4" w:space="0" w:color="000000"/>
              <w:start w:val="single" w:sz="4" w:space="0" w:color="000000"/>
              <w:bottom w:val="single" w:sz="4" w:space="0" w:color="000000"/>
              <w:end w:val="single" w:sz="4" w:space="0" w:color="000000"/>
            </w:tcBorders>
            <w:shd w:fill="0C1E2D" w:val="clear"/>
            <w:vAlign w:val="center"/>
          </w:tcPr>
          <w:p>
            <w:pPr>
              <w:pStyle w:val="Normal"/>
              <w:widowControl/>
              <w:spacing w:lineRule="auto" w:line="240" w:before="0" w:after="80"/>
              <w:jc w:val="start"/>
              <w:rPr>
                <w:rFonts w:eastAsia="ＭＳ 明朝"/>
                <w:b/>
                <w:color w:val="FFFFFF"/>
                <w:kern w:val="0"/>
                <w:sz w:val="16"/>
                <w:szCs w:val="22"/>
                <w:lang w:val="en-US" w:eastAsia="en-US" w:bidi="ar-SA"/>
              </w:rPr>
            </w:pPr>
            <w:r>
              <w:rPr>
                <w:rFonts w:eastAsia="ＭＳ 明朝"/>
                <w:b/>
                <w:color w:val="FFFFFF"/>
                <w:kern w:val="0"/>
                <w:sz w:val="16"/>
                <w:szCs w:val="22"/>
                <w:lang w:val="en-US" w:eastAsia="en-US" w:bidi="ar-SA"/>
              </w:rPr>
              <w:t>Solution Pillar</w:t>
            </w:r>
          </w:p>
        </w:tc>
        <w:tc>
          <w:tcPr>
            <w:tcW w:w="5184" w:type="dxa"/>
            <w:tcBorders>
              <w:top w:val="single" w:sz="4" w:space="0" w:color="000000"/>
              <w:start w:val="single" w:sz="4" w:space="0" w:color="000000"/>
              <w:bottom w:val="single" w:sz="4" w:space="0" w:color="000000"/>
              <w:end w:val="single" w:sz="4" w:space="0" w:color="000000"/>
            </w:tcBorders>
            <w:shd w:fill="0C1E2D" w:val="clear"/>
            <w:vAlign w:val="center"/>
          </w:tcPr>
          <w:p>
            <w:pPr>
              <w:pStyle w:val="Normal"/>
              <w:widowControl/>
              <w:spacing w:lineRule="auto" w:line="240" w:before="0" w:after="80"/>
              <w:jc w:val="start"/>
              <w:rPr>
                <w:rFonts w:eastAsia="ＭＳ 明朝"/>
                <w:b/>
                <w:color w:val="FFFFFF"/>
                <w:kern w:val="0"/>
                <w:sz w:val="16"/>
                <w:szCs w:val="22"/>
                <w:lang w:val="en-US" w:eastAsia="en-US" w:bidi="ar-SA"/>
              </w:rPr>
            </w:pPr>
            <w:r>
              <w:rPr>
                <w:rFonts w:eastAsia="ＭＳ 明朝"/>
                <w:b/>
                <w:color w:val="FFFFFF"/>
                <w:kern w:val="0"/>
                <w:sz w:val="16"/>
                <w:szCs w:val="22"/>
                <w:lang w:val="en-US" w:eastAsia="en-US" w:bidi="ar-SA"/>
              </w:rPr>
              <w:t>Functional Capability</w:t>
            </w:r>
          </w:p>
        </w:tc>
        <w:tc>
          <w:tcPr>
            <w:tcW w:w="3600" w:type="dxa"/>
            <w:tcBorders>
              <w:top w:val="single" w:sz="4" w:space="0" w:color="000000"/>
              <w:start w:val="single" w:sz="4" w:space="0" w:color="000000"/>
              <w:bottom w:val="single" w:sz="4" w:space="0" w:color="000000"/>
              <w:end w:val="single" w:sz="4" w:space="0" w:color="000000"/>
            </w:tcBorders>
            <w:shd w:fill="0C1E2D" w:val="clear"/>
            <w:vAlign w:val="center"/>
          </w:tcPr>
          <w:p>
            <w:pPr>
              <w:pStyle w:val="Normal"/>
              <w:widowControl/>
              <w:spacing w:lineRule="auto" w:line="240" w:before="0" w:after="80"/>
              <w:jc w:val="start"/>
              <w:rPr>
                <w:rFonts w:eastAsia="ＭＳ 明朝"/>
                <w:b/>
                <w:color w:val="FFFFFF"/>
                <w:kern w:val="0"/>
                <w:sz w:val="16"/>
                <w:szCs w:val="22"/>
                <w:lang w:val="en-US" w:eastAsia="en-US" w:bidi="ar-SA"/>
              </w:rPr>
            </w:pPr>
            <w:r>
              <w:rPr>
                <w:rFonts w:eastAsia="ＭＳ 明朝"/>
                <w:b/>
                <w:color w:val="FFFFFF"/>
                <w:kern w:val="0"/>
                <w:sz w:val="16"/>
                <w:szCs w:val="22"/>
                <w:lang w:val="en-US" w:eastAsia="en-US" w:bidi="ar-SA"/>
              </w:rPr>
              <w:t>Primary Outcome</w:t>
            </w:r>
          </w:p>
        </w:tc>
      </w:tr>
      <w:tr>
        <w:trPr/>
        <w:tc>
          <w:tcPr>
            <w:tcW w:w="2016"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30"/>
              <w:jc w:val="start"/>
              <w:rPr>
                <w:rFonts w:eastAsia="ＭＳ 明朝"/>
                <w:kern w:val="0"/>
                <w:sz w:val="16"/>
                <w:szCs w:val="22"/>
                <w:lang w:val="en-US" w:eastAsia="en-US" w:bidi="ar-SA"/>
              </w:rPr>
            </w:pPr>
            <w:r>
              <w:rPr>
                <w:rFonts w:eastAsia="ＭＳ 明朝"/>
                <w:kern w:val="0"/>
                <w:sz w:val="16"/>
                <w:szCs w:val="22"/>
                <w:lang w:val="en-US" w:eastAsia="en-US" w:bidi="ar-SA"/>
              </w:rPr>
              <w:t>Golden FERT Master</w:t>
            </w:r>
          </w:p>
        </w:tc>
        <w:tc>
          <w:tcPr>
            <w:tcW w:w="5184"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30"/>
              <w:jc w:val="start"/>
              <w:rPr>
                <w:rFonts w:eastAsia="ＭＳ 明朝"/>
                <w:kern w:val="0"/>
                <w:sz w:val="16"/>
                <w:szCs w:val="22"/>
                <w:lang w:val="en-US" w:eastAsia="en-US" w:bidi="ar-SA"/>
              </w:rPr>
            </w:pPr>
            <w:r>
              <w:rPr>
                <w:rFonts w:eastAsia="ＭＳ 明朝"/>
                <w:kern w:val="0"/>
                <w:sz w:val="16"/>
                <w:szCs w:val="22"/>
                <w:lang w:val="en-US" w:eastAsia="en-US" w:bidi="ar-SA"/>
              </w:rPr>
              <w:t>One governed record with identification, hierarchy, characteristics, plant, BOM, routing, planning parameters, lifecycle, lineage and integration status.</w:t>
            </w:r>
          </w:p>
        </w:tc>
        <w:tc>
          <w:tcPr>
            <w:tcW w:w="3600"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30"/>
              <w:jc w:val="start"/>
              <w:rPr>
                <w:rFonts w:eastAsia="ＭＳ 明朝"/>
                <w:kern w:val="0"/>
                <w:sz w:val="16"/>
                <w:szCs w:val="22"/>
                <w:lang w:val="en-US" w:eastAsia="en-US" w:bidi="ar-SA"/>
              </w:rPr>
            </w:pPr>
            <w:r>
              <w:rPr>
                <w:rFonts w:eastAsia="ＭＳ 明朝"/>
                <w:kern w:val="0"/>
                <w:sz w:val="16"/>
                <w:szCs w:val="22"/>
                <w:lang w:val="en-US" w:eastAsia="en-US" w:bidi="ar-SA"/>
              </w:rPr>
              <w:t>One trusted planning identity.</w:t>
            </w:r>
          </w:p>
        </w:tc>
      </w:tr>
      <w:tr>
        <w:trPr/>
        <w:tc>
          <w:tcPr>
            <w:tcW w:w="2016" w:type="dxa"/>
            <w:tcBorders>
              <w:top w:val="single" w:sz="4" w:space="0" w:color="000000"/>
              <w:start w:val="single" w:sz="4" w:space="0" w:color="000000"/>
              <w:bottom w:val="single" w:sz="4" w:space="0" w:color="000000"/>
              <w:end w:val="single" w:sz="4" w:space="0" w:color="000000"/>
            </w:tcBorders>
            <w:shd w:fill="EEF5FB" w:val="clear"/>
          </w:tcPr>
          <w:p>
            <w:pPr>
              <w:pStyle w:val="Normal"/>
              <w:keepLines/>
              <w:widowControl/>
              <w:spacing w:lineRule="auto" w:line="240" w:before="0" w:after="30"/>
              <w:jc w:val="start"/>
              <w:rPr>
                <w:rFonts w:eastAsia="ＭＳ 明朝"/>
                <w:kern w:val="0"/>
                <w:sz w:val="16"/>
                <w:szCs w:val="22"/>
                <w:lang w:val="en-US" w:eastAsia="en-US" w:bidi="ar-SA"/>
              </w:rPr>
            </w:pPr>
            <w:r>
              <w:rPr>
                <w:rFonts w:eastAsia="ＭＳ 明朝"/>
                <w:kern w:val="0"/>
                <w:sz w:val="16"/>
                <w:szCs w:val="22"/>
                <w:lang w:val="en-US" w:eastAsia="en-US" w:bidi="ar-SA"/>
              </w:rPr>
              <w:t>Creation vs ECN Decision Gate</w:t>
            </w:r>
          </w:p>
        </w:tc>
        <w:tc>
          <w:tcPr>
            <w:tcW w:w="5184" w:type="dxa"/>
            <w:tcBorders>
              <w:top w:val="single" w:sz="4" w:space="0" w:color="000000"/>
              <w:start w:val="single" w:sz="4" w:space="0" w:color="000000"/>
              <w:bottom w:val="single" w:sz="4" w:space="0" w:color="000000"/>
              <w:end w:val="single" w:sz="4" w:space="0" w:color="000000"/>
            </w:tcBorders>
            <w:shd w:fill="EEF5FB" w:val="clear"/>
          </w:tcPr>
          <w:p>
            <w:pPr>
              <w:pStyle w:val="Normal"/>
              <w:keepLines/>
              <w:widowControl/>
              <w:spacing w:lineRule="auto" w:line="240" w:before="0" w:after="30"/>
              <w:jc w:val="start"/>
              <w:rPr>
                <w:rFonts w:eastAsia="ＭＳ 明朝"/>
                <w:kern w:val="0"/>
                <w:sz w:val="16"/>
                <w:szCs w:val="22"/>
                <w:lang w:val="en-US" w:eastAsia="en-US" w:bidi="ar-SA"/>
              </w:rPr>
            </w:pPr>
            <w:r>
              <w:rPr>
                <w:rFonts w:eastAsia="ＭＳ 明朝"/>
                <w:kern w:val="0"/>
                <w:sz w:val="16"/>
                <w:szCs w:val="22"/>
                <w:lang w:val="en-US" w:eastAsia="en-US" w:bidi="ar-SA"/>
              </w:rPr>
              <w:t>Classifies whether a product change requires a new FERT or must remain on the existing FERT under ECN control.</w:t>
            </w:r>
          </w:p>
        </w:tc>
        <w:tc>
          <w:tcPr>
            <w:tcW w:w="3600" w:type="dxa"/>
            <w:tcBorders>
              <w:top w:val="single" w:sz="4" w:space="0" w:color="000000"/>
              <w:start w:val="single" w:sz="4" w:space="0" w:color="000000"/>
              <w:bottom w:val="single" w:sz="4" w:space="0" w:color="000000"/>
              <w:end w:val="single" w:sz="4" w:space="0" w:color="000000"/>
            </w:tcBorders>
            <w:shd w:fill="EEF5FB" w:val="clear"/>
          </w:tcPr>
          <w:p>
            <w:pPr>
              <w:pStyle w:val="Normal"/>
              <w:keepLines/>
              <w:widowControl/>
              <w:spacing w:lineRule="auto" w:line="240" w:before="0" w:after="30"/>
              <w:jc w:val="start"/>
              <w:rPr>
                <w:rFonts w:eastAsia="ＭＳ 明朝"/>
                <w:kern w:val="0"/>
                <w:sz w:val="16"/>
                <w:szCs w:val="22"/>
                <w:lang w:val="en-US" w:eastAsia="en-US" w:bidi="ar-SA"/>
              </w:rPr>
            </w:pPr>
            <w:r>
              <w:rPr>
                <w:rFonts w:eastAsia="ＭＳ 明朝"/>
                <w:kern w:val="0"/>
                <w:sz w:val="16"/>
                <w:szCs w:val="22"/>
                <w:lang w:val="en-US" w:eastAsia="en-US" w:bidi="ar-SA"/>
              </w:rPr>
              <w:t>Prevents unnecessary code proliferation.</w:t>
            </w:r>
          </w:p>
        </w:tc>
      </w:tr>
      <w:tr>
        <w:trPr/>
        <w:tc>
          <w:tcPr>
            <w:tcW w:w="2016"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30"/>
              <w:jc w:val="start"/>
              <w:rPr>
                <w:rFonts w:eastAsia="ＭＳ 明朝"/>
                <w:kern w:val="0"/>
                <w:sz w:val="16"/>
                <w:szCs w:val="22"/>
                <w:lang w:val="en-US" w:eastAsia="en-US" w:bidi="ar-SA"/>
              </w:rPr>
            </w:pPr>
            <w:r>
              <w:rPr>
                <w:rFonts w:eastAsia="ＭＳ 明朝"/>
                <w:kern w:val="0"/>
                <w:sz w:val="16"/>
                <w:szCs w:val="22"/>
                <w:lang w:val="en-US" w:eastAsia="en-US" w:bidi="ar-SA"/>
              </w:rPr>
              <w:t>Planning-Ready Certification</w:t>
            </w:r>
          </w:p>
        </w:tc>
        <w:tc>
          <w:tcPr>
            <w:tcW w:w="5184"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30"/>
              <w:jc w:val="start"/>
              <w:rPr>
                <w:rFonts w:eastAsia="ＭＳ 明朝"/>
                <w:kern w:val="0"/>
                <w:sz w:val="16"/>
                <w:szCs w:val="22"/>
                <w:lang w:val="en-US" w:eastAsia="en-US" w:bidi="ar-SA"/>
              </w:rPr>
            </w:pPr>
            <w:r>
              <w:rPr>
                <w:rFonts w:eastAsia="ＭＳ 明朝"/>
                <w:kern w:val="0"/>
                <w:sz w:val="16"/>
                <w:szCs w:val="22"/>
                <w:lang w:val="en-US" w:eastAsia="en-US" w:bidi="ar-SA"/>
              </w:rPr>
              <w:t>Hard gate before a FERT becomes visible in S&amp;OP, indenting or rush-order selection.</w:t>
            </w:r>
          </w:p>
        </w:tc>
        <w:tc>
          <w:tcPr>
            <w:tcW w:w="3600"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30"/>
              <w:jc w:val="start"/>
              <w:rPr>
                <w:rFonts w:eastAsia="ＭＳ 明朝"/>
                <w:kern w:val="0"/>
                <w:sz w:val="16"/>
                <w:szCs w:val="22"/>
                <w:lang w:val="en-US" w:eastAsia="en-US" w:bidi="ar-SA"/>
              </w:rPr>
            </w:pPr>
            <w:r>
              <w:rPr>
                <w:rFonts w:eastAsia="ＭＳ 明朝"/>
                <w:kern w:val="0"/>
                <w:sz w:val="16"/>
                <w:szCs w:val="22"/>
                <w:lang w:val="en-US" w:eastAsia="en-US" w:bidi="ar-SA"/>
              </w:rPr>
              <w:t>Only usable and executable products enter planning.</w:t>
            </w:r>
          </w:p>
        </w:tc>
      </w:tr>
      <w:tr>
        <w:trPr/>
        <w:tc>
          <w:tcPr>
            <w:tcW w:w="2016" w:type="dxa"/>
            <w:tcBorders>
              <w:top w:val="single" w:sz="4" w:space="0" w:color="000000"/>
              <w:start w:val="single" w:sz="4" w:space="0" w:color="000000"/>
              <w:bottom w:val="single" w:sz="4" w:space="0" w:color="000000"/>
              <w:end w:val="single" w:sz="4" w:space="0" w:color="000000"/>
            </w:tcBorders>
            <w:shd w:fill="EEF5FB" w:val="clear"/>
          </w:tcPr>
          <w:p>
            <w:pPr>
              <w:pStyle w:val="Normal"/>
              <w:keepLines/>
              <w:widowControl/>
              <w:spacing w:lineRule="auto" w:line="240" w:before="0" w:after="30"/>
              <w:jc w:val="start"/>
              <w:rPr>
                <w:rFonts w:eastAsia="ＭＳ 明朝"/>
                <w:kern w:val="0"/>
                <w:sz w:val="16"/>
                <w:szCs w:val="22"/>
                <w:lang w:val="en-US" w:eastAsia="en-US" w:bidi="ar-SA"/>
              </w:rPr>
            </w:pPr>
            <w:r>
              <w:rPr>
                <w:rFonts w:eastAsia="ＭＳ 明朝"/>
                <w:kern w:val="0"/>
                <w:sz w:val="16"/>
                <w:szCs w:val="22"/>
                <w:lang w:val="en-US" w:eastAsia="en-US" w:bidi="ar-SA"/>
              </w:rPr>
              <w:t>Lifecycle &amp; Lineage</w:t>
            </w:r>
          </w:p>
        </w:tc>
        <w:tc>
          <w:tcPr>
            <w:tcW w:w="5184" w:type="dxa"/>
            <w:tcBorders>
              <w:top w:val="single" w:sz="4" w:space="0" w:color="000000"/>
              <w:start w:val="single" w:sz="4" w:space="0" w:color="000000"/>
              <w:bottom w:val="single" w:sz="4" w:space="0" w:color="000000"/>
              <w:end w:val="single" w:sz="4" w:space="0" w:color="000000"/>
            </w:tcBorders>
            <w:shd w:fill="EEF5FB" w:val="clear"/>
          </w:tcPr>
          <w:p>
            <w:pPr>
              <w:pStyle w:val="Normal"/>
              <w:keepLines/>
              <w:widowControl/>
              <w:spacing w:lineRule="auto" w:line="240" w:before="0" w:after="30"/>
              <w:jc w:val="start"/>
              <w:rPr>
                <w:rFonts w:eastAsia="ＭＳ 明朝"/>
                <w:kern w:val="0"/>
                <w:sz w:val="16"/>
                <w:szCs w:val="22"/>
                <w:lang w:val="en-US" w:eastAsia="en-US" w:bidi="ar-SA"/>
              </w:rPr>
            </w:pPr>
            <w:r>
              <w:rPr>
                <w:rFonts w:eastAsia="ＭＳ 明朝"/>
                <w:kern w:val="0"/>
                <w:sz w:val="16"/>
                <w:szCs w:val="22"/>
                <w:lang w:val="en-US" w:eastAsia="en-US" w:bidi="ar-SA"/>
              </w:rPr>
              <w:t>Controls migration, ramp-up/down, dual-running, one-to-many and many-to-one transitions.</w:t>
            </w:r>
          </w:p>
        </w:tc>
        <w:tc>
          <w:tcPr>
            <w:tcW w:w="3600" w:type="dxa"/>
            <w:tcBorders>
              <w:top w:val="single" w:sz="4" w:space="0" w:color="000000"/>
              <w:start w:val="single" w:sz="4" w:space="0" w:color="000000"/>
              <w:bottom w:val="single" w:sz="4" w:space="0" w:color="000000"/>
              <w:end w:val="single" w:sz="4" w:space="0" w:color="000000"/>
            </w:tcBorders>
            <w:shd w:fill="EEF5FB" w:val="clear"/>
          </w:tcPr>
          <w:p>
            <w:pPr>
              <w:pStyle w:val="Normal"/>
              <w:keepLines/>
              <w:widowControl/>
              <w:spacing w:lineRule="auto" w:line="240" w:before="0" w:after="30"/>
              <w:jc w:val="start"/>
              <w:rPr>
                <w:rFonts w:eastAsia="ＭＳ 明朝"/>
                <w:kern w:val="0"/>
                <w:sz w:val="16"/>
                <w:szCs w:val="22"/>
                <w:lang w:val="en-US" w:eastAsia="en-US" w:bidi="ar-SA"/>
              </w:rPr>
            </w:pPr>
            <w:r>
              <w:rPr>
                <w:rFonts w:eastAsia="ＭＳ 明朝"/>
                <w:kern w:val="0"/>
                <w:sz w:val="16"/>
                <w:szCs w:val="22"/>
                <w:lang w:val="en-US" w:eastAsia="en-US" w:bidi="ar-SA"/>
              </w:rPr>
              <w:t>Preserves forecast history and avoids old-code planning.</w:t>
            </w:r>
          </w:p>
        </w:tc>
      </w:tr>
      <w:tr>
        <w:trPr/>
        <w:tc>
          <w:tcPr>
            <w:tcW w:w="2016"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30"/>
              <w:jc w:val="start"/>
              <w:rPr>
                <w:rFonts w:eastAsia="ＭＳ 明朝"/>
                <w:kern w:val="0"/>
                <w:sz w:val="16"/>
                <w:szCs w:val="22"/>
                <w:lang w:val="en-US" w:eastAsia="en-US" w:bidi="ar-SA"/>
              </w:rPr>
            </w:pPr>
            <w:r>
              <w:rPr>
                <w:rFonts w:eastAsia="ＭＳ 明朝"/>
                <w:kern w:val="0"/>
                <w:sz w:val="16"/>
                <w:szCs w:val="22"/>
                <w:lang w:val="en-US" w:eastAsia="en-US" w:bidi="ar-SA"/>
              </w:rPr>
              <w:t>Validation Engine</w:t>
            </w:r>
          </w:p>
        </w:tc>
        <w:tc>
          <w:tcPr>
            <w:tcW w:w="5184"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30"/>
              <w:jc w:val="start"/>
              <w:rPr>
                <w:rFonts w:eastAsia="ＭＳ 明朝"/>
                <w:kern w:val="0"/>
                <w:sz w:val="16"/>
                <w:szCs w:val="22"/>
                <w:lang w:val="en-US" w:eastAsia="en-US" w:bidi="ar-SA"/>
              </w:rPr>
            </w:pPr>
            <w:r>
              <w:rPr>
                <w:rFonts w:eastAsia="ＭＳ 明朝"/>
                <w:kern w:val="0"/>
                <w:sz w:val="16"/>
                <w:szCs w:val="22"/>
                <w:lang w:val="en-US" w:eastAsia="en-US" w:bidi="ar-SA"/>
              </w:rPr>
              <w:t>Mandatory fields, code lists, combination rules, duplicate checks, BOM/routing and status checks.</w:t>
            </w:r>
          </w:p>
        </w:tc>
        <w:tc>
          <w:tcPr>
            <w:tcW w:w="3600"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30"/>
              <w:jc w:val="start"/>
              <w:rPr>
                <w:rFonts w:eastAsia="ＭＳ 明朝"/>
                <w:kern w:val="0"/>
                <w:sz w:val="16"/>
                <w:szCs w:val="22"/>
                <w:lang w:val="en-US" w:eastAsia="en-US" w:bidi="ar-SA"/>
              </w:rPr>
            </w:pPr>
            <w:r>
              <w:rPr>
                <w:rFonts w:eastAsia="ＭＳ 明朝"/>
                <w:kern w:val="0"/>
                <w:sz w:val="16"/>
                <w:szCs w:val="22"/>
                <w:lang w:val="en-US" w:eastAsia="en-US" w:bidi="ar-SA"/>
              </w:rPr>
              <w:t>Defects prevented at source.</w:t>
            </w:r>
          </w:p>
        </w:tc>
      </w:tr>
      <w:tr>
        <w:trPr/>
        <w:tc>
          <w:tcPr>
            <w:tcW w:w="2016" w:type="dxa"/>
            <w:tcBorders>
              <w:top w:val="single" w:sz="4" w:space="0" w:color="000000"/>
              <w:start w:val="single" w:sz="4" w:space="0" w:color="000000"/>
              <w:bottom w:val="single" w:sz="4" w:space="0" w:color="000000"/>
              <w:end w:val="single" w:sz="4" w:space="0" w:color="000000"/>
            </w:tcBorders>
            <w:shd w:fill="EEF5FB" w:val="clear"/>
          </w:tcPr>
          <w:p>
            <w:pPr>
              <w:pStyle w:val="Normal"/>
              <w:keepLines/>
              <w:widowControl/>
              <w:spacing w:lineRule="auto" w:line="240" w:before="0" w:after="30"/>
              <w:jc w:val="start"/>
              <w:rPr>
                <w:rFonts w:eastAsia="ＭＳ 明朝"/>
                <w:kern w:val="0"/>
                <w:sz w:val="16"/>
                <w:szCs w:val="22"/>
                <w:lang w:val="en-US" w:eastAsia="en-US" w:bidi="ar-SA"/>
              </w:rPr>
            </w:pPr>
            <w:r>
              <w:rPr>
                <w:rFonts w:eastAsia="ＭＳ 明朝"/>
                <w:kern w:val="0"/>
                <w:sz w:val="16"/>
                <w:szCs w:val="22"/>
                <w:lang w:val="en-US" w:eastAsia="en-US" w:bidi="ar-SA"/>
              </w:rPr>
              <w:t>Workflow &amp; Stewardship</w:t>
            </w:r>
          </w:p>
        </w:tc>
        <w:tc>
          <w:tcPr>
            <w:tcW w:w="5184" w:type="dxa"/>
            <w:tcBorders>
              <w:top w:val="single" w:sz="4" w:space="0" w:color="000000"/>
              <w:start w:val="single" w:sz="4" w:space="0" w:color="000000"/>
              <w:bottom w:val="single" w:sz="4" w:space="0" w:color="000000"/>
              <w:end w:val="single" w:sz="4" w:space="0" w:color="000000"/>
            </w:tcBorders>
            <w:shd w:fill="EEF5FB" w:val="clear"/>
          </w:tcPr>
          <w:p>
            <w:pPr>
              <w:pStyle w:val="Normal"/>
              <w:keepLines/>
              <w:widowControl/>
              <w:spacing w:lineRule="auto" w:line="240" w:before="0" w:after="30"/>
              <w:jc w:val="start"/>
              <w:rPr>
                <w:rFonts w:eastAsia="ＭＳ 明朝"/>
                <w:kern w:val="0"/>
                <w:sz w:val="16"/>
                <w:szCs w:val="22"/>
                <w:lang w:val="en-US" w:eastAsia="en-US" w:bidi="ar-SA"/>
              </w:rPr>
            </w:pPr>
            <w:r>
              <w:rPr>
                <w:rFonts w:eastAsia="ＭＳ 明朝"/>
                <w:kern w:val="0"/>
                <w:sz w:val="16"/>
                <w:szCs w:val="22"/>
                <w:lang w:val="en-US" w:eastAsia="en-US" w:bidi="ar-SA"/>
              </w:rPr>
              <w:t>Role-based create/change/retire approvals, reason codes, SLAs and audit trail.</w:t>
            </w:r>
          </w:p>
        </w:tc>
        <w:tc>
          <w:tcPr>
            <w:tcW w:w="3600" w:type="dxa"/>
            <w:tcBorders>
              <w:top w:val="single" w:sz="4" w:space="0" w:color="000000"/>
              <w:start w:val="single" w:sz="4" w:space="0" w:color="000000"/>
              <w:bottom w:val="single" w:sz="4" w:space="0" w:color="000000"/>
              <w:end w:val="single" w:sz="4" w:space="0" w:color="000000"/>
            </w:tcBorders>
            <w:shd w:fill="EEF5FB" w:val="clear"/>
          </w:tcPr>
          <w:p>
            <w:pPr>
              <w:pStyle w:val="Normal"/>
              <w:keepLines/>
              <w:widowControl/>
              <w:spacing w:lineRule="auto" w:line="240" w:before="0" w:after="30"/>
              <w:jc w:val="start"/>
              <w:rPr>
                <w:rFonts w:eastAsia="ＭＳ 明朝"/>
                <w:kern w:val="0"/>
                <w:sz w:val="16"/>
                <w:szCs w:val="22"/>
                <w:lang w:val="en-US" w:eastAsia="en-US" w:bidi="ar-SA"/>
              </w:rPr>
            </w:pPr>
            <w:r>
              <w:rPr>
                <w:rFonts w:eastAsia="ＭＳ 明朝"/>
                <w:kern w:val="0"/>
                <w:sz w:val="16"/>
                <w:szCs w:val="22"/>
                <w:lang w:val="en-US" w:eastAsia="en-US" w:bidi="ar-SA"/>
              </w:rPr>
              <w:t>Accountability and controlled change.</w:t>
            </w:r>
          </w:p>
        </w:tc>
      </w:tr>
      <w:tr>
        <w:trPr/>
        <w:tc>
          <w:tcPr>
            <w:tcW w:w="2016"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30"/>
              <w:jc w:val="start"/>
              <w:rPr>
                <w:rFonts w:eastAsia="ＭＳ 明朝"/>
                <w:kern w:val="0"/>
                <w:sz w:val="16"/>
                <w:szCs w:val="22"/>
                <w:lang w:val="en-US" w:eastAsia="en-US" w:bidi="ar-SA"/>
              </w:rPr>
            </w:pPr>
            <w:r>
              <w:rPr>
                <w:rFonts w:eastAsia="ＭＳ 明朝"/>
                <w:kern w:val="0"/>
                <w:sz w:val="16"/>
                <w:szCs w:val="22"/>
                <w:lang w:val="en-US" w:eastAsia="en-US" w:bidi="ar-SA"/>
              </w:rPr>
              <w:t>Integration &amp; Reconciliation</w:t>
            </w:r>
          </w:p>
        </w:tc>
        <w:tc>
          <w:tcPr>
            <w:tcW w:w="5184"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30"/>
              <w:jc w:val="start"/>
              <w:rPr>
                <w:rFonts w:eastAsia="ＭＳ 明朝"/>
                <w:kern w:val="0"/>
                <w:sz w:val="16"/>
                <w:szCs w:val="22"/>
                <w:lang w:val="en-US" w:eastAsia="en-US" w:bidi="ar-SA"/>
              </w:rPr>
            </w:pPr>
            <w:r>
              <w:rPr>
                <w:rFonts w:eastAsia="ＭＳ 明朝"/>
                <w:kern w:val="0"/>
                <w:sz w:val="16"/>
                <w:szCs w:val="22"/>
                <w:lang w:val="en-US" w:eastAsia="en-US" w:bidi="ar-SA"/>
              </w:rPr>
              <w:t>Field ownership, interface status, cross-system comparison and failure handling.</w:t>
            </w:r>
          </w:p>
        </w:tc>
        <w:tc>
          <w:tcPr>
            <w:tcW w:w="3600"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30"/>
              <w:jc w:val="start"/>
              <w:rPr>
                <w:rFonts w:eastAsia="ＭＳ 明朝"/>
                <w:kern w:val="0"/>
                <w:sz w:val="16"/>
                <w:szCs w:val="22"/>
                <w:lang w:val="en-US" w:eastAsia="en-US" w:bidi="ar-SA"/>
              </w:rPr>
            </w:pPr>
            <w:r>
              <w:rPr>
                <w:rFonts w:eastAsia="ＭＳ 明朝"/>
                <w:kern w:val="0"/>
                <w:sz w:val="16"/>
                <w:szCs w:val="22"/>
                <w:lang w:val="en-US" w:eastAsia="en-US" w:bidi="ar-SA"/>
              </w:rPr>
              <w:t>Consistent master data across systems.</w:t>
            </w:r>
          </w:p>
        </w:tc>
      </w:tr>
      <w:tr>
        <w:trPr/>
        <w:tc>
          <w:tcPr>
            <w:tcW w:w="2016" w:type="dxa"/>
            <w:tcBorders>
              <w:top w:val="single" w:sz="4" w:space="0" w:color="000000"/>
              <w:start w:val="single" w:sz="4" w:space="0" w:color="000000"/>
              <w:bottom w:val="single" w:sz="4" w:space="0" w:color="000000"/>
              <w:end w:val="single" w:sz="4" w:space="0" w:color="000000"/>
            </w:tcBorders>
            <w:shd w:fill="EEF5FB" w:val="clear"/>
          </w:tcPr>
          <w:p>
            <w:pPr>
              <w:pStyle w:val="Normal"/>
              <w:keepLines/>
              <w:widowControl/>
              <w:spacing w:lineRule="auto" w:line="240" w:before="0" w:after="30"/>
              <w:jc w:val="start"/>
              <w:rPr>
                <w:rFonts w:eastAsia="ＭＳ 明朝"/>
                <w:kern w:val="0"/>
                <w:sz w:val="16"/>
                <w:szCs w:val="22"/>
                <w:lang w:val="en-US" w:eastAsia="en-US" w:bidi="ar-SA"/>
              </w:rPr>
            </w:pPr>
            <w:r>
              <w:rPr>
                <w:rFonts w:eastAsia="ＭＳ 明朝"/>
                <w:kern w:val="0"/>
                <w:sz w:val="16"/>
                <w:szCs w:val="22"/>
                <w:lang w:val="en-US" w:eastAsia="en-US" w:bidi="ar-SA"/>
              </w:rPr>
              <w:t>MDM Control Tower</w:t>
            </w:r>
          </w:p>
        </w:tc>
        <w:tc>
          <w:tcPr>
            <w:tcW w:w="5184" w:type="dxa"/>
            <w:tcBorders>
              <w:top w:val="single" w:sz="4" w:space="0" w:color="000000"/>
              <w:start w:val="single" w:sz="4" w:space="0" w:color="000000"/>
              <w:bottom w:val="single" w:sz="4" w:space="0" w:color="000000"/>
              <w:end w:val="single" w:sz="4" w:space="0" w:color="000000"/>
            </w:tcBorders>
            <w:shd w:fill="EEF5FB" w:val="clear"/>
          </w:tcPr>
          <w:p>
            <w:pPr>
              <w:pStyle w:val="Normal"/>
              <w:keepLines/>
              <w:widowControl/>
              <w:spacing w:lineRule="auto" w:line="240" w:before="0" w:after="30"/>
              <w:jc w:val="start"/>
              <w:rPr>
                <w:rFonts w:eastAsia="ＭＳ 明朝"/>
                <w:kern w:val="0"/>
                <w:sz w:val="16"/>
                <w:szCs w:val="22"/>
                <w:lang w:val="en-US" w:eastAsia="en-US" w:bidi="ar-SA"/>
              </w:rPr>
            </w:pPr>
            <w:r>
              <w:rPr>
                <w:rFonts w:eastAsia="ＭＳ 明朝"/>
                <w:kern w:val="0"/>
                <w:sz w:val="16"/>
                <w:szCs w:val="22"/>
                <w:lang w:val="en-US" w:eastAsia="en-US" w:bidi="ar-SA"/>
              </w:rPr>
              <w:t>Quality KPIs, alerts, ageing, root-cause and action closure.</w:t>
            </w:r>
          </w:p>
        </w:tc>
        <w:tc>
          <w:tcPr>
            <w:tcW w:w="3600" w:type="dxa"/>
            <w:tcBorders>
              <w:top w:val="single" w:sz="4" w:space="0" w:color="000000"/>
              <w:start w:val="single" w:sz="4" w:space="0" w:color="000000"/>
              <w:bottom w:val="single" w:sz="4" w:space="0" w:color="000000"/>
              <w:end w:val="single" w:sz="4" w:space="0" w:color="000000"/>
            </w:tcBorders>
            <w:shd w:fill="EEF5FB" w:val="clear"/>
          </w:tcPr>
          <w:p>
            <w:pPr>
              <w:pStyle w:val="Normal"/>
              <w:keepLines/>
              <w:widowControl/>
              <w:spacing w:lineRule="auto" w:line="240" w:before="0" w:after="30"/>
              <w:jc w:val="start"/>
              <w:rPr>
                <w:rFonts w:eastAsia="ＭＳ 明朝"/>
                <w:kern w:val="0"/>
                <w:sz w:val="16"/>
                <w:szCs w:val="22"/>
                <w:lang w:val="en-US" w:eastAsia="en-US" w:bidi="ar-SA"/>
              </w:rPr>
            </w:pPr>
            <w:r>
              <w:rPr>
                <w:rFonts w:eastAsia="ＭＳ 明朝"/>
                <w:kern w:val="0"/>
                <w:sz w:val="16"/>
                <w:szCs w:val="22"/>
                <w:lang w:val="en-US" w:eastAsia="en-US" w:bidi="ar-SA"/>
              </w:rPr>
              <w:t>Management visibility and continuous improvement.</w:t>
            </w:r>
          </w:p>
        </w:tc>
      </w:tr>
    </w:tbl>
    <w:p>
      <w:pPr>
        <w:pStyle w:val="Normal"/>
        <w:widowControl/>
        <w:spacing w:before="0" w:after="20"/>
        <w:rPr/>
      </w:pPr>
      <w:r>
        <w:rPr/>
      </w:r>
    </w:p>
    <w:p>
      <w:pPr>
        <w:pStyle w:val="Heading2"/>
        <w:rPr/>
      </w:pPr>
      <w:r>
        <w:rPr/>
        <w:t>1.3 FSD Completion Status</w:t>
      </w:r>
    </w:p>
    <w:p>
      <w:pPr>
        <w:pStyle w:val="Normal"/>
        <w:rPr/>
      </w:pPr>
      <w:r>
        <w:rPr/>
        <w:t>The functional design package is complete for business validation. Completion means that the required solution behavior, personas, workflows, UX requirements, user stories, data needs and governance controls are documented. Open business-rule questions and formal stakeholder approval remain pending and are controlled through Sections 12 and 13.</w:t>
      </w:r>
    </w:p>
    <w:tbl>
      <w:tblPr>
        <w:tblW w:w="10656" w:type="dxa"/>
        <w:jc w:val="start"/>
        <w:tblInd w:w="-113" w:type="dxa"/>
        <w:tblLayout w:type="fixed"/>
        <w:tblCellMar>
          <w:top w:w="0" w:type="dxa"/>
          <w:start w:w="108" w:type="dxa"/>
          <w:bottom w:w="0" w:type="dxa"/>
          <w:end w:w="108" w:type="dxa"/>
        </w:tblCellMar>
      </w:tblPr>
      <w:tblGrid>
        <w:gridCol w:w="3552"/>
        <w:gridCol w:w="3552"/>
        <w:gridCol w:w="3552"/>
      </w:tblGrid>
      <w:tr>
        <w:trPr>
          <w:tblHeader w:val="true"/>
        </w:trPr>
        <w:tc>
          <w:tcPr>
            <w:tcW w:w="3552" w:type="dxa"/>
            <w:tcBorders>
              <w:top w:val="single" w:sz="4" w:space="0" w:color="000000"/>
              <w:start w:val="single" w:sz="4" w:space="0" w:color="000000"/>
              <w:bottom w:val="single" w:sz="4" w:space="0" w:color="000000"/>
              <w:end w:val="single" w:sz="4" w:space="0" w:color="000000"/>
            </w:tcBorders>
            <w:shd w:fill="0B1F33" w:val="clear"/>
            <w:vAlign w:val="center"/>
          </w:tcPr>
          <w:p>
            <w:pPr>
              <w:pStyle w:val="Normal"/>
              <w:widowControl/>
              <w:spacing w:lineRule="auto" w:line="240" w:before="0" w:after="4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FSD Component</w:t>
            </w:r>
          </w:p>
        </w:tc>
        <w:tc>
          <w:tcPr>
            <w:tcW w:w="3552" w:type="dxa"/>
            <w:tcBorders>
              <w:top w:val="single" w:sz="4" w:space="0" w:color="000000"/>
              <w:start w:val="single" w:sz="4" w:space="0" w:color="000000"/>
              <w:bottom w:val="single" w:sz="4" w:space="0" w:color="000000"/>
              <w:end w:val="single" w:sz="4" w:space="0" w:color="000000"/>
            </w:tcBorders>
            <w:shd w:fill="0B1F33" w:val="clear"/>
            <w:vAlign w:val="center"/>
          </w:tcPr>
          <w:p>
            <w:pPr>
              <w:pStyle w:val="Normal"/>
              <w:widowControl/>
              <w:spacing w:lineRule="auto" w:line="240" w:before="0" w:after="4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Status</w:t>
            </w:r>
          </w:p>
        </w:tc>
        <w:tc>
          <w:tcPr>
            <w:tcW w:w="3552" w:type="dxa"/>
            <w:tcBorders>
              <w:top w:val="single" w:sz="4" w:space="0" w:color="000000"/>
              <w:start w:val="single" w:sz="4" w:space="0" w:color="000000"/>
              <w:bottom w:val="single" w:sz="4" w:space="0" w:color="000000"/>
              <w:end w:val="single" w:sz="4" w:space="0" w:color="000000"/>
            </w:tcBorders>
            <w:shd w:fill="0B1F33" w:val="clear"/>
            <w:vAlign w:val="center"/>
          </w:tcPr>
          <w:p>
            <w:pPr>
              <w:pStyle w:val="Normal"/>
              <w:widowControl/>
              <w:spacing w:lineRule="auto" w:line="240" w:before="0" w:after="4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Completion Evidence</w:t>
            </w:r>
          </w:p>
        </w:tc>
      </w:tr>
      <w:tr>
        <w:trPr/>
        <w:tc>
          <w:tcPr>
            <w:tcW w:w="3552"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Official MOM incorporation</w:t>
            </w:r>
          </w:p>
        </w:tc>
        <w:tc>
          <w:tcPr>
            <w:tcW w:w="3552"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Complete</w:t>
            </w:r>
          </w:p>
        </w:tc>
        <w:tc>
          <w:tcPr>
            <w:tcW w:w="3552"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All ten official MOM points translated into functional requirements.</w:t>
            </w:r>
          </w:p>
        </w:tc>
      </w:tr>
      <w:tr>
        <w:trPr/>
        <w:tc>
          <w:tcPr>
            <w:tcW w:w="355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17-issue MDM catalogue</w:t>
            </w:r>
          </w:p>
        </w:tc>
        <w:tc>
          <w:tcPr>
            <w:tcW w:w="355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Complete</w:t>
            </w:r>
          </w:p>
        </w:tc>
        <w:tc>
          <w:tcPr>
            <w:tcW w:w="355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All issues retained with focus, embedded-control or catalogue-only treatment.</w:t>
            </w:r>
          </w:p>
        </w:tc>
      </w:tr>
      <w:tr>
        <w:trPr/>
        <w:tc>
          <w:tcPr>
            <w:tcW w:w="3552"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Five detailed solution themes</w:t>
            </w:r>
          </w:p>
        </w:tc>
        <w:tc>
          <w:tcPr>
            <w:tcW w:w="3552"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Complete</w:t>
            </w:r>
          </w:p>
        </w:tc>
        <w:tc>
          <w:tcPr>
            <w:tcW w:w="3552"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Business problem, capability, workflow, control, ownership and acceptance documented.</w:t>
            </w:r>
          </w:p>
        </w:tc>
      </w:tr>
      <w:tr>
        <w:trPr/>
        <w:tc>
          <w:tcPr>
            <w:tcW w:w="355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Personas and operating model</w:t>
            </w:r>
          </w:p>
        </w:tc>
        <w:tc>
          <w:tcPr>
            <w:tcW w:w="355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Complete</w:t>
            </w:r>
          </w:p>
        </w:tc>
        <w:tc>
          <w:tcPr>
            <w:tcW w:w="355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Cross-functional responsibilities and start-to-finish journey documented.</w:t>
            </w:r>
          </w:p>
        </w:tc>
      </w:tr>
      <w:tr>
        <w:trPr/>
        <w:tc>
          <w:tcPr>
            <w:tcW w:w="3552"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UX requirements</w:t>
            </w:r>
          </w:p>
        </w:tc>
        <w:tc>
          <w:tcPr>
            <w:tcW w:w="3552"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Complete</w:t>
            </w:r>
          </w:p>
        </w:tc>
        <w:tc>
          <w:tcPr>
            <w:tcW w:w="3552"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Ten screens linked to personas, required information and user decisions.</w:t>
            </w:r>
          </w:p>
        </w:tc>
      </w:tr>
      <w:tr>
        <w:trPr/>
        <w:tc>
          <w:tcPr>
            <w:tcW w:w="355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Workflow requirements</w:t>
            </w:r>
          </w:p>
        </w:tc>
        <w:tc>
          <w:tcPr>
            <w:tcW w:w="355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Complete</w:t>
            </w:r>
          </w:p>
        </w:tc>
        <w:tc>
          <w:tcPr>
            <w:tcW w:w="355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Nine governed workflows and common controls documented.</w:t>
            </w:r>
          </w:p>
        </w:tc>
      </w:tr>
      <w:tr>
        <w:trPr/>
        <w:tc>
          <w:tcPr>
            <w:tcW w:w="3552"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Connected user stories</w:t>
            </w:r>
          </w:p>
        </w:tc>
        <w:tc>
          <w:tcPr>
            <w:tcW w:w="3552"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Complete</w:t>
            </w:r>
          </w:p>
        </w:tc>
        <w:tc>
          <w:tcPr>
            <w:tcW w:w="3552"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Fourteen stories linked to themes, UX screens and workflows.</w:t>
            </w:r>
          </w:p>
        </w:tc>
      </w:tr>
      <w:tr>
        <w:trPr/>
        <w:tc>
          <w:tcPr>
            <w:tcW w:w="355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Functional data entities</w:t>
            </w:r>
          </w:p>
        </w:tc>
        <w:tc>
          <w:tcPr>
            <w:tcW w:w="355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Complete</w:t>
            </w:r>
          </w:p>
        </w:tc>
        <w:tc>
          <w:tcPr>
            <w:tcW w:w="355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Twenty-one functional entities and minimum information needs documented.</w:t>
            </w:r>
          </w:p>
        </w:tc>
      </w:tr>
      <w:tr>
        <w:trPr/>
        <w:tc>
          <w:tcPr>
            <w:tcW w:w="3552"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Validation and audit framework</w:t>
            </w:r>
          </w:p>
        </w:tc>
        <w:tc>
          <w:tcPr>
            <w:tcW w:w="3552"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Complete</w:t>
            </w:r>
          </w:p>
        </w:tc>
        <w:tc>
          <w:tcPr>
            <w:tcW w:w="3552"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Preventive, detective, audit and governance controls documented.</w:t>
            </w:r>
          </w:p>
        </w:tc>
      </w:tr>
      <w:tr>
        <w:trPr/>
        <w:tc>
          <w:tcPr>
            <w:tcW w:w="355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Open-question register</w:t>
            </w:r>
          </w:p>
        </w:tc>
        <w:tc>
          <w:tcPr>
            <w:tcW w:w="355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Complete as register</w:t>
            </w:r>
          </w:p>
        </w:tc>
        <w:tc>
          <w:tcPr>
            <w:tcW w:w="355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Questions, required respondents and reasons are documented; answers remain pending.</w:t>
            </w:r>
          </w:p>
        </w:tc>
      </w:tr>
      <w:tr>
        <w:trPr/>
        <w:tc>
          <w:tcPr>
            <w:tcW w:w="3552"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Business validation</w:t>
            </w:r>
          </w:p>
        </w:tc>
        <w:tc>
          <w:tcPr>
            <w:tcW w:w="3552"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Pending</w:t>
            </w:r>
          </w:p>
        </w:tc>
        <w:tc>
          <w:tcPr>
            <w:tcW w:w="3552"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Requires PSP, Marketing, Planning, PPC, MDM, Finance/Pricing and IT inputs.</w:t>
            </w:r>
          </w:p>
        </w:tc>
      </w:tr>
      <w:tr>
        <w:trPr/>
        <w:tc>
          <w:tcPr>
            <w:tcW w:w="355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Final sign-off</w:t>
            </w:r>
          </w:p>
        </w:tc>
        <w:tc>
          <w:tcPr>
            <w:tcW w:w="355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Pending</w:t>
            </w:r>
          </w:p>
        </w:tc>
        <w:tc>
          <w:tcPr>
            <w:tcW w:w="355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Requires agreed reviewers to accept the design after question closure.</w:t>
            </w:r>
          </w:p>
        </w:tc>
      </w:tr>
    </w:tbl>
    <w:p>
      <w:pPr>
        <w:pStyle w:val="Heading1"/>
        <w:keepNext w:val="true"/>
        <w:widowControl/>
        <w:rPr/>
      </w:pPr>
      <w:r>
        <w:rPr/>
        <w:t>2. Scope, Boundaries and Design Principles</w:t>
      </w:r>
    </w:p>
    <w:p>
      <w:pPr>
        <w:pStyle w:val="Heading2"/>
        <w:keepNext w:val="true"/>
        <w:widowControl/>
        <w:rPr/>
      </w:pPr>
      <w:r>
        <w:rPr/>
        <w:t>2.1 In Scope</w:t>
      </w:r>
    </w:p>
    <w:p>
      <w:pPr>
        <w:pStyle w:val="ListBullet"/>
        <w:widowControl/>
        <w:numPr>
          <w:ilvl w:val="0"/>
          <w:numId w:val="2"/>
        </w:numPr>
        <w:spacing w:before="0" w:after="40"/>
        <w:contextualSpacing/>
        <w:rPr/>
      </w:pPr>
      <w:r>
        <w:rPr/>
        <w:t>FERT creation and change governance</w:t>
      </w:r>
    </w:p>
    <w:p>
      <w:pPr>
        <w:pStyle w:val="ListBullet"/>
        <w:widowControl/>
        <w:numPr>
          <w:ilvl w:val="0"/>
          <w:numId w:val="2"/>
        </w:numPr>
        <w:spacing w:before="0" w:after="40"/>
        <w:contextualSpacing/>
        <w:rPr/>
      </w:pPr>
      <w:r>
        <w:rPr/>
        <w:t>New FERT versus ECN decision policy</w:t>
      </w:r>
    </w:p>
    <w:p>
      <w:pPr>
        <w:pStyle w:val="ListBullet"/>
        <w:widowControl/>
        <w:numPr>
          <w:ilvl w:val="0"/>
          <w:numId w:val="2"/>
        </w:numPr>
        <w:spacing w:before="0" w:after="40"/>
        <w:contextualSpacing/>
        <w:rPr/>
      </w:pPr>
      <w:r>
        <w:rPr/>
        <w:t>Golden FERT master data model</w:t>
      </w:r>
    </w:p>
    <w:p>
      <w:pPr>
        <w:pStyle w:val="ListBullet"/>
        <w:widowControl/>
        <w:numPr>
          <w:ilvl w:val="0"/>
          <w:numId w:val="2"/>
        </w:numPr>
        <w:spacing w:before="0" w:after="40"/>
        <w:contextualSpacing/>
        <w:rPr/>
      </w:pPr>
      <w:r>
        <w:rPr/>
        <w:t>Configurable product hierarchy and planning family</w:t>
      </w:r>
    </w:p>
    <w:p>
      <w:pPr>
        <w:pStyle w:val="ListBullet"/>
        <w:widowControl/>
        <w:numPr>
          <w:ilvl w:val="0"/>
          <w:numId w:val="2"/>
        </w:numPr>
        <w:spacing w:before="0" w:after="40"/>
        <w:contextualSpacing/>
        <w:rPr/>
      </w:pPr>
      <w:r>
        <w:rPr/>
        <w:t>Planning characteristics by vertical</w:t>
      </w:r>
    </w:p>
    <w:p>
      <w:pPr>
        <w:pStyle w:val="ListBullet"/>
        <w:widowControl/>
        <w:numPr>
          <w:ilvl w:val="0"/>
          <w:numId w:val="2"/>
        </w:numPr>
        <w:spacing w:before="0" w:after="40"/>
        <w:contextualSpacing/>
        <w:rPr/>
      </w:pPr>
      <w:r>
        <w:rPr/>
        <w:t>Lifecycle and predecessor-successor lineage</w:t>
      </w:r>
    </w:p>
    <w:p>
      <w:pPr>
        <w:pStyle w:val="ListBullet"/>
        <w:widowControl/>
        <w:numPr>
          <w:ilvl w:val="0"/>
          <w:numId w:val="2"/>
        </w:numPr>
        <w:spacing w:before="0" w:after="40"/>
        <w:contextualSpacing/>
        <w:rPr/>
      </w:pPr>
      <w:r>
        <w:rPr/>
        <w:t>Manual mapping process digitization</w:t>
      </w:r>
    </w:p>
    <w:p>
      <w:pPr>
        <w:pStyle w:val="ListBullet"/>
        <w:widowControl/>
        <w:numPr>
          <w:ilvl w:val="0"/>
          <w:numId w:val="2"/>
        </w:numPr>
        <w:spacing w:before="0" w:after="40"/>
        <w:contextualSpacing/>
        <w:rPr/>
      </w:pPr>
      <w:r>
        <w:rPr/>
        <w:t>Duplicate and similarity controls</w:t>
      </w:r>
    </w:p>
    <w:p>
      <w:pPr>
        <w:pStyle w:val="ListBullet"/>
        <w:widowControl/>
        <w:numPr>
          <w:ilvl w:val="0"/>
          <w:numId w:val="2"/>
        </w:numPr>
        <w:spacing w:before="0" w:after="40"/>
        <w:contextualSpacing/>
        <w:rPr/>
      </w:pPr>
      <w:r>
        <w:rPr/>
        <w:t>Planning-ready certification</w:t>
      </w:r>
    </w:p>
    <w:p>
      <w:pPr>
        <w:pStyle w:val="ListBullet"/>
        <w:widowControl/>
        <w:numPr>
          <w:ilvl w:val="0"/>
          <w:numId w:val="2"/>
        </w:numPr>
        <w:spacing w:before="0" w:after="40"/>
        <w:contextualSpacing/>
        <w:rPr/>
      </w:pPr>
      <w:r>
        <w:rPr/>
        <w:t>Workflow, roles, RACI and audit trail</w:t>
      </w:r>
    </w:p>
    <w:p>
      <w:pPr>
        <w:pStyle w:val="ListBullet"/>
        <w:widowControl/>
        <w:numPr>
          <w:ilvl w:val="0"/>
          <w:numId w:val="2"/>
        </w:numPr>
        <w:spacing w:before="0" w:after="40"/>
        <w:contextualSpacing/>
        <w:rPr/>
      </w:pPr>
      <w:r>
        <w:rPr/>
        <w:t>IDM/SAP/BW/DVM/VECVplan integration controls</w:t>
      </w:r>
    </w:p>
    <w:p>
      <w:pPr>
        <w:pStyle w:val="ListBullet"/>
        <w:widowControl/>
        <w:numPr>
          <w:ilvl w:val="0"/>
          <w:numId w:val="2"/>
        </w:numPr>
        <w:spacing w:before="0" w:after="40"/>
        <w:contextualSpacing/>
        <w:rPr/>
      </w:pPr>
      <w:r>
        <w:rPr/>
        <w:t>Audit checksheet, scorecard, fix backlog, KPIs and alerts</w:t>
      </w:r>
    </w:p>
    <w:p>
      <w:pPr>
        <w:pStyle w:val="Heading2"/>
        <w:keepNext w:val="true"/>
        <w:widowControl/>
        <w:rPr/>
      </w:pPr>
      <w:r>
        <w:rPr/>
        <w:t>2.2 Functional Design Boundaries</w:t>
      </w:r>
    </w:p>
    <w:p>
      <w:pPr>
        <w:pStyle w:val="ListBullet"/>
        <w:widowControl/>
        <w:numPr>
          <w:ilvl w:val="0"/>
          <w:numId w:val="2"/>
        </w:numPr>
        <w:spacing w:before="0" w:after="40"/>
        <w:contextualSpacing/>
        <w:rPr/>
      </w:pPr>
      <w:r>
        <w:rPr/>
        <w:t>Physical mass cleansing of the full legacy population</w:t>
      </w:r>
    </w:p>
    <w:p>
      <w:pPr>
        <w:pStyle w:val="ListBullet"/>
        <w:widowControl/>
        <w:numPr>
          <w:ilvl w:val="0"/>
          <w:numId w:val="2"/>
        </w:numPr>
        <w:spacing w:before="0" w:after="40"/>
        <w:contextualSpacing/>
        <w:rPr/>
      </w:pPr>
      <w:r>
        <w:rPr/>
        <w:t>Replacement of IDM/PLM or SAP material creation systems</w:t>
      </w:r>
    </w:p>
    <w:p>
      <w:pPr>
        <w:pStyle w:val="ListBullet"/>
        <w:widowControl/>
        <w:numPr>
          <w:ilvl w:val="0"/>
          <w:numId w:val="2"/>
        </w:numPr>
        <w:spacing w:before="0" w:after="40"/>
        <w:contextualSpacing/>
        <w:rPr/>
      </w:pPr>
      <w:r>
        <w:rPr/>
        <w:t>AI-based duplicate detection beyond basic configurable similarity scoring</w:t>
      </w:r>
    </w:p>
    <w:p>
      <w:pPr>
        <w:pStyle w:val="ListBullet"/>
        <w:widowControl/>
        <w:numPr>
          <w:ilvl w:val="0"/>
          <w:numId w:val="2"/>
        </w:numPr>
        <w:spacing w:before="0" w:after="40"/>
        <w:contextualSpacing/>
        <w:rPr/>
      </w:pPr>
      <w:r>
        <w:rPr/>
        <w:t>Automatic ECN extraction where source APIs are unavailable</w:t>
      </w:r>
    </w:p>
    <w:p>
      <w:pPr>
        <w:pStyle w:val="ListBullet"/>
        <w:widowControl/>
        <w:numPr>
          <w:ilvl w:val="0"/>
          <w:numId w:val="2"/>
        </w:numPr>
        <w:spacing w:before="0" w:after="40"/>
        <w:contextualSpacing/>
        <w:rPr/>
      </w:pPr>
      <w:r>
        <w:rPr/>
        <w:t>Automated forecast transfer execution before lineage rules are business-approved</w:t>
      </w:r>
    </w:p>
    <w:p>
      <w:pPr>
        <w:pStyle w:val="ListBullet"/>
        <w:widowControl/>
        <w:numPr>
          <w:ilvl w:val="0"/>
          <w:numId w:val="2"/>
        </w:numPr>
        <w:spacing w:before="0" w:after="40"/>
        <w:contextualSpacing/>
        <w:rPr/>
      </w:pPr>
      <w:r>
        <w:rPr/>
        <w:t>BOM engineering authoring, production scheduling or procurement execution</w:t>
      </w:r>
    </w:p>
    <w:p>
      <w:pPr>
        <w:pStyle w:val="ListBullet"/>
        <w:widowControl/>
        <w:numPr>
          <w:ilvl w:val="0"/>
          <w:numId w:val="2"/>
        </w:numPr>
        <w:spacing w:before="0" w:after="40"/>
        <w:contextualSpacing/>
        <w:rPr/>
      </w:pPr>
      <w:r>
        <w:rPr/>
        <w:t>Technical build details, API contracts and database schemas, which belong in the Technical Specification</w:t>
      </w:r>
    </w:p>
    <w:p>
      <w:pPr>
        <w:pStyle w:val="Heading2"/>
        <w:keepNext w:val="true"/>
        <w:widowControl/>
        <w:rPr/>
      </w:pPr>
      <w:r>
        <w:rPr/>
        <w:t>2.3 Governing Design Principles</w:t>
      </w:r>
    </w:p>
    <w:tbl>
      <w:tblPr>
        <w:tblW w:w="10800" w:type="dxa"/>
        <w:jc w:val="center"/>
        <w:tblInd w:w="0" w:type="dxa"/>
        <w:tblLayout w:type="fixed"/>
        <w:tblCellMar>
          <w:top w:w="60" w:type="dxa"/>
          <w:start w:w="70" w:type="dxa"/>
          <w:bottom w:w="60" w:type="dxa"/>
          <w:end w:w="70" w:type="dxa"/>
        </w:tblCellMar>
      </w:tblPr>
      <w:tblGrid>
        <w:gridCol w:w="1728"/>
        <w:gridCol w:w="5327"/>
        <w:gridCol w:w="3745"/>
      </w:tblGrid>
      <w:tr>
        <w:trPr>
          <w:tblHeader w:val="true"/>
        </w:trPr>
        <w:tc>
          <w:tcPr>
            <w:tcW w:w="1728" w:type="dxa"/>
            <w:tcBorders>
              <w:top w:val="single" w:sz="4" w:space="0" w:color="000000"/>
              <w:start w:val="single" w:sz="4" w:space="0" w:color="000000"/>
              <w:bottom w:val="single" w:sz="4" w:space="0" w:color="000000"/>
              <w:end w:val="single" w:sz="4" w:space="0" w:color="000000"/>
            </w:tcBorders>
            <w:shd w:fill="0C1E2D" w:val="clear"/>
            <w:vAlign w:val="center"/>
          </w:tcPr>
          <w:p>
            <w:pPr>
              <w:pStyle w:val="Normal"/>
              <w:widowControl/>
              <w:spacing w:lineRule="auto" w:line="240" w:before="0" w:after="80"/>
              <w:jc w:val="start"/>
              <w:rPr>
                <w:rFonts w:eastAsia="ＭＳ 明朝"/>
                <w:b/>
                <w:color w:val="FFFFFF"/>
                <w:kern w:val="0"/>
                <w:sz w:val="16"/>
                <w:szCs w:val="22"/>
                <w:lang w:val="en-US" w:eastAsia="en-US" w:bidi="ar-SA"/>
              </w:rPr>
            </w:pPr>
            <w:r>
              <w:rPr>
                <w:rFonts w:eastAsia="ＭＳ 明朝"/>
                <w:b/>
                <w:color w:val="FFFFFF"/>
                <w:kern w:val="0"/>
                <w:sz w:val="16"/>
                <w:szCs w:val="22"/>
                <w:lang w:val="en-US" w:eastAsia="en-US" w:bidi="ar-SA"/>
              </w:rPr>
              <w:t>Principle</w:t>
            </w:r>
          </w:p>
        </w:tc>
        <w:tc>
          <w:tcPr>
            <w:tcW w:w="5327" w:type="dxa"/>
            <w:tcBorders>
              <w:top w:val="single" w:sz="4" w:space="0" w:color="000000"/>
              <w:start w:val="single" w:sz="4" w:space="0" w:color="000000"/>
              <w:bottom w:val="single" w:sz="4" w:space="0" w:color="000000"/>
              <w:end w:val="single" w:sz="4" w:space="0" w:color="000000"/>
            </w:tcBorders>
            <w:shd w:fill="0C1E2D" w:val="clear"/>
            <w:vAlign w:val="center"/>
          </w:tcPr>
          <w:p>
            <w:pPr>
              <w:pStyle w:val="Normal"/>
              <w:widowControl/>
              <w:spacing w:lineRule="auto" w:line="240" w:before="0" w:after="80"/>
              <w:jc w:val="start"/>
              <w:rPr>
                <w:rFonts w:eastAsia="ＭＳ 明朝"/>
                <w:b/>
                <w:color w:val="FFFFFF"/>
                <w:kern w:val="0"/>
                <w:sz w:val="16"/>
                <w:szCs w:val="22"/>
                <w:lang w:val="en-US" w:eastAsia="en-US" w:bidi="ar-SA"/>
              </w:rPr>
            </w:pPr>
            <w:r>
              <w:rPr>
                <w:rFonts w:eastAsia="ＭＳ 明朝"/>
                <w:b/>
                <w:color w:val="FFFFFF"/>
                <w:kern w:val="0"/>
                <w:sz w:val="16"/>
                <w:szCs w:val="22"/>
                <w:lang w:val="en-US" w:eastAsia="en-US" w:bidi="ar-SA"/>
              </w:rPr>
              <w:t>Meaning</w:t>
            </w:r>
          </w:p>
        </w:tc>
        <w:tc>
          <w:tcPr>
            <w:tcW w:w="3745" w:type="dxa"/>
            <w:tcBorders>
              <w:top w:val="single" w:sz="4" w:space="0" w:color="000000"/>
              <w:start w:val="single" w:sz="4" w:space="0" w:color="000000"/>
              <w:bottom w:val="single" w:sz="4" w:space="0" w:color="000000"/>
              <w:end w:val="single" w:sz="4" w:space="0" w:color="000000"/>
            </w:tcBorders>
            <w:shd w:fill="0C1E2D" w:val="clear"/>
            <w:vAlign w:val="center"/>
          </w:tcPr>
          <w:p>
            <w:pPr>
              <w:pStyle w:val="Normal"/>
              <w:widowControl/>
              <w:spacing w:lineRule="auto" w:line="240" w:before="0" w:after="80"/>
              <w:jc w:val="start"/>
              <w:rPr>
                <w:rFonts w:eastAsia="ＭＳ 明朝"/>
                <w:b/>
                <w:color w:val="FFFFFF"/>
                <w:kern w:val="0"/>
                <w:sz w:val="16"/>
                <w:szCs w:val="22"/>
                <w:lang w:val="en-US" w:eastAsia="en-US" w:bidi="ar-SA"/>
              </w:rPr>
            </w:pPr>
            <w:r>
              <w:rPr>
                <w:rFonts w:eastAsia="ＭＳ 明朝"/>
                <w:b/>
                <w:color w:val="FFFFFF"/>
                <w:kern w:val="0"/>
                <w:sz w:val="16"/>
                <w:szCs w:val="22"/>
                <w:lang w:val="en-US" w:eastAsia="en-US" w:bidi="ar-SA"/>
              </w:rPr>
              <w:t>Control</w:t>
            </w:r>
          </w:p>
        </w:tc>
      </w:tr>
      <w:tr>
        <w:trPr/>
        <w:tc>
          <w:tcPr>
            <w:tcW w:w="1728"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30"/>
              <w:jc w:val="start"/>
              <w:rPr>
                <w:rFonts w:eastAsia="ＭＳ 明朝"/>
                <w:kern w:val="0"/>
                <w:sz w:val="16"/>
                <w:szCs w:val="22"/>
                <w:lang w:val="en-US" w:eastAsia="en-US" w:bidi="ar-SA"/>
              </w:rPr>
            </w:pPr>
            <w:r>
              <w:rPr>
                <w:rFonts w:eastAsia="ＭＳ 明朝"/>
                <w:kern w:val="0"/>
                <w:sz w:val="16"/>
                <w:szCs w:val="22"/>
                <w:lang w:val="en-US" w:eastAsia="en-US" w:bidi="ar-SA"/>
              </w:rPr>
              <w:t>Unique</w:t>
            </w:r>
          </w:p>
        </w:tc>
        <w:tc>
          <w:tcPr>
            <w:tcW w:w="5327"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30"/>
              <w:jc w:val="start"/>
              <w:rPr>
                <w:rFonts w:eastAsia="ＭＳ 明朝"/>
                <w:kern w:val="0"/>
                <w:sz w:val="16"/>
                <w:szCs w:val="22"/>
                <w:lang w:val="en-US" w:eastAsia="en-US" w:bidi="ar-SA"/>
              </w:rPr>
            </w:pPr>
            <w:r>
              <w:rPr>
                <w:rFonts w:eastAsia="ＭＳ 明朝"/>
                <w:kern w:val="0"/>
                <w:sz w:val="16"/>
                <w:szCs w:val="22"/>
                <w:lang w:val="en-US" w:eastAsia="en-US" w:bidi="ar-SA"/>
              </w:rPr>
              <w:t>One planning identity should not exist under multiple uncontrolled FERTs.</w:t>
            </w:r>
          </w:p>
        </w:tc>
        <w:tc>
          <w:tcPr>
            <w:tcW w:w="3745"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30"/>
              <w:jc w:val="start"/>
              <w:rPr>
                <w:rFonts w:eastAsia="ＭＳ 明朝"/>
                <w:kern w:val="0"/>
                <w:sz w:val="16"/>
                <w:szCs w:val="22"/>
                <w:lang w:val="en-US" w:eastAsia="en-US" w:bidi="ar-SA"/>
              </w:rPr>
            </w:pPr>
            <w:r>
              <w:rPr>
                <w:rFonts w:eastAsia="ＭＳ 明朝"/>
                <w:kern w:val="0"/>
                <w:sz w:val="16"/>
                <w:szCs w:val="22"/>
                <w:lang w:val="en-US" w:eastAsia="en-US" w:bidi="ar-SA"/>
              </w:rPr>
              <w:t>Duplicate/similarity check and approval override.</w:t>
            </w:r>
          </w:p>
        </w:tc>
      </w:tr>
      <w:tr>
        <w:trPr/>
        <w:tc>
          <w:tcPr>
            <w:tcW w:w="1728" w:type="dxa"/>
            <w:tcBorders>
              <w:top w:val="single" w:sz="4" w:space="0" w:color="000000"/>
              <w:start w:val="single" w:sz="4" w:space="0" w:color="000000"/>
              <w:bottom w:val="single" w:sz="4" w:space="0" w:color="000000"/>
              <w:end w:val="single" w:sz="4" w:space="0" w:color="000000"/>
            </w:tcBorders>
            <w:shd w:fill="EEF5FB" w:val="clear"/>
          </w:tcPr>
          <w:p>
            <w:pPr>
              <w:pStyle w:val="Normal"/>
              <w:keepLines/>
              <w:widowControl/>
              <w:spacing w:lineRule="auto" w:line="240" w:before="0" w:after="30"/>
              <w:jc w:val="start"/>
              <w:rPr>
                <w:rFonts w:eastAsia="ＭＳ 明朝"/>
                <w:kern w:val="0"/>
                <w:sz w:val="16"/>
                <w:szCs w:val="22"/>
                <w:lang w:val="en-US" w:eastAsia="en-US" w:bidi="ar-SA"/>
              </w:rPr>
            </w:pPr>
            <w:r>
              <w:rPr>
                <w:rFonts w:eastAsia="ＭＳ 明朝"/>
                <w:kern w:val="0"/>
                <w:sz w:val="16"/>
                <w:szCs w:val="22"/>
                <w:lang w:val="en-US" w:eastAsia="en-US" w:bidi="ar-SA"/>
              </w:rPr>
              <w:t>Standardized</w:t>
            </w:r>
          </w:p>
        </w:tc>
        <w:tc>
          <w:tcPr>
            <w:tcW w:w="5327" w:type="dxa"/>
            <w:tcBorders>
              <w:top w:val="single" w:sz="4" w:space="0" w:color="000000"/>
              <w:start w:val="single" w:sz="4" w:space="0" w:color="000000"/>
              <w:bottom w:val="single" w:sz="4" w:space="0" w:color="000000"/>
              <w:end w:val="single" w:sz="4" w:space="0" w:color="000000"/>
            </w:tcBorders>
            <w:shd w:fill="EEF5FB" w:val="clear"/>
          </w:tcPr>
          <w:p>
            <w:pPr>
              <w:pStyle w:val="Normal"/>
              <w:keepLines/>
              <w:widowControl/>
              <w:spacing w:lineRule="auto" w:line="240" w:before="0" w:after="30"/>
              <w:jc w:val="start"/>
              <w:rPr>
                <w:rFonts w:eastAsia="ＭＳ 明朝"/>
                <w:kern w:val="0"/>
                <w:sz w:val="16"/>
                <w:szCs w:val="22"/>
                <w:lang w:val="en-US" w:eastAsia="en-US" w:bidi="ar-SA"/>
              </w:rPr>
            </w:pPr>
            <w:r>
              <w:rPr>
                <w:rFonts w:eastAsia="ＭＳ 明朝"/>
                <w:kern w:val="0"/>
                <w:sz w:val="16"/>
                <w:szCs w:val="22"/>
                <w:lang w:val="en-US" w:eastAsia="en-US" w:bidi="ar-SA"/>
              </w:rPr>
              <w:t>Naming, hierarchy, UoM, attributes and statuses use controlled standards.</w:t>
            </w:r>
          </w:p>
        </w:tc>
        <w:tc>
          <w:tcPr>
            <w:tcW w:w="3745" w:type="dxa"/>
            <w:tcBorders>
              <w:top w:val="single" w:sz="4" w:space="0" w:color="000000"/>
              <w:start w:val="single" w:sz="4" w:space="0" w:color="000000"/>
              <w:bottom w:val="single" w:sz="4" w:space="0" w:color="000000"/>
              <w:end w:val="single" w:sz="4" w:space="0" w:color="000000"/>
            </w:tcBorders>
            <w:shd w:fill="EEF5FB" w:val="clear"/>
          </w:tcPr>
          <w:p>
            <w:pPr>
              <w:pStyle w:val="Normal"/>
              <w:keepLines/>
              <w:widowControl/>
              <w:spacing w:lineRule="auto" w:line="240" w:before="0" w:after="30"/>
              <w:jc w:val="start"/>
              <w:rPr>
                <w:rFonts w:eastAsia="ＭＳ 明朝"/>
                <w:kern w:val="0"/>
                <w:sz w:val="16"/>
                <w:szCs w:val="22"/>
                <w:lang w:val="en-US" w:eastAsia="en-US" w:bidi="ar-SA"/>
              </w:rPr>
            </w:pPr>
            <w:r>
              <w:rPr>
                <w:rFonts w:eastAsia="ＭＳ 明朝"/>
                <w:kern w:val="0"/>
                <w:sz w:val="16"/>
                <w:szCs w:val="22"/>
                <w:lang w:val="en-US" w:eastAsia="en-US" w:bidi="ar-SA"/>
              </w:rPr>
              <w:t>Data dictionary and code lists.</w:t>
            </w:r>
          </w:p>
        </w:tc>
      </w:tr>
      <w:tr>
        <w:trPr/>
        <w:tc>
          <w:tcPr>
            <w:tcW w:w="1728"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30"/>
              <w:jc w:val="start"/>
              <w:rPr>
                <w:rFonts w:eastAsia="ＭＳ 明朝"/>
                <w:kern w:val="0"/>
                <w:sz w:val="16"/>
                <w:szCs w:val="22"/>
                <w:lang w:val="en-US" w:eastAsia="en-US" w:bidi="ar-SA"/>
              </w:rPr>
            </w:pPr>
            <w:r>
              <w:rPr>
                <w:rFonts w:eastAsia="ＭＳ 明朝"/>
                <w:kern w:val="0"/>
                <w:sz w:val="16"/>
                <w:szCs w:val="22"/>
                <w:lang w:val="en-US" w:eastAsia="en-US" w:bidi="ar-SA"/>
              </w:rPr>
              <w:t>Authoritative</w:t>
            </w:r>
          </w:p>
        </w:tc>
        <w:tc>
          <w:tcPr>
            <w:tcW w:w="5327"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30"/>
              <w:jc w:val="start"/>
              <w:rPr>
                <w:rFonts w:eastAsia="ＭＳ 明朝"/>
                <w:kern w:val="0"/>
                <w:sz w:val="16"/>
                <w:szCs w:val="22"/>
                <w:lang w:val="en-US" w:eastAsia="en-US" w:bidi="ar-SA"/>
              </w:rPr>
            </w:pPr>
            <w:r>
              <w:rPr>
                <w:rFonts w:eastAsia="ＭＳ 明朝"/>
                <w:kern w:val="0"/>
                <w:sz w:val="16"/>
                <w:szCs w:val="22"/>
                <w:lang w:val="en-US" w:eastAsia="en-US" w:bidi="ar-SA"/>
              </w:rPr>
              <w:t>Each field has a defined system of record and owner.</w:t>
            </w:r>
          </w:p>
        </w:tc>
        <w:tc>
          <w:tcPr>
            <w:tcW w:w="3745"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30"/>
              <w:jc w:val="start"/>
              <w:rPr>
                <w:rFonts w:eastAsia="ＭＳ 明朝"/>
                <w:kern w:val="0"/>
                <w:sz w:val="16"/>
                <w:szCs w:val="22"/>
                <w:lang w:val="en-US" w:eastAsia="en-US" w:bidi="ar-SA"/>
              </w:rPr>
            </w:pPr>
            <w:r>
              <w:rPr>
                <w:rFonts w:eastAsia="ＭＳ 明朝"/>
                <w:kern w:val="0"/>
                <w:sz w:val="16"/>
                <w:szCs w:val="22"/>
                <w:lang w:val="en-US" w:eastAsia="en-US" w:bidi="ar-SA"/>
              </w:rPr>
              <w:t>Field ownership matrix.</w:t>
            </w:r>
          </w:p>
        </w:tc>
      </w:tr>
      <w:tr>
        <w:trPr/>
        <w:tc>
          <w:tcPr>
            <w:tcW w:w="1728" w:type="dxa"/>
            <w:tcBorders>
              <w:top w:val="single" w:sz="4" w:space="0" w:color="000000"/>
              <w:start w:val="single" w:sz="4" w:space="0" w:color="000000"/>
              <w:bottom w:val="single" w:sz="4" w:space="0" w:color="000000"/>
              <w:end w:val="single" w:sz="4" w:space="0" w:color="000000"/>
            </w:tcBorders>
            <w:shd w:fill="EEF5FB" w:val="clear"/>
          </w:tcPr>
          <w:p>
            <w:pPr>
              <w:pStyle w:val="Normal"/>
              <w:keepLines/>
              <w:widowControl/>
              <w:spacing w:lineRule="auto" w:line="240" w:before="0" w:after="30"/>
              <w:jc w:val="start"/>
              <w:rPr>
                <w:rFonts w:eastAsia="ＭＳ 明朝"/>
                <w:kern w:val="0"/>
                <w:sz w:val="16"/>
                <w:szCs w:val="22"/>
                <w:lang w:val="en-US" w:eastAsia="en-US" w:bidi="ar-SA"/>
              </w:rPr>
            </w:pPr>
            <w:r>
              <w:rPr>
                <w:rFonts w:eastAsia="ＭＳ 明朝"/>
                <w:kern w:val="0"/>
                <w:sz w:val="16"/>
                <w:szCs w:val="22"/>
                <w:lang w:val="en-US" w:eastAsia="en-US" w:bidi="ar-SA"/>
              </w:rPr>
              <w:t>Governed</w:t>
            </w:r>
          </w:p>
        </w:tc>
        <w:tc>
          <w:tcPr>
            <w:tcW w:w="5327" w:type="dxa"/>
            <w:tcBorders>
              <w:top w:val="single" w:sz="4" w:space="0" w:color="000000"/>
              <w:start w:val="single" w:sz="4" w:space="0" w:color="000000"/>
              <w:bottom w:val="single" w:sz="4" w:space="0" w:color="000000"/>
              <w:end w:val="single" w:sz="4" w:space="0" w:color="000000"/>
            </w:tcBorders>
            <w:shd w:fill="EEF5FB" w:val="clear"/>
          </w:tcPr>
          <w:p>
            <w:pPr>
              <w:pStyle w:val="Normal"/>
              <w:keepLines/>
              <w:widowControl/>
              <w:spacing w:lineRule="auto" w:line="240" w:before="0" w:after="30"/>
              <w:jc w:val="start"/>
              <w:rPr>
                <w:rFonts w:eastAsia="ＭＳ 明朝"/>
                <w:kern w:val="0"/>
                <w:sz w:val="16"/>
                <w:szCs w:val="22"/>
                <w:lang w:val="en-US" w:eastAsia="en-US" w:bidi="ar-SA"/>
              </w:rPr>
            </w:pPr>
            <w:r>
              <w:rPr>
                <w:rFonts w:eastAsia="ＭＳ 明朝"/>
                <w:kern w:val="0"/>
                <w:sz w:val="16"/>
                <w:szCs w:val="22"/>
                <w:lang w:val="en-US" w:eastAsia="en-US" w:bidi="ar-SA"/>
              </w:rPr>
              <w:t>Create/change/retire actions follow workflow and authorization.</w:t>
            </w:r>
          </w:p>
        </w:tc>
        <w:tc>
          <w:tcPr>
            <w:tcW w:w="3745" w:type="dxa"/>
            <w:tcBorders>
              <w:top w:val="single" w:sz="4" w:space="0" w:color="000000"/>
              <w:start w:val="single" w:sz="4" w:space="0" w:color="000000"/>
              <w:bottom w:val="single" w:sz="4" w:space="0" w:color="000000"/>
              <w:end w:val="single" w:sz="4" w:space="0" w:color="000000"/>
            </w:tcBorders>
            <w:shd w:fill="EEF5FB" w:val="clear"/>
          </w:tcPr>
          <w:p>
            <w:pPr>
              <w:pStyle w:val="Normal"/>
              <w:keepLines/>
              <w:widowControl/>
              <w:spacing w:lineRule="auto" w:line="240" w:before="0" w:after="30"/>
              <w:jc w:val="start"/>
              <w:rPr>
                <w:rFonts w:eastAsia="ＭＳ 明朝"/>
                <w:kern w:val="0"/>
                <w:sz w:val="16"/>
                <w:szCs w:val="22"/>
                <w:lang w:val="en-US" w:eastAsia="en-US" w:bidi="ar-SA"/>
              </w:rPr>
            </w:pPr>
            <w:r>
              <w:rPr>
                <w:rFonts w:eastAsia="ＭＳ 明朝"/>
                <w:kern w:val="0"/>
                <w:sz w:val="16"/>
                <w:szCs w:val="22"/>
                <w:lang w:val="en-US" w:eastAsia="en-US" w:bidi="ar-SA"/>
              </w:rPr>
              <w:t>Approval matrix and immutable audit.</w:t>
            </w:r>
          </w:p>
        </w:tc>
      </w:tr>
      <w:tr>
        <w:trPr/>
        <w:tc>
          <w:tcPr>
            <w:tcW w:w="1728"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30"/>
              <w:jc w:val="start"/>
              <w:rPr>
                <w:rFonts w:eastAsia="ＭＳ 明朝"/>
                <w:kern w:val="0"/>
                <w:sz w:val="16"/>
                <w:szCs w:val="22"/>
                <w:lang w:val="en-US" w:eastAsia="en-US" w:bidi="ar-SA"/>
              </w:rPr>
            </w:pPr>
            <w:r>
              <w:rPr>
                <w:rFonts w:eastAsia="ＭＳ 明朝"/>
                <w:kern w:val="0"/>
                <w:sz w:val="16"/>
                <w:szCs w:val="22"/>
                <w:lang w:val="en-US" w:eastAsia="en-US" w:bidi="ar-SA"/>
              </w:rPr>
              <w:t>Effective-dated</w:t>
            </w:r>
          </w:p>
        </w:tc>
        <w:tc>
          <w:tcPr>
            <w:tcW w:w="5327"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30"/>
              <w:jc w:val="start"/>
              <w:rPr>
                <w:rFonts w:eastAsia="ＭＳ 明朝"/>
                <w:kern w:val="0"/>
                <w:sz w:val="16"/>
                <w:szCs w:val="22"/>
                <w:lang w:val="en-US" w:eastAsia="en-US" w:bidi="ar-SA"/>
              </w:rPr>
            </w:pPr>
            <w:r>
              <w:rPr>
                <w:rFonts w:eastAsia="ＭＳ 明朝"/>
                <w:kern w:val="0"/>
                <w:sz w:val="16"/>
                <w:szCs w:val="22"/>
                <w:lang w:val="en-US" w:eastAsia="en-US" w:bidi="ar-SA"/>
              </w:rPr>
              <w:t>Hierarchy, lifecycle and lineage changes preserve historical context.</w:t>
            </w:r>
          </w:p>
        </w:tc>
        <w:tc>
          <w:tcPr>
            <w:tcW w:w="3745"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30"/>
              <w:jc w:val="start"/>
              <w:rPr>
                <w:rFonts w:eastAsia="ＭＳ 明朝"/>
                <w:kern w:val="0"/>
                <w:sz w:val="16"/>
                <w:szCs w:val="22"/>
                <w:lang w:val="en-US" w:eastAsia="en-US" w:bidi="ar-SA"/>
              </w:rPr>
            </w:pPr>
            <w:r>
              <w:rPr>
                <w:rFonts w:eastAsia="ＭＳ 明朝"/>
                <w:kern w:val="0"/>
                <w:sz w:val="16"/>
                <w:szCs w:val="22"/>
                <w:lang w:val="en-US" w:eastAsia="en-US" w:bidi="ar-SA"/>
              </w:rPr>
              <w:t>Valid-from/to and versioning.</w:t>
            </w:r>
          </w:p>
        </w:tc>
      </w:tr>
      <w:tr>
        <w:trPr/>
        <w:tc>
          <w:tcPr>
            <w:tcW w:w="1728" w:type="dxa"/>
            <w:tcBorders>
              <w:top w:val="single" w:sz="4" w:space="0" w:color="000000"/>
              <w:start w:val="single" w:sz="4" w:space="0" w:color="000000"/>
              <w:bottom w:val="single" w:sz="4" w:space="0" w:color="000000"/>
              <w:end w:val="single" w:sz="4" w:space="0" w:color="000000"/>
            </w:tcBorders>
            <w:shd w:fill="EEF5FB" w:val="clear"/>
          </w:tcPr>
          <w:p>
            <w:pPr>
              <w:pStyle w:val="Normal"/>
              <w:keepLines/>
              <w:widowControl/>
              <w:spacing w:lineRule="auto" w:line="240" w:before="0" w:after="30"/>
              <w:jc w:val="start"/>
              <w:rPr>
                <w:rFonts w:eastAsia="ＭＳ 明朝"/>
                <w:kern w:val="0"/>
                <w:sz w:val="16"/>
                <w:szCs w:val="22"/>
                <w:lang w:val="en-US" w:eastAsia="en-US" w:bidi="ar-SA"/>
              </w:rPr>
            </w:pPr>
            <w:r>
              <w:rPr>
                <w:rFonts w:eastAsia="ＭＳ 明朝"/>
                <w:kern w:val="0"/>
                <w:sz w:val="16"/>
                <w:szCs w:val="22"/>
                <w:lang w:val="en-US" w:eastAsia="en-US" w:bidi="ar-SA"/>
              </w:rPr>
              <w:t>Planning-ready</w:t>
            </w:r>
          </w:p>
        </w:tc>
        <w:tc>
          <w:tcPr>
            <w:tcW w:w="5327" w:type="dxa"/>
            <w:tcBorders>
              <w:top w:val="single" w:sz="4" w:space="0" w:color="000000"/>
              <w:start w:val="single" w:sz="4" w:space="0" w:color="000000"/>
              <w:bottom w:val="single" w:sz="4" w:space="0" w:color="000000"/>
              <w:end w:val="single" w:sz="4" w:space="0" w:color="000000"/>
            </w:tcBorders>
            <w:shd w:fill="EEF5FB" w:val="clear"/>
          </w:tcPr>
          <w:p>
            <w:pPr>
              <w:pStyle w:val="Normal"/>
              <w:keepLines/>
              <w:widowControl/>
              <w:spacing w:lineRule="auto" w:line="240" w:before="0" w:after="30"/>
              <w:jc w:val="start"/>
              <w:rPr>
                <w:rFonts w:eastAsia="ＭＳ 明朝"/>
                <w:kern w:val="0"/>
                <w:sz w:val="16"/>
                <w:szCs w:val="22"/>
                <w:lang w:val="en-US" w:eastAsia="en-US" w:bidi="ar-SA"/>
              </w:rPr>
            </w:pPr>
            <w:r>
              <w:rPr>
                <w:rFonts w:eastAsia="ＭＳ 明朝"/>
                <w:kern w:val="0"/>
                <w:sz w:val="16"/>
                <w:szCs w:val="22"/>
                <w:lang w:val="en-US" w:eastAsia="en-US" w:bidi="ar-SA"/>
              </w:rPr>
              <w:t>FERT is not visible to planning until all mandatory controls pass.</w:t>
            </w:r>
          </w:p>
        </w:tc>
        <w:tc>
          <w:tcPr>
            <w:tcW w:w="3745" w:type="dxa"/>
            <w:tcBorders>
              <w:top w:val="single" w:sz="4" w:space="0" w:color="000000"/>
              <w:start w:val="single" w:sz="4" w:space="0" w:color="000000"/>
              <w:bottom w:val="single" w:sz="4" w:space="0" w:color="000000"/>
              <w:end w:val="single" w:sz="4" w:space="0" w:color="000000"/>
            </w:tcBorders>
            <w:shd w:fill="EEF5FB" w:val="clear"/>
          </w:tcPr>
          <w:p>
            <w:pPr>
              <w:pStyle w:val="Normal"/>
              <w:keepLines/>
              <w:widowControl/>
              <w:spacing w:lineRule="auto" w:line="240" w:before="0" w:after="30"/>
              <w:jc w:val="start"/>
              <w:rPr>
                <w:rFonts w:eastAsia="ＭＳ 明朝"/>
                <w:kern w:val="0"/>
                <w:sz w:val="16"/>
                <w:szCs w:val="22"/>
                <w:lang w:val="en-US" w:eastAsia="en-US" w:bidi="ar-SA"/>
              </w:rPr>
            </w:pPr>
            <w:r>
              <w:rPr>
                <w:rFonts w:eastAsia="ＭＳ 明朝"/>
                <w:kern w:val="0"/>
                <w:sz w:val="16"/>
                <w:szCs w:val="22"/>
                <w:lang w:val="en-US" w:eastAsia="en-US" w:bidi="ar-SA"/>
              </w:rPr>
              <w:t>Certification gate.</w:t>
            </w:r>
          </w:p>
        </w:tc>
      </w:tr>
      <w:tr>
        <w:trPr/>
        <w:tc>
          <w:tcPr>
            <w:tcW w:w="1728"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30"/>
              <w:jc w:val="start"/>
              <w:rPr>
                <w:rFonts w:eastAsia="ＭＳ 明朝"/>
                <w:kern w:val="0"/>
                <w:sz w:val="16"/>
                <w:szCs w:val="22"/>
                <w:lang w:val="en-US" w:eastAsia="en-US" w:bidi="ar-SA"/>
              </w:rPr>
            </w:pPr>
            <w:r>
              <w:rPr>
                <w:rFonts w:eastAsia="ＭＳ 明朝"/>
                <w:kern w:val="0"/>
                <w:sz w:val="16"/>
                <w:szCs w:val="22"/>
                <w:lang w:val="en-US" w:eastAsia="en-US" w:bidi="ar-SA"/>
              </w:rPr>
              <w:t>Synchronized</w:t>
            </w:r>
          </w:p>
        </w:tc>
        <w:tc>
          <w:tcPr>
            <w:tcW w:w="5327"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30"/>
              <w:jc w:val="start"/>
              <w:rPr>
                <w:rFonts w:eastAsia="ＭＳ 明朝"/>
                <w:kern w:val="0"/>
                <w:sz w:val="16"/>
                <w:szCs w:val="22"/>
                <w:lang w:val="en-US" w:eastAsia="en-US" w:bidi="ar-SA"/>
              </w:rPr>
            </w:pPr>
            <w:r>
              <w:rPr>
                <w:rFonts w:eastAsia="ＭＳ 明朝"/>
                <w:kern w:val="0"/>
                <w:sz w:val="16"/>
                <w:szCs w:val="22"/>
                <w:lang w:val="en-US" w:eastAsia="en-US" w:bidi="ar-SA"/>
              </w:rPr>
              <w:t>Consumers receive the same approved values.</w:t>
            </w:r>
          </w:p>
        </w:tc>
        <w:tc>
          <w:tcPr>
            <w:tcW w:w="3745"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30"/>
              <w:jc w:val="start"/>
              <w:rPr>
                <w:rFonts w:eastAsia="ＭＳ 明朝"/>
                <w:kern w:val="0"/>
                <w:sz w:val="16"/>
                <w:szCs w:val="22"/>
                <w:lang w:val="en-US" w:eastAsia="en-US" w:bidi="ar-SA"/>
              </w:rPr>
            </w:pPr>
            <w:r>
              <w:rPr>
                <w:rFonts w:eastAsia="ＭＳ 明朝"/>
                <w:kern w:val="0"/>
                <w:sz w:val="16"/>
                <w:szCs w:val="22"/>
                <w:lang w:val="en-US" w:eastAsia="en-US" w:bidi="ar-SA"/>
              </w:rPr>
              <w:t>Interface status and reconciliation.</w:t>
            </w:r>
          </w:p>
        </w:tc>
      </w:tr>
      <w:tr>
        <w:trPr/>
        <w:tc>
          <w:tcPr>
            <w:tcW w:w="1728" w:type="dxa"/>
            <w:tcBorders>
              <w:top w:val="single" w:sz="4" w:space="0" w:color="000000"/>
              <w:start w:val="single" w:sz="4" w:space="0" w:color="000000"/>
              <w:bottom w:val="single" w:sz="4" w:space="0" w:color="000000"/>
              <w:end w:val="single" w:sz="4" w:space="0" w:color="000000"/>
            </w:tcBorders>
            <w:shd w:fill="EEF5FB" w:val="clear"/>
          </w:tcPr>
          <w:p>
            <w:pPr>
              <w:pStyle w:val="Normal"/>
              <w:keepLines/>
              <w:widowControl/>
              <w:spacing w:lineRule="auto" w:line="240" w:before="0" w:after="30"/>
              <w:jc w:val="start"/>
              <w:rPr>
                <w:rFonts w:eastAsia="ＭＳ 明朝"/>
                <w:kern w:val="0"/>
                <w:sz w:val="16"/>
                <w:szCs w:val="22"/>
                <w:lang w:val="en-US" w:eastAsia="en-US" w:bidi="ar-SA"/>
              </w:rPr>
            </w:pPr>
            <w:r>
              <w:rPr>
                <w:rFonts w:eastAsia="ＭＳ 明朝"/>
                <w:kern w:val="0"/>
                <w:sz w:val="16"/>
                <w:szCs w:val="22"/>
                <w:lang w:val="en-US" w:eastAsia="en-US" w:bidi="ar-SA"/>
              </w:rPr>
              <w:t>Exception-driven</w:t>
            </w:r>
          </w:p>
        </w:tc>
        <w:tc>
          <w:tcPr>
            <w:tcW w:w="5327" w:type="dxa"/>
            <w:tcBorders>
              <w:top w:val="single" w:sz="4" w:space="0" w:color="000000"/>
              <w:start w:val="single" w:sz="4" w:space="0" w:color="000000"/>
              <w:bottom w:val="single" w:sz="4" w:space="0" w:color="000000"/>
              <w:end w:val="single" w:sz="4" w:space="0" w:color="000000"/>
            </w:tcBorders>
            <w:shd w:fill="EEF5FB" w:val="clear"/>
          </w:tcPr>
          <w:p>
            <w:pPr>
              <w:pStyle w:val="Normal"/>
              <w:keepLines/>
              <w:widowControl/>
              <w:spacing w:lineRule="auto" w:line="240" w:before="0" w:after="30"/>
              <w:jc w:val="start"/>
              <w:rPr>
                <w:rFonts w:eastAsia="ＭＳ 明朝"/>
                <w:kern w:val="0"/>
                <w:sz w:val="16"/>
                <w:szCs w:val="22"/>
                <w:lang w:val="en-US" w:eastAsia="en-US" w:bidi="ar-SA"/>
              </w:rPr>
            </w:pPr>
            <w:r>
              <w:rPr>
                <w:rFonts w:eastAsia="ＭＳ 明朝"/>
                <w:kern w:val="0"/>
                <w:sz w:val="16"/>
                <w:szCs w:val="22"/>
                <w:lang w:val="en-US" w:eastAsia="en-US" w:bidi="ar-SA"/>
              </w:rPr>
              <w:t>Users work on exceptions rather than manual scanning.</w:t>
            </w:r>
          </w:p>
        </w:tc>
        <w:tc>
          <w:tcPr>
            <w:tcW w:w="3745" w:type="dxa"/>
            <w:tcBorders>
              <w:top w:val="single" w:sz="4" w:space="0" w:color="000000"/>
              <w:start w:val="single" w:sz="4" w:space="0" w:color="000000"/>
              <w:bottom w:val="single" w:sz="4" w:space="0" w:color="000000"/>
              <w:end w:val="single" w:sz="4" w:space="0" w:color="000000"/>
            </w:tcBorders>
            <w:shd w:fill="EEF5FB" w:val="clear"/>
          </w:tcPr>
          <w:p>
            <w:pPr>
              <w:pStyle w:val="Normal"/>
              <w:keepLines/>
              <w:widowControl/>
              <w:spacing w:lineRule="auto" w:line="240" w:before="0" w:after="30"/>
              <w:jc w:val="start"/>
              <w:rPr>
                <w:rFonts w:eastAsia="ＭＳ 明朝"/>
                <w:kern w:val="0"/>
                <w:sz w:val="16"/>
                <w:szCs w:val="22"/>
                <w:lang w:val="en-US" w:eastAsia="en-US" w:bidi="ar-SA"/>
              </w:rPr>
            </w:pPr>
            <w:r>
              <w:rPr>
                <w:rFonts w:eastAsia="ＭＳ 明朝"/>
                <w:kern w:val="0"/>
                <w:sz w:val="16"/>
                <w:szCs w:val="22"/>
                <w:lang w:val="en-US" w:eastAsia="en-US" w:bidi="ar-SA"/>
              </w:rPr>
              <w:t>Dashboard, alerts and action queue.</w:t>
            </w:r>
          </w:p>
        </w:tc>
      </w:tr>
      <w:tr>
        <w:trPr/>
        <w:tc>
          <w:tcPr>
            <w:tcW w:w="1728"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30"/>
              <w:jc w:val="start"/>
              <w:rPr>
                <w:rFonts w:eastAsia="ＭＳ 明朝"/>
                <w:kern w:val="0"/>
                <w:sz w:val="16"/>
                <w:szCs w:val="22"/>
                <w:lang w:val="en-US" w:eastAsia="en-US" w:bidi="ar-SA"/>
              </w:rPr>
            </w:pPr>
            <w:r>
              <w:rPr>
                <w:rFonts w:eastAsia="ＭＳ 明朝"/>
                <w:kern w:val="0"/>
                <w:sz w:val="16"/>
                <w:szCs w:val="22"/>
                <w:lang w:val="en-US" w:eastAsia="en-US" w:bidi="ar-SA"/>
              </w:rPr>
              <w:t>Build-once-extend-always</w:t>
            </w:r>
          </w:p>
        </w:tc>
        <w:tc>
          <w:tcPr>
            <w:tcW w:w="5327"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80"/>
              <w:jc w:val="start"/>
              <w:rPr>
                <w:rFonts w:eastAsia="ＭＳ 明朝"/>
                <w:kern w:val="0"/>
                <w:szCs w:val="22"/>
                <w:lang w:val="en-US" w:eastAsia="en-US" w:bidi="ar-SA"/>
              </w:rPr>
            </w:pPr>
            <w:r>
              <w:rPr>
                <w:rFonts w:eastAsia="ＭＳ 明朝"/>
                <w:kern w:val="0"/>
                <w:szCs w:val="22"/>
                <w:lang w:val="en-US" w:eastAsia="en-US" w:bidi="ar-SA"/>
              </w:rPr>
              <w:t>The governed foundation can be extended without redesigning the core data and control model.</w:t>
            </w:r>
          </w:p>
        </w:tc>
        <w:tc>
          <w:tcPr>
            <w:tcW w:w="3745"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80"/>
              <w:jc w:val="start"/>
              <w:rPr>
                <w:rFonts w:eastAsia="ＭＳ 明朝"/>
                <w:kern w:val="0"/>
                <w:szCs w:val="22"/>
                <w:lang w:val="en-US" w:eastAsia="en-US" w:bidi="ar-SA"/>
              </w:rPr>
            </w:pPr>
            <w:r>
              <w:rPr>
                <w:rFonts w:eastAsia="ＭＳ 明朝"/>
                <w:kern w:val="0"/>
                <w:szCs w:val="22"/>
                <w:lang w:val="en-US" w:eastAsia="en-US" w:bidi="ar-SA"/>
              </w:rPr>
              <w:t>Configurable rules and a permanent functional data model.</w:t>
            </w:r>
          </w:p>
        </w:tc>
      </w:tr>
    </w:tbl>
    <w:p>
      <w:pPr>
        <w:pStyle w:val="Normal"/>
        <w:widowControl/>
        <w:spacing w:before="0" w:after="20"/>
        <w:rPr/>
      </w:pPr>
      <w:r>
        <w:rPr/>
      </w:r>
    </w:p>
    <w:p>
      <w:pPr>
        <w:pStyle w:val="Heading1"/>
        <w:keepNext w:val="true"/>
        <w:widowControl/>
        <w:rPr/>
      </w:pPr>
      <w:r>
        <w:rPr/>
        <w:t>3. Current-State Understanding</w:t>
      </w:r>
    </w:p>
    <w:p>
      <w:pPr>
        <w:pStyle w:val="Heading2"/>
        <w:keepNext w:val="true"/>
        <w:widowControl/>
        <w:rPr/>
      </w:pPr>
      <w:r>
        <w:rPr/>
        <w:t>3.1 Current FERT Creation Process</w:t>
      </w:r>
    </w:p>
    <w:p>
      <w:pPr>
        <w:pStyle w:val="ListNumber"/>
        <w:widowControl/>
        <w:numPr>
          <w:ilvl w:val="0"/>
          <w:numId w:val="5"/>
        </w:numPr>
        <w:spacing w:before="0" w:after="40"/>
        <w:contextualSpacing/>
        <w:rPr/>
      </w:pPr>
      <w:r>
        <w:rPr/>
        <w:t>Sales collects market requirements.</w:t>
      </w:r>
    </w:p>
    <w:p>
      <w:pPr>
        <w:pStyle w:val="ListNumber"/>
        <w:widowControl/>
        <w:numPr>
          <w:ilvl w:val="0"/>
          <w:numId w:val="5"/>
        </w:numPr>
        <w:spacing w:before="0" w:after="40"/>
        <w:contextualSpacing/>
        <w:rPr/>
      </w:pPr>
      <w:r>
        <w:rPr/>
        <w:t>Marketing reviews market inputs and defines product requirements.</w:t>
      </w:r>
    </w:p>
    <w:p>
      <w:pPr>
        <w:pStyle w:val="ListNumber"/>
        <w:widowControl/>
        <w:numPr>
          <w:ilvl w:val="0"/>
          <w:numId w:val="5"/>
        </w:numPr>
        <w:spacing w:before="0" w:after="40"/>
        <w:contextualSpacing/>
        <w:rPr/>
      </w:pPr>
      <w:r>
        <w:rPr/>
        <w:t>PSP evaluates the requirement and initiates product planning.</w:t>
      </w:r>
    </w:p>
    <w:p>
      <w:pPr>
        <w:pStyle w:val="ListNumber"/>
        <w:widowControl/>
        <w:numPr>
          <w:ilvl w:val="0"/>
          <w:numId w:val="5"/>
        </w:numPr>
        <w:spacing w:before="0" w:after="40"/>
        <w:contextualSpacing/>
        <w:rPr/>
      </w:pPr>
      <w:r>
        <w:rPr/>
        <w:t>Product Development develops the product and initiates FERT creation when the finished-good identity changes.</w:t>
      </w:r>
    </w:p>
    <w:p>
      <w:pPr>
        <w:pStyle w:val="ListNumber"/>
        <w:widowControl/>
        <w:numPr>
          <w:ilvl w:val="0"/>
          <w:numId w:val="5"/>
        </w:numPr>
        <w:spacing w:before="0" w:after="40"/>
        <w:contextualSpacing/>
        <w:rPr/>
      </w:pPr>
      <w:r>
        <w:rPr/>
        <w:t>The workflow is executed in IDM.</w:t>
      </w:r>
    </w:p>
    <w:p>
      <w:pPr>
        <w:pStyle w:val="ListNumber"/>
        <w:widowControl/>
        <w:numPr>
          <w:ilvl w:val="0"/>
          <w:numId w:val="5"/>
        </w:numPr>
        <w:spacing w:before="0" w:after="40"/>
        <w:contextualSpacing/>
        <w:rPr/>
      </w:pPr>
      <w:r>
        <w:rPr/>
        <w:t>EBOM is prepared and approved.</w:t>
      </w:r>
    </w:p>
    <w:p>
      <w:pPr>
        <w:pStyle w:val="ListNumber"/>
        <w:widowControl/>
        <w:numPr>
          <w:ilvl w:val="0"/>
          <w:numId w:val="5"/>
        </w:numPr>
        <w:spacing w:before="0" w:after="40"/>
        <w:contextualSpacing/>
        <w:rPr/>
      </w:pPr>
      <w:r>
        <w:rPr/>
        <w:t>New FERT code is generated and routed for approval.</w:t>
      </w:r>
    </w:p>
    <w:p>
      <w:pPr>
        <w:pStyle w:val="ListNumber"/>
        <w:widowControl/>
        <w:numPr>
          <w:ilvl w:val="0"/>
          <w:numId w:val="5"/>
        </w:numPr>
        <w:spacing w:before="0" w:after="40"/>
        <w:contextualSpacing/>
        <w:rPr/>
      </w:pPr>
      <w:r>
        <w:rPr/>
        <w:t>Basic Views are generated in IDM and pushed to ECC/SAP.</w:t>
      </w:r>
    </w:p>
    <w:p>
      <w:pPr>
        <w:pStyle w:val="ListNumber"/>
        <w:widowControl/>
        <w:numPr>
          <w:ilvl w:val="0"/>
          <w:numId w:val="5"/>
        </w:numPr>
        <w:spacing w:before="0" w:after="40"/>
        <w:contextualSpacing/>
        <w:rPr/>
      </w:pPr>
      <w:r>
        <w:rPr/>
        <w:t>A manual email is sent after the data push.</w:t>
      </w:r>
    </w:p>
    <w:p>
      <w:pPr>
        <w:pStyle w:val="ListNumber"/>
        <w:widowControl/>
        <w:numPr>
          <w:ilvl w:val="0"/>
          <w:numId w:val="5"/>
        </w:numPr>
        <w:spacing w:before="0" w:after="40"/>
        <w:contextualSpacing/>
        <w:rPr/>
      </w:pPr>
      <w:r>
        <w:rPr/>
        <w:t>Remaining ECC views are generated.</w:t>
      </w:r>
    </w:p>
    <w:p>
      <w:pPr>
        <w:pStyle w:val="ListNumber"/>
        <w:widowControl/>
        <w:numPr>
          <w:ilvl w:val="0"/>
          <w:numId w:val="5"/>
        </w:numPr>
        <w:spacing w:before="0" w:after="40"/>
        <w:contextualSpacing/>
        <w:rPr/>
      </w:pPr>
      <w:r>
        <w:rPr/>
        <w:t>After all required views and validations are completed, the FERT is released for business use.</w:t>
      </w:r>
    </w:p>
    <w:p>
      <w:pPr>
        <w:pStyle w:val="Heading2"/>
        <w:keepNext w:val="true"/>
        <w:widowControl/>
        <w:rPr/>
      </w:pPr>
      <w:r>
        <w:rPr/>
        <w:t>3.2 Current FERT Mapping Process</w:t>
      </w:r>
    </w:p>
    <w:p>
      <w:pPr>
        <w:pStyle w:val="ListNumber"/>
        <w:widowControl/>
        <w:numPr>
          <w:ilvl w:val="0"/>
          <w:numId w:val="5"/>
        </w:numPr>
        <w:spacing w:before="0" w:after="40"/>
        <w:contextualSpacing/>
        <w:rPr/>
      </w:pPr>
      <w:r>
        <w:rPr/>
        <w:t>ISO SPOC shares the latest Live FERT file.</w:t>
      </w:r>
    </w:p>
    <w:p>
      <w:pPr>
        <w:pStyle w:val="ListNumber"/>
        <w:widowControl/>
        <w:numPr>
          <w:ilvl w:val="0"/>
          <w:numId w:val="5"/>
        </w:numPr>
        <w:spacing w:before="0" w:after="40"/>
        <w:contextualSpacing/>
        <w:rPr/>
      </w:pPr>
      <w:r>
        <w:rPr/>
        <w:t>Team filters the population by vertical: HD, LMD, SCV and Bus.</w:t>
      </w:r>
    </w:p>
    <w:p>
      <w:pPr>
        <w:pStyle w:val="ListNumber"/>
        <w:widowControl/>
        <w:numPr>
          <w:ilvl w:val="0"/>
          <w:numId w:val="5"/>
        </w:numPr>
        <w:spacing w:before="0" w:after="40"/>
        <w:contextualSpacing/>
        <w:rPr/>
      </w:pPr>
      <w:r>
        <w:rPr/>
        <w:t>Data is rearranged using FERT description to infer model, emission norm, tonnage, vertical, category and technical details.</w:t>
      </w:r>
    </w:p>
    <w:p>
      <w:pPr>
        <w:pStyle w:val="ListNumber"/>
        <w:widowControl/>
        <w:numPr>
          <w:ilvl w:val="0"/>
          <w:numId w:val="5"/>
        </w:numPr>
        <w:spacing w:before="0" w:after="40"/>
        <w:contextualSpacing/>
        <w:rPr/>
      </w:pPr>
      <w:r>
        <w:rPr/>
        <w:t>One or two financial years of sales are added using lookup logic.</w:t>
      </w:r>
    </w:p>
    <w:p>
      <w:pPr>
        <w:pStyle w:val="ListNumber"/>
        <w:widowControl/>
        <w:numPr>
          <w:ilvl w:val="0"/>
          <w:numId w:val="5"/>
        </w:numPr>
        <w:spacing w:before="0" w:after="40"/>
        <w:contextualSpacing/>
        <w:rPr/>
      </w:pPr>
      <w:r>
        <w:rPr/>
        <w:t>Low-selling, declining or potentially inactive FERTs are identified.</w:t>
      </w:r>
    </w:p>
    <w:p>
      <w:pPr>
        <w:pStyle w:val="ListNumber"/>
        <w:widowControl/>
        <w:numPr>
          <w:ilvl w:val="0"/>
          <w:numId w:val="5"/>
        </w:numPr>
        <w:spacing w:before="0" w:after="40"/>
        <w:contextualSpacing/>
        <w:rPr/>
      </w:pPr>
      <w:r>
        <w:rPr/>
        <w:t>Business experts confirm migration and final mapping.</w:t>
      </w:r>
    </w:p>
    <w:p>
      <w:pPr>
        <w:pStyle w:val="ListNumber"/>
        <w:widowControl/>
        <w:numPr>
          <w:ilvl w:val="0"/>
          <w:numId w:val="5"/>
        </w:numPr>
        <w:spacing w:before="0" w:after="40"/>
        <w:contextualSpacing/>
        <w:rPr/>
      </w:pPr>
      <w:r>
        <w:rPr/>
        <w:t>The Final FERT Mapping Sheet is released for planning.</w:t>
      </w:r>
    </w:p>
    <w:tbl>
      <w:tblPr>
        <w:tblW w:w="10656" w:type="dxa"/>
        <w:jc w:val="center"/>
        <w:tblInd w:w="0" w:type="dxa"/>
        <w:tblLayout w:type="fixed"/>
        <w:tblCellMar>
          <w:top w:w="90" w:type="dxa"/>
          <w:start w:w="100" w:type="dxa"/>
          <w:bottom w:w="90" w:type="dxa"/>
          <w:end w:w="100" w:type="dxa"/>
        </w:tblCellMar>
      </w:tblPr>
      <w:tblGrid>
        <w:gridCol w:w="10656"/>
      </w:tblGrid>
      <w:tr>
        <w:trPr>
          <w:tblHeader w:val="true"/>
        </w:trPr>
        <w:tc>
          <w:tcPr>
            <w:tcW w:w="10656" w:type="dxa"/>
            <w:tcBorders>
              <w:top w:val="single" w:sz="4" w:space="0" w:color="000000"/>
              <w:start w:val="single" w:sz="4" w:space="0" w:color="000000"/>
              <w:bottom w:val="single" w:sz="4" w:space="0" w:color="000000"/>
              <w:end w:val="single" w:sz="4" w:space="0" w:color="000000"/>
            </w:tcBorders>
            <w:shd w:fill="F4E3B2" w:val="clear"/>
          </w:tcPr>
          <w:p>
            <w:pPr>
              <w:pStyle w:val="CalloutX"/>
              <w:widowControl/>
              <w:spacing w:lineRule="auto" w:line="240" w:before="0" w:after="80"/>
              <w:jc w:val="start"/>
              <w:rPr>
                <w:rFonts w:eastAsia="ＭＳ 明朝"/>
                <w:kern w:val="0"/>
                <w:szCs w:val="22"/>
                <w:lang w:val="en-US" w:eastAsia="en-US" w:bidi="ar-SA"/>
              </w:rPr>
            </w:pPr>
            <w:r>
              <w:rPr>
                <w:rFonts w:eastAsia="ＭＳ 明朝"/>
                <w:color w:val="1F5A88"/>
                <w:kern w:val="0"/>
                <w:szCs w:val="22"/>
                <w:lang w:val="en-US" w:eastAsia="en-US" w:bidi="ar-SA"/>
              </w:rPr>
              <w:t>Current-State Risk</w:t>
              <w:br/>
            </w:r>
            <w:r>
              <w:rPr>
                <w:rFonts w:eastAsia="ＭＳ 明朝"/>
                <w:b w:val="false"/>
                <w:kern w:val="0"/>
                <w:sz w:val="19"/>
                <w:szCs w:val="22"/>
                <w:lang w:val="en-US" w:eastAsia="en-US" w:bidi="ar-SA"/>
              </w:rPr>
              <w:t>The process is knowledge-intensive, file-based and dependent on description parsing, lookup logic and expert memory. It does not provide a governed relationship object, effective-dated transition rules, automated validation, auditability or real-time propagation to planning consumers.</w:t>
            </w:r>
          </w:p>
        </w:tc>
      </w:tr>
    </w:tbl>
    <w:p>
      <w:pPr>
        <w:pStyle w:val="Normal"/>
        <w:widowControl/>
        <w:spacing w:before="0" w:after="20"/>
        <w:rPr/>
      </w:pPr>
      <w:r>
        <w:rPr/>
      </w:r>
    </w:p>
    <w:p>
      <w:pPr>
        <w:pStyle w:val="Heading2"/>
        <w:keepNext w:val="true"/>
        <w:widowControl/>
        <w:rPr/>
      </w:pPr>
      <w:r>
        <w:rPr/>
        <w:t>3.3 Current-State System Landscape</w:t>
      </w:r>
    </w:p>
    <w:tbl>
      <w:tblPr>
        <w:tblW w:w="10944" w:type="dxa"/>
        <w:jc w:val="center"/>
        <w:tblInd w:w="0" w:type="dxa"/>
        <w:tblLayout w:type="fixed"/>
        <w:tblCellMar>
          <w:top w:w="60" w:type="dxa"/>
          <w:start w:w="70" w:type="dxa"/>
          <w:bottom w:w="60" w:type="dxa"/>
          <w:end w:w="70" w:type="dxa"/>
        </w:tblCellMar>
      </w:tblPr>
      <w:tblGrid>
        <w:gridCol w:w="2015"/>
        <w:gridCol w:w="4609"/>
        <w:gridCol w:w="4320"/>
      </w:tblGrid>
      <w:tr>
        <w:trPr>
          <w:tblHeader w:val="true"/>
        </w:trPr>
        <w:tc>
          <w:tcPr>
            <w:tcW w:w="2015" w:type="dxa"/>
            <w:tcBorders>
              <w:top w:val="single" w:sz="4" w:space="0" w:color="000000"/>
              <w:start w:val="single" w:sz="4" w:space="0" w:color="000000"/>
              <w:bottom w:val="single" w:sz="4" w:space="0" w:color="000000"/>
              <w:end w:val="single" w:sz="4" w:space="0" w:color="000000"/>
            </w:tcBorders>
            <w:shd w:fill="0C1E2D" w:val="clear"/>
            <w:vAlign w:val="center"/>
          </w:tcPr>
          <w:p>
            <w:pPr>
              <w:pStyle w:val="Normal"/>
              <w:widowControl/>
              <w:spacing w:lineRule="auto" w:line="240" w:before="0" w:after="80"/>
              <w:jc w:val="start"/>
              <w:rPr>
                <w:rFonts w:eastAsia="ＭＳ 明朝"/>
                <w:b/>
                <w:color w:val="FFFFFF"/>
                <w:kern w:val="0"/>
                <w:sz w:val="16"/>
                <w:szCs w:val="22"/>
                <w:lang w:val="en-US" w:eastAsia="en-US" w:bidi="ar-SA"/>
              </w:rPr>
            </w:pPr>
            <w:r>
              <w:rPr>
                <w:rFonts w:eastAsia="ＭＳ 明朝"/>
                <w:b/>
                <w:color w:val="FFFFFF"/>
                <w:kern w:val="0"/>
                <w:sz w:val="16"/>
                <w:szCs w:val="22"/>
                <w:lang w:val="en-US" w:eastAsia="en-US" w:bidi="ar-SA"/>
              </w:rPr>
              <w:t>System / Layer</w:t>
            </w:r>
          </w:p>
        </w:tc>
        <w:tc>
          <w:tcPr>
            <w:tcW w:w="4609" w:type="dxa"/>
            <w:tcBorders>
              <w:top w:val="single" w:sz="4" w:space="0" w:color="000000"/>
              <w:start w:val="single" w:sz="4" w:space="0" w:color="000000"/>
              <w:bottom w:val="single" w:sz="4" w:space="0" w:color="000000"/>
              <w:end w:val="single" w:sz="4" w:space="0" w:color="000000"/>
            </w:tcBorders>
            <w:shd w:fill="0C1E2D" w:val="clear"/>
            <w:vAlign w:val="center"/>
          </w:tcPr>
          <w:p>
            <w:pPr>
              <w:pStyle w:val="Normal"/>
              <w:widowControl/>
              <w:spacing w:lineRule="auto" w:line="240" w:before="0" w:after="80"/>
              <w:jc w:val="start"/>
              <w:rPr>
                <w:rFonts w:eastAsia="ＭＳ 明朝"/>
                <w:b/>
                <w:color w:val="FFFFFF"/>
                <w:kern w:val="0"/>
                <w:sz w:val="16"/>
                <w:szCs w:val="22"/>
                <w:lang w:val="en-US" w:eastAsia="en-US" w:bidi="ar-SA"/>
              </w:rPr>
            </w:pPr>
            <w:r>
              <w:rPr>
                <w:rFonts w:eastAsia="ＭＳ 明朝"/>
                <w:b/>
                <w:color w:val="FFFFFF"/>
                <w:kern w:val="0"/>
                <w:sz w:val="16"/>
                <w:szCs w:val="22"/>
                <w:lang w:val="en-US" w:eastAsia="en-US" w:bidi="ar-SA"/>
              </w:rPr>
              <w:t>Current Role</w:t>
            </w:r>
          </w:p>
        </w:tc>
        <w:tc>
          <w:tcPr>
            <w:tcW w:w="4320" w:type="dxa"/>
            <w:tcBorders>
              <w:top w:val="single" w:sz="4" w:space="0" w:color="000000"/>
              <w:start w:val="single" w:sz="4" w:space="0" w:color="000000"/>
              <w:bottom w:val="single" w:sz="4" w:space="0" w:color="000000"/>
              <w:end w:val="single" w:sz="4" w:space="0" w:color="000000"/>
            </w:tcBorders>
            <w:shd w:fill="0C1E2D" w:val="clear"/>
            <w:vAlign w:val="center"/>
          </w:tcPr>
          <w:p>
            <w:pPr>
              <w:pStyle w:val="Normal"/>
              <w:widowControl/>
              <w:spacing w:lineRule="auto" w:line="240" w:before="0" w:after="80"/>
              <w:jc w:val="start"/>
              <w:rPr>
                <w:rFonts w:eastAsia="ＭＳ 明朝"/>
                <w:b/>
                <w:color w:val="FFFFFF"/>
                <w:kern w:val="0"/>
                <w:sz w:val="16"/>
                <w:szCs w:val="22"/>
                <w:lang w:val="en-US" w:eastAsia="en-US" w:bidi="ar-SA"/>
              </w:rPr>
            </w:pPr>
            <w:r>
              <w:rPr>
                <w:rFonts w:eastAsia="ＭＳ 明朝"/>
                <w:b/>
                <w:color w:val="FFFFFF"/>
                <w:kern w:val="0"/>
                <w:sz w:val="16"/>
                <w:szCs w:val="22"/>
                <w:lang w:val="en-US" w:eastAsia="en-US" w:bidi="ar-SA"/>
              </w:rPr>
              <w:t>Observed Governance Concern</w:t>
            </w:r>
          </w:p>
        </w:tc>
      </w:tr>
      <w:tr>
        <w:trPr/>
        <w:tc>
          <w:tcPr>
            <w:tcW w:w="2015"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30"/>
              <w:jc w:val="start"/>
              <w:rPr>
                <w:rFonts w:eastAsia="ＭＳ 明朝"/>
                <w:kern w:val="0"/>
                <w:sz w:val="16"/>
                <w:szCs w:val="22"/>
                <w:lang w:val="en-US" w:eastAsia="en-US" w:bidi="ar-SA"/>
              </w:rPr>
            </w:pPr>
            <w:r>
              <w:rPr>
                <w:rFonts w:eastAsia="ＭＳ 明朝"/>
                <w:kern w:val="0"/>
                <w:sz w:val="16"/>
                <w:szCs w:val="22"/>
                <w:lang w:val="en-US" w:eastAsia="en-US" w:bidi="ar-SA"/>
              </w:rPr>
              <w:t>IDM / PLM</w:t>
            </w:r>
          </w:p>
        </w:tc>
        <w:tc>
          <w:tcPr>
            <w:tcW w:w="4609"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30"/>
              <w:jc w:val="start"/>
              <w:rPr>
                <w:rFonts w:eastAsia="ＭＳ 明朝"/>
                <w:kern w:val="0"/>
                <w:sz w:val="16"/>
                <w:szCs w:val="22"/>
                <w:lang w:val="en-US" w:eastAsia="en-US" w:bidi="ar-SA"/>
              </w:rPr>
            </w:pPr>
            <w:r>
              <w:rPr>
                <w:rFonts w:eastAsia="ＭＳ 明朝"/>
                <w:kern w:val="0"/>
                <w:sz w:val="16"/>
                <w:szCs w:val="22"/>
                <w:lang w:val="en-US" w:eastAsia="en-US" w:bidi="ar-SA"/>
              </w:rPr>
              <w:t>Product definition, EBOM, FERT initiation and basic views.</w:t>
            </w:r>
          </w:p>
        </w:tc>
        <w:tc>
          <w:tcPr>
            <w:tcW w:w="4320"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30"/>
              <w:jc w:val="start"/>
              <w:rPr>
                <w:rFonts w:eastAsia="ＭＳ 明朝"/>
                <w:kern w:val="0"/>
                <w:sz w:val="16"/>
                <w:szCs w:val="22"/>
                <w:lang w:val="en-US" w:eastAsia="en-US" w:bidi="ar-SA"/>
              </w:rPr>
            </w:pPr>
            <w:r>
              <w:rPr>
                <w:rFonts w:eastAsia="ＭＳ 明朝"/>
                <w:kern w:val="0"/>
                <w:sz w:val="16"/>
                <w:szCs w:val="22"/>
                <w:lang w:val="en-US" w:eastAsia="en-US" w:bidi="ar-SA"/>
              </w:rPr>
              <w:t>Planning attributes, lifecycle and downstream readiness may not be complete or visible at creation.</w:t>
            </w:r>
          </w:p>
        </w:tc>
      </w:tr>
      <w:tr>
        <w:trPr/>
        <w:tc>
          <w:tcPr>
            <w:tcW w:w="2015" w:type="dxa"/>
            <w:tcBorders>
              <w:top w:val="single" w:sz="4" w:space="0" w:color="000000"/>
              <w:start w:val="single" w:sz="4" w:space="0" w:color="000000"/>
              <w:bottom w:val="single" w:sz="4" w:space="0" w:color="000000"/>
              <w:end w:val="single" w:sz="4" w:space="0" w:color="000000"/>
            </w:tcBorders>
            <w:shd w:fill="EEF5FB" w:val="clear"/>
          </w:tcPr>
          <w:p>
            <w:pPr>
              <w:pStyle w:val="Normal"/>
              <w:keepLines/>
              <w:widowControl/>
              <w:spacing w:lineRule="auto" w:line="240" w:before="0" w:after="30"/>
              <w:jc w:val="start"/>
              <w:rPr>
                <w:rFonts w:eastAsia="ＭＳ 明朝"/>
                <w:kern w:val="0"/>
                <w:sz w:val="16"/>
                <w:szCs w:val="22"/>
                <w:lang w:val="en-US" w:eastAsia="en-US" w:bidi="ar-SA"/>
              </w:rPr>
            </w:pPr>
            <w:r>
              <w:rPr>
                <w:rFonts w:eastAsia="ＭＳ 明朝"/>
                <w:kern w:val="0"/>
                <w:sz w:val="16"/>
                <w:szCs w:val="22"/>
                <w:lang w:val="en-US" w:eastAsia="en-US" w:bidi="ar-SA"/>
              </w:rPr>
              <w:t>SAP ECC / S/4</w:t>
            </w:r>
          </w:p>
        </w:tc>
        <w:tc>
          <w:tcPr>
            <w:tcW w:w="4609" w:type="dxa"/>
            <w:tcBorders>
              <w:top w:val="single" w:sz="4" w:space="0" w:color="000000"/>
              <w:start w:val="single" w:sz="4" w:space="0" w:color="000000"/>
              <w:bottom w:val="single" w:sz="4" w:space="0" w:color="000000"/>
              <w:end w:val="single" w:sz="4" w:space="0" w:color="000000"/>
            </w:tcBorders>
            <w:shd w:fill="EEF5FB" w:val="clear"/>
          </w:tcPr>
          <w:p>
            <w:pPr>
              <w:pStyle w:val="Normal"/>
              <w:keepLines/>
              <w:widowControl/>
              <w:spacing w:lineRule="auto" w:line="240" w:before="0" w:after="30"/>
              <w:jc w:val="start"/>
              <w:rPr>
                <w:rFonts w:eastAsia="ＭＳ 明朝"/>
                <w:kern w:val="0"/>
                <w:sz w:val="16"/>
                <w:szCs w:val="22"/>
                <w:lang w:val="en-US" w:eastAsia="en-US" w:bidi="ar-SA"/>
              </w:rPr>
            </w:pPr>
            <w:r>
              <w:rPr>
                <w:rFonts w:eastAsia="ＭＳ 明朝"/>
                <w:kern w:val="0"/>
                <w:sz w:val="16"/>
                <w:szCs w:val="22"/>
                <w:lang w:val="en-US" w:eastAsia="en-US" w:bidi="ar-SA"/>
              </w:rPr>
              <w:t>Material master, plant views, BOM, routing, MRP and execution data.</w:t>
            </w:r>
          </w:p>
        </w:tc>
        <w:tc>
          <w:tcPr>
            <w:tcW w:w="4320" w:type="dxa"/>
            <w:tcBorders>
              <w:top w:val="single" w:sz="4" w:space="0" w:color="000000"/>
              <w:start w:val="single" w:sz="4" w:space="0" w:color="000000"/>
              <w:bottom w:val="single" w:sz="4" w:space="0" w:color="000000"/>
              <w:end w:val="single" w:sz="4" w:space="0" w:color="000000"/>
            </w:tcBorders>
            <w:shd w:fill="EEF5FB" w:val="clear"/>
          </w:tcPr>
          <w:p>
            <w:pPr>
              <w:pStyle w:val="Normal"/>
              <w:keepLines/>
              <w:widowControl/>
              <w:spacing w:lineRule="auto" w:line="240" w:before="0" w:after="30"/>
              <w:jc w:val="start"/>
              <w:rPr>
                <w:rFonts w:eastAsia="ＭＳ 明朝"/>
                <w:kern w:val="0"/>
                <w:sz w:val="16"/>
                <w:szCs w:val="22"/>
                <w:lang w:val="en-US" w:eastAsia="en-US" w:bidi="ar-SA"/>
              </w:rPr>
            </w:pPr>
            <w:r>
              <w:rPr>
                <w:rFonts w:eastAsia="ＭＳ 明朝"/>
                <w:kern w:val="0"/>
                <w:sz w:val="16"/>
                <w:szCs w:val="22"/>
                <w:lang w:val="en-US" w:eastAsia="en-US" w:bidi="ar-SA"/>
              </w:rPr>
              <w:t>Some views are generated after manual notification; completeness and timing can differ.</w:t>
            </w:r>
          </w:p>
        </w:tc>
      </w:tr>
      <w:tr>
        <w:trPr/>
        <w:tc>
          <w:tcPr>
            <w:tcW w:w="2015"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30"/>
              <w:jc w:val="start"/>
              <w:rPr>
                <w:rFonts w:eastAsia="ＭＳ 明朝"/>
                <w:kern w:val="0"/>
                <w:sz w:val="16"/>
                <w:szCs w:val="22"/>
                <w:lang w:val="en-US" w:eastAsia="en-US" w:bidi="ar-SA"/>
              </w:rPr>
            </w:pPr>
            <w:r>
              <w:rPr>
                <w:rFonts w:eastAsia="ＭＳ 明朝"/>
                <w:kern w:val="0"/>
                <w:sz w:val="16"/>
                <w:szCs w:val="22"/>
                <w:lang w:val="en-US" w:eastAsia="en-US" w:bidi="ar-SA"/>
              </w:rPr>
              <w:t>BW / DVM</w:t>
            </w:r>
          </w:p>
        </w:tc>
        <w:tc>
          <w:tcPr>
            <w:tcW w:w="4609"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30"/>
              <w:jc w:val="start"/>
              <w:rPr>
                <w:rFonts w:eastAsia="ＭＳ 明朝"/>
                <w:kern w:val="0"/>
                <w:sz w:val="16"/>
                <w:szCs w:val="22"/>
                <w:lang w:val="en-US" w:eastAsia="en-US" w:bidi="ar-SA"/>
              </w:rPr>
            </w:pPr>
            <w:r>
              <w:rPr>
                <w:rFonts w:eastAsia="ＭＳ 明朝"/>
                <w:kern w:val="0"/>
                <w:sz w:val="16"/>
                <w:szCs w:val="22"/>
                <w:lang w:val="en-US" w:eastAsia="en-US" w:bidi="ar-SA"/>
              </w:rPr>
              <w:t>Reporting and analytical consumption.</w:t>
            </w:r>
          </w:p>
        </w:tc>
        <w:tc>
          <w:tcPr>
            <w:tcW w:w="4320"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30"/>
              <w:jc w:val="start"/>
              <w:rPr>
                <w:rFonts w:eastAsia="ＭＳ 明朝"/>
                <w:kern w:val="0"/>
                <w:sz w:val="16"/>
                <w:szCs w:val="22"/>
                <w:lang w:val="en-US" w:eastAsia="en-US" w:bidi="ar-SA"/>
              </w:rPr>
            </w:pPr>
            <w:r>
              <w:rPr>
                <w:rFonts w:eastAsia="ＭＳ 明朝"/>
                <w:kern w:val="0"/>
                <w:sz w:val="16"/>
                <w:szCs w:val="22"/>
                <w:lang w:val="en-US" w:eastAsia="en-US" w:bidi="ar-SA"/>
              </w:rPr>
              <w:t>Potential timing and value mismatch with source systems.</w:t>
            </w:r>
          </w:p>
        </w:tc>
      </w:tr>
      <w:tr>
        <w:trPr/>
        <w:tc>
          <w:tcPr>
            <w:tcW w:w="2015" w:type="dxa"/>
            <w:tcBorders>
              <w:top w:val="single" w:sz="4" w:space="0" w:color="000000"/>
              <w:start w:val="single" w:sz="4" w:space="0" w:color="000000"/>
              <w:bottom w:val="single" w:sz="4" w:space="0" w:color="000000"/>
              <w:end w:val="single" w:sz="4" w:space="0" w:color="000000"/>
            </w:tcBorders>
            <w:shd w:fill="EEF5FB" w:val="clear"/>
          </w:tcPr>
          <w:p>
            <w:pPr>
              <w:pStyle w:val="Normal"/>
              <w:keepLines/>
              <w:widowControl/>
              <w:spacing w:lineRule="auto" w:line="240" w:before="0" w:after="30"/>
              <w:jc w:val="start"/>
              <w:rPr>
                <w:rFonts w:eastAsia="ＭＳ 明朝"/>
                <w:kern w:val="0"/>
                <w:sz w:val="16"/>
                <w:szCs w:val="22"/>
                <w:lang w:val="en-US" w:eastAsia="en-US" w:bidi="ar-SA"/>
              </w:rPr>
            </w:pPr>
            <w:r>
              <w:rPr>
                <w:rFonts w:eastAsia="ＭＳ 明朝"/>
                <w:kern w:val="0"/>
                <w:sz w:val="16"/>
                <w:szCs w:val="22"/>
                <w:lang w:val="en-US" w:eastAsia="en-US" w:bidi="ar-SA"/>
              </w:rPr>
              <w:t>Excel / Mapping Sheets</w:t>
            </w:r>
          </w:p>
        </w:tc>
        <w:tc>
          <w:tcPr>
            <w:tcW w:w="4609" w:type="dxa"/>
            <w:tcBorders>
              <w:top w:val="single" w:sz="4" w:space="0" w:color="000000"/>
              <w:start w:val="single" w:sz="4" w:space="0" w:color="000000"/>
              <w:bottom w:val="single" w:sz="4" w:space="0" w:color="000000"/>
              <w:end w:val="single" w:sz="4" w:space="0" w:color="000000"/>
            </w:tcBorders>
            <w:shd w:fill="EEF5FB" w:val="clear"/>
          </w:tcPr>
          <w:p>
            <w:pPr>
              <w:pStyle w:val="Normal"/>
              <w:keepLines/>
              <w:widowControl/>
              <w:spacing w:lineRule="auto" w:line="240" w:before="0" w:after="30"/>
              <w:jc w:val="start"/>
              <w:rPr>
                <w:rFonts w:eastAsia="ＭＳ 明朝"/>
                <w:kern w:val="0"/>
                <w:sz w:val="16"/>
                <w:szCs w:val="22"/>
                <w:lang w:val="en-US" w:eastAsia="en-US" w:bidi="ar-SA"/>
              </w:rPr>
            </w:pPr>
            <w:r>
              <w:rPr>
                <w:rFonts w:eastAsia="ＭＳ 明朝"/>
                <w:kern w:val="0"/>
                <w:sz w:val="16"/>
                <w:szCs w:val="22"/>
                <w:lang w:val="en-US" w:eastAsia="en-US" w:bidi="ar-SA"/>
              </w:rPr>
              <w:t>Current mapping, classification and expert decisions.</w:t>
            </w:r>
          </w:p>
        </w:tc>
        <w:tc>
          <w:tcPr>
            <w:tcW w:w="4320" w:type="dxa"/>
            <w:tcBorders>
              <w:top w:val="single" w:sz="4" w:space="0" w:color="000000"/>
              <w:start w:val="single" w:sz="4" w:space="0" w:color="000000"/>
              <w:bottom w:val="single" w:sz="4" w:space="0" w:color="000000"/>
              <w:end w:val="single" w:sz="4" w:space="0" w:color="000000"/>
            </w:tcBorders>
            <w:shd w:fill="EEF5FB" w:val="clear"/>
          </w:tcPr>
          <w:p>
            <w:pPr>
              <w:pStyle w:val="Normal"/>
              <w:keepLines/>
              <w:widowControl/>
              <w:spacing w:lineRule="auto" w:line="240" w:before="0" w:after="30"/>
              <w:jc w:val="start"/>
              <w:rPr>
                <w:rFonts w:eastAsia="ＭＳ 明朝"/>
                <w:kern w:val="0"/>
                <w:sz w:val="16"/>
                <w:szCs w:val="22"/>
                <w:lang w:val="en-US" w:eastAsia="en-US" w:bidi="ar-SA"/>
              </w:rPr>
            </w:pPr>
            <w:r>
              <w:rPr>
                <w:rFonts w:eastAsia="ＭＳ 明朝"/>
                <w:kern w:val="0"/>
                <w:sz w:val="16"/>
                <w:szCs w:val="22"/>
                <w:lang w:val="en-US" w:eastAsia="en-US" w:bidi="ar-SA"/>
              </w:rPr>
              <w:t>Multiple versions, manual changes and limited auditability.</w:t>
            </w:r>
          </w:p>
        </w:tc>
      </w:tr>
      <w:tr>
        <w:trPr/>
        <w:tc>
          <w:tcPr>
            <w:tcW w:w="2015"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30"/>
              <w:jc w:val="start"/>
              <w:rPr>
                <w:rFonts w:eastAsia="ＭＳ 明朝"/>
                <w:kern w:val="0"/>
                <w:sz w:val="16"/>
                <w:szCs w:val="22"/>
                <w:lang w:val="en-US" w:eastAsia="en-US" w:bidi="ar-SA"/>
              </w:rPr>
            </w:pPr>
            <w:r>
              <w:rPr>
                <w:rFonts w:eastAsia="ＭＳ 明朝"/>
                <w:kern w:val="0"/>
                <w:sz w:val="16"/>
                <w:szCs w:val="22"/>
                <w:lang w:val="en-US" w:eastAsia="en-US" w:bidi="ar-SA"/>
              </w:rPr>
              <w:t>VECVplan / Planning</w:t>
            </w:r>
          </w:p>
        </w:tc>
        <w:tc>
          <w:tcPr>
            <w:tcW w:w="4609"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30"/>
              <w:jc w:val="start"/>
              <w:rPr>
                <w:rFonts w:eastAsia="ＭＳ 明朝"/>
                <w:kern w:val="0"/>
                <w:sz w:val="16"/>
                <w:szCs w:val="22"/>
                <w:lang w:val="en-US" w:eastAsia="en-US" w:bidi="ar-SA"/>
              </w:rPr>
            </w:pPr>
            <w:r>
              <w:rPr>
                <w:rFonts w:eastAsia="ＭＳ 明朝"/>
                <w:kern w:val="0"/>
                <w:sz w:val="16"/>
                <w:szCs w:val="22"/>
                <w:lang w:val="en-US" w:eastAsia="en-US" w:bidi="ar-SA"/>
              </w:rPr>
              <w:t>Demand workbench, Rush Order and future S&amp;OP capabilities.</w:t>
            </w:r>
          </w:p>
        </w:tc>
        <w:tc>
          <w:tcPr>
            <w:tcW w:w="4320" w:type="dxa"/>
            <w:tcBorders>
              <w:top w:val="single" w:sz="4" w:space="0" w:color="000000"/>
              <w:start w:val="single" w:sz="4" w:space="0" w:color="000000"/>
              <w:bottom w:val="single" w:sz="4" w:space="0" w:color="000000"/>
              <w:end w:val="single" w:sz="4" w:space="0" w:color="000000"/>
            </w:tcBorders>
          </w:tcPr>
          <w:p>
            <w:pPr>
              <w:pStyle w:val="Normal"/>
              <w:keepLines/>
              <w:widowControl/>
              <w:spacing w:lineRule="auto" w:line="240" w:before="0" w:after="30"/>
              <w:jc w:val="start"/>
              <w:rPr>
                <w:rFonts w:eastAsia="ＭＳ 明朝"/>
                <w:kern w:val="0"/>
                <w:sz w:val="16"/>
                <w:szCs w:val="22"/>
                <w:lang w:val="en-US" w:eastAsia="en-US" w:bidi="ar-SA"/>
              </w:rPr>
            </w:pPr>
            <w:r>
              <w:rPr>
                <w:rFonts w:eastAsia="ＭＳ 明朝"/>
                <w:kern w:val="0"/>
                <w:sz w:val="16"/>
                <w:szCs w:val="22"/>
                <w:lang w:val="en-US" w:eastAsia="en-US" w:bidi="ar-SA"/>
              </w:rPr>
              <w:t>Requires only valid, active and planning-ready FERTs.</w:t>
            </w:r>
          </w:p>
        </w:tc>
      </w:tr>
      <w:tr>
        <w:trPr/>
        <w:tc>
          <w:tcPr>
            <w:tcW w:w="2015" w:type="dxa"/>
            <w:tcBorders>
              <w:top w:val="single" w:sz="4" w:space="0" w:color="000000"/>
              <w:start w:val="single" w:sz="4" w:space="0" w:color="000000"/>
              <w:bottom w:val="single" w:sz="4" w:space="0" w:color="000000"/>
              <w:end w:val="single" w:sz="4" w:space="0" w:color="000000"/>
            </w:tcBorders>
            <w:shd w:fill="EEF5FB" w:val="clear"/>
          </w:tcPr>
          <w:p>
            <w:pPr>
              <w:pStyle w:val="Normal"/>
              <w:keepLines/>
              <w:widowControl/>
              <w:spacing w:lineRule="auto" w:line="240" w:before="0" w:after="30"/>
              <w:jc w:val="start"/>
              <w:rPr>
                <w:rFonts w:eastAsia="ＭＳ 明朝"/>
                <w:kern w:val="0"/>
                <w:sz w:val="16"/>
                <w:szCs w:val="22"/>
                <w:lang w:val="en-US" w:eastAsia="en-US" w:bidi="ar-SA"/>
              </w:rPr>
            </w:pPr>
            <w:r>
              <w:rPr>
                <w:rFonts w:eastAsia="ＭＳ 明朝"/>
                <w:kern w:val="0"/>
                <w:sz w:val="16"/>
                <w:szCs w:val="22"/>
                <w:lang w:val="en-US" w:eastAsia="en-US" w:bidi="ar-SA"/>
              </w:rPr>
              <w:t>Control Tower</w:t>
            </w:r>
          </w:p>
        </w:tc>
        <w:tc>
          <w:tcPr>
            <w:tcW w:w="4609" w:type="dxa"/>
            <w:tcBorders>
              <w:top w:val="single" w:sz="4" w:space="0" w:color="000000"/>
              <w:start w:val="single" w:sz="4" w:space="0" w:color="000000"/>
              <w:bottom w:val="single" w:sz="4" w:space="0" w:color="000000"/>
              <w:end w:val="single" w:sz="4" w:space="0" w:color="000000"/>
            </w:tcBorders>
            <w:shd w:fill="EEF5FB" w:val="clear"/>
          </w:tcPr>
          <w:p>
            <w:pPr>
              <w:pStyle w:val="Normal"/>
              <w:keepLines/>
              <w:widowControl/>
              <w:spacing w:lineRule="auto" w:line="240" w:before="0" w:after="30"/>
              <w:jc w:val="start"/>
              <w:rPr>
                <w:rFonts w:eastAsia="ＭＳ 明朝"/>
                <w:kern w:val="0"/>
                <w:sz w:val="16"/>
                <w:szCs w:val="22"/>
                <w:lang w:val="en-US" w:eastAsia="en-US" w:bidi="ar-SA"/>
              </w:rPr>
            </w:pPr>
            <w:r>
              <w:rPr>
                <w:rFonts w:eastAsia="ＭＳ 明朝"/>
                <w:kern w:val="0"/>
                <w:sz w:val="16"/>
                <w:szCs w:val="22"/>
                <w:lang w:val="en-US" w:eastAsia="en-US" w:bidi="ar-SA"/>
              </w:rPr>
              <w:t>Future alerts and executive visibility.</w:t>
            </w:r>
          </w:p>
        </w:tc>
        <w:tc>
          <w:tcPr>
            <w:tcW w:w="4320" w:type="dxa"/>
            <w:tcBorders>
              <w:top w:val="single" w:sz="4" w:space="0" w:color="000000"/>
              <w:start w:val="single" w:sz="4" w:space="0" w:color="000000"/>
              <w:bottom w:val="single" w:sz="4" w:space="0" w:color="000000"/>
              <w:end w:val="single" w:sz="4" w:space="0" w:color="000000"/>
            </w:tcBorders>
            <w:shd w:fill="EEF5FB" w:val="clear"/>
          </w:tcPr>
          <w:p>
            <w:pPr>
              <w:pStyle w:val="Normal"/>
              <w:keepLines/>
              <w:widowControl/>
              <w:spacing w:lineRule="auto" w:line="240" w:before="0" w:after="30"/>
              <w:jc w:val="start"/>
              <w:rPr>
                <w:rFonts w:eastAsia="ＭＳ 明朝"/>
                <w:kern w:val="0"/>
                <w:sz w:val="16"/>
                <w:szCs w:val="22"/>
                <w:lang w:val="en-US" w:eastAsia="en-US" w:bidi="ar-SA"/>
              </w:rPr>
            </w:pPr>
            <w:r>
              <w:rPr>
                <w:rFonts w:eastAsia="ＭＳ 明朝"/>
                <w:kern w:val="0"/>
                <w:sz w:val="16"/>
                <w:szCs w:val="22"/>
                <w:lang w:val="en-US" w:eastAsia="en-US" w:bidi="ar-SA"/>
              </w:rPr>
              <w:t>Needs trusted master-data status and issue ownership.</w:t>
            </w:r>
          </w:p>
        </w:tc>
      </w:tr>
    </w:tbl>
    <w:p>
      <w:pPr>
        <w:pStyle w:val="Normal"/>
        <w:widowControl/>
        <w:spacing w:before="0" w:after="20"/>
        <w:rPr/>
      </w:pPr>
      <w:r>
        <w:rPr/>
      </w:r>
    </w:p>
    <w:p>
      <w:pPr>
        <w:pStyle w:val="Heading2"/>
        <w:keepNext w:val="true"/>
        <w:widowControl/>
        <w:rPr/>
      </w:pPr>
      <w:r>
        <w:rPr/>
        <w:t>3.4 Official MOM Inputs Incorporated (15 July 2026)</w:t>
      </w:r>
    </w:p>
    <w:p>
      <w:pPr>
        <w:pStyle w:val="Normal"/>
        <w:widowControl/>
        <w:rPr/>
      </w:pPr>
      <w:r>
        <w:rPr/>
        <w:t>Rajkumar Jain's official MOM is the primary business source for this revision. The inputs below have been translated into functional requirements rather than copied as meeting narrative.</w:t>
      </w:r>
    </w:p>
    <w:tbl>
      <w:tblPr>
        <w:tblW w:w="9360" w:type="dxa"/>
        <w:jc w:val="start"/>
        <w:tblInd w:w="-115" w:type="dxa"/>
        <w:tblLayout w:type="fixed"/>
        <w:tblCellMar>
          <w:top w:w="95" w:type="dxa"/>
          <w:start w:w="110" w:type="dxa"/>
          <w:bottom w:w="95" w:type="dxa"/>
          <w:end w:w="110" w:type="dxa"/>
        </w:tblCellMar>
      </w:tblPr>
      <w:tblGrid>
        <w:gridCol w:w="936"/>
        <w:gridCol w:w="3816"/>
        <w:gridCol w:w="4608"/>
      </w:tblGrid>
      <w:tr>
        <w:trPr>
          <w:tblHeader w:val="true"/>
          <w:cantSplit/>
        </w:trPr>
        <w:tc>
          <w:tcPr>
            <w:tcW w:w="936" w:type="dxa"/>
            <w:tcBorders>
              <w:top w:val="single" w:sz="4" w:space="0" w:color="000000"/>
              <w:start w:val="single" w:sz="4" w:space="0" w:color="000000"/>
              <w:bottom w:val="single" w:sz="4" w:space="0" w:color="000000"/>
              <w:end w:val="single" w:sz="4" w:space="0" w:color="000000"/>
            </w:tcBorders>
            <w:shd w:fill="0B1F33" w:val="clear"/>
            <w:vAlign w:val="center"/>
          </w:tcPr>
          <w:p>
            <w:pPr>
              <w:pStyle w:val="Normal"/>
              <w:widowControl/>
              <w:spacing w:lineRule="auto" w:line="240" w:before="0" w:after="4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MOM Ref.</w:t>
            </w:r>
          </w:p>
        </w:tc>
        <w:tc>
          <w:tcPr>
            <w:tcW w:w="3816" w:type="dxa"/>
            <w:tcBorders>
              <w:top w:val="single" w:sz="4" w:space="0" w:color="000000"/>
              <w:start w:val="single" w:sz="4" w:space="0" w:color="000000"/>
              <w:bottom w:val="single" w:sz="4" w:space="0" w:color="000000"/>
              <w:end w:val="single" w:sz="4" w:space="0" w:color="000000"/>
            </w:tcBorders>
            <w:shd w:fill="0B1F33" w:val="clear"/>
            <w:vAlign w:val="center"/>
          </w:tcPr>
          <w:p>
            <w:pPr>
              <w:pStyle w:val="Normal"/>
              <w:widowControl/>
              <w:spacing w:lineRule="auto" w:line="240" w:before="0" w:after="4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Validated Business Input</w:t>
            </w:r>
          </w:p>
        </w:tc>
        <w:tc>
          <w:tcPr>
            <w:tcW w:w="4608" w:type="dxa"/>
            <w:tcBorders>
              <w:top w:val="single" w:sz="4" w:space="0" w:color="000000"/>
              <w:start w:val="single" w:sz="4" w:space="0" w:color="000000"/>
              <w:bottom w:val="single" w:sz="4" w:space="0" w:color="000000"/>
              <w:end w:val="single" w:sz="4" w:space="0" w:color="000000"/>
            </w:tcBorders>
            <w:shd w:fill="0B1F33" w:val="clear"/>
            <w:vAlign w:val="center"/>
          </w:tcPr>
          <w:p>
            <w:pPr>
              <w:pStyle w:val="Normal"/>
              <w:widowControl/>
              <w:spacing w:lineRule="auto" w:line="240" w:before="0" w:after="4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FSD Response</w:t>
            </w:r>
          </w:p>
        </w:tc>
      </w:tr>
      <w:tr>
        <w:trPr>
          <w:cantSplit/>
        </w:trPr>
        <w:tc>
          <w:tcPr>
            <w:tcW w:w="936"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1</w:t>
            </w:r>
          </w:p>
        </w:tc>
        <w:tc>
          <w:tcPr>
            <w:tcW w:w="3816"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Inconsistent Division, Vertical, GVW, UPIN, Sub-vertical and incomplete classification</w:t>
            </w:r>
          </w:p>
        </w:tc>
        <w:tc>
          <w:tcPr>
            <w:tcW w:w="4608"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Mandatory and conditional checks, ownership, correction workflow and planning-readiness status across IDM/ECC and planning consumption.</w:t>
            </w:r>
          </w:p>
        </w:tc>
      </w:tr>
      <w:tr>
        <w:trPr>
          <w:cantSplit/>
        </w:trPr>
        <w:tc>
          <w:tcPr>
            <w:tcW w:w="93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2</w:t>
            </w:r>
          </w:p>
        </w:tc>
        <w:tc>
          <w:tcPr>
            <w:tcW w:w="381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FERT rationalization is manual</w:t>
            </w:r>
          </w:p>
        </w:tc>
        <w:tc>
          <w:tcPr>
            <w:tcW w:w="460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System-supported rationalization recommendation using sales trend, orders, stock, migration, inactivity and lifecycle evidence; business approval remains mandatory.</w:t>
            </w:r>
          </w:p>
        </w:tc>
      </w:tr>
      <w:tr>
        <w:trPr>
          <w:cantSplit/>
        </w:trPr>
        <w:tc>
          <w:tcPr>
            <w:tcW w:w="936"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3</w:t>
            </w:r>
          </w:p>
        </w:tc>
        <w:tc>
          <w:tcPr>
            <w:tcW w:w="3816"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 FERT identified for blocking remains available for indent; non-SOP FERTs need monitoring</w:t>
            </w:r>
          </w:p>
        </w:tc>
        <w:tc>
          <w:tcPr>
            <w:tcW w:w="4608"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Separate block-for-indent, block-for-planning, controlled liquidation and retirement states; non-SOP quantity and transaction restrictions.</w:t>
            </w:r>
          </w:p>
        </w:tc>
      </w:tr>
      <w:tr>
        <w:trPr>
          <w:cantSplit/>
        </w:trPr>
        <w:tc>
          <w:tcPr>
            <w:tcW w:w="93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4</w:t>
            </w:r>
          </w:p>
        </w:tc>
        <w:tc>
          <w:tcPr>
            <w:tcW w:w="381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Price is mandatory for STO, RGP and other transactions and is a bottleneck for NPI FERTs</w:t>
            </w:r>
          </w:p>
        </w:tc>
        <w:tc>
          <w:tcPr>
            <w:tcW w:w="460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Price-readiness validation, ownership, alert, escalation and approval for SOP and non-SOP FERTs.</w:t>
            </w:r>
          </w:p>
        </w:tc>
      </w:tr>
      <w:tr>
        <w:trPr>
          <w:cantSplit/>
        </w:trPr>
        <w:tc>
          <w:tcPr>
            <w:tcW w:w="936"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5</w:t>
            </w:r>
          </w:p>
        </w:tc>
        <w:tc>
          <w:tcPr>
            <w:tcW w:w="3816"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No governed predecessor-successor lineage</w:t>
            </w:r>
          </w:p>
        </w:tc>
        <w:tc>
          <w:tcPr>
            <w:tcW w:w="4608"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Governed FERT relationship record with purpose, relationship type, effective dates, approvals and audit history.</w:t>
            </w:r>
          </w:p>
        </w:tc>
      </w:tr>
      <w:tr>
        <w:trPr>
          <w:cantSplit/>
        </w:trPr>
        <w:tc>
          <w:tcPr>
            <w:tcW w:w="93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6</w:t>
            </w:r>
          </w:p>
        </w:tc>
        <w:tc>
          <w:tcPr>
            <w:tcW w:w="381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Migration, parallel FERT and ramp-up/ramp-down are managed in Excel</w:t>
            </w:r>
          </w:p>
        </w:tc>
        <w:tc>
          <w:tcPr>
            <w:tcW w:w="460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System workflow for mapping, transition percentages, dates, demand transfer, inventory treatment and periodic review.</w:t>
            </w:r>
          </w:p>
        </w:tc>
      </w:tr>
      <w:tr>
        <w:trPr>
          <w:cantSplit/>
        </w:trPr>
        <w:tc>
          <w:tcPr>
            <w:tcW w:w="936"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7</w:t>
            </w:r>
          </w:p>
        </w:tc>
        <w:tc>
          <w:tcPr>
            <w:tcW w:w="3816"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Product grouping and historical demand are not system driven</w:t>
            </w:r>
          </w:p>
        </w:tc>
        <w:tc>
          <w:tcPr>
            <w:tcW w:w="4608"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Configurable planning families, vertical-specific matching, approved history consolidation and forecast disaggregation.</w:t>
            </w:r>
          </w:p>
        </w:tc>
      </w:tr>
      <w:tr>
        <w:trPr>
          <w:cantSplit/>
        </w:trPr>
        <w:tc>
          <w:tcPr>
            <w:tcW w:w="93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8</w:t>
            </w:r>
          </w:p>
        </w:tc>
        <w:tc>
          <w:tcPr>
            <w:tcW w:w="381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Marketing owns business intent; PSP plays a key governance role</w:t>
            </w:r>
          </w:p>
        </w:tc>
        <w:tc>
          <w:tcPr>
            <w:tcW w:w="460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Persona-based responsibilities and approvals across Marketing, PSP, MDM, Planning, PPC, Finance/Pricing and S&amp;OP.</w:t>
            </w:r>
          </w:p>
        </w:tc>
      </w:tr>
      <w:tr>
        <w:trPr>
          <w:cantSplit/>
        </w:trPr>
        <w:tc>
          <w:tcPr>
            <w:tcW w:w="936"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9</w:t>
            </w:r>
          </w:p>
        </w:tc>
        <w:tc>
          <w:tcPr>
            <w:tcW w:w="3816"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No formal lifecycle governance</w:t>
            </w:r>
          </w:p>
        </w:tc>
        <w:tc>
          <w:tcPr>
            <w:tcW w:w="4608"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Effective-dated activation, restriction, blocking, liquidation, retirement and periodic rationalization workflow.</w:t>
            </w:r>
          </w:p>
        </w:tc>
      </w:tr>
      <w:tr>
        <w:trPr>
          <w:cantSplit/>
        </w:trPr>
        <w:tc>
          <w:tcPr>
            <w:tcW w:w="93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10</w:t>
            </w:r>
          </w:p>
        </w:tc>
        <w:tc>
          <w:tcPr>
            <w:tcW w:w="381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Focused workshops are required with PSP and Marketing by vertical</w:t>
            </w:r>
          </w:p>
        </w:tc>
        <w:tc>
          <w:tcPr>
            <w:tcW w:w="460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Open-question register identifying respondent, decision dependency and reason the answer is required.</w:t>
            </w:r>
          </w:p>
        </w:tc>
      </w:tr>
    </w:tbl>
    <w:p>
      <w:pPr>
        <w:pStyle w:val="Normal"/>
        <w:widowControl/>
        <w:spacing w:before="0" w:after="40"/>
        <w:rPr/>
      </w:pPr>
      <w:r>
        <w:rPr/>
      </w:r>
    </w:p>
    <w:tbl>
      <w:tblPr>
        <w:tblW w:w="10656" w:type="dxa"/>
        <w:jc w:val="start"/>
        <w:tblInd w:w="-145" w:type="dxa"/>
        <w:tblLayout w:type="fixed"/>
        <w:tblCellMar>
          <w:top w:w="120" w:type="dxa"/>
          <w:start w:w="140" w:type="dxa"/>
          <w:bottom w:w="120" w:type="dxa"/>
          <w:end w:w="140" w:type="dxa"/>
        </w:tblCellMar>
      </w:tblPr>
      <w:tblGrid>
        <w:gridCol w:w="10656"/>
      </w:tblGrid>
      <w:tr>
        <w:trPr/>
        <w:tc>
          <w:tcPr>
            <w:tcW w:w="10656" w:type="dxa"/>
            <w:tcBorders>
              <w:top w:val="single" w:sz="4" w:space="0" w:color="000000"/>
              <w:start w:val="single" w:sz="4" w:space="0" w:color="000000"/>
              <w:bottom w:val="single" w:sz="4" w:space="0" w:color="000000"/>
              <w:end w:val="single" w:sz="4" w:space="0" w:color="000000"/>
            </w:tcBorders>
            <w:shd w:fill="FFF2CC" w:val="clear"/>
          </w:tcPr>
          <w:p>
            <w:pPr>
              <w:pStyle w:val="Normal"/>
              <w:widowControl/>
              <w:spacing w:lineRule="auto" w:line="240" w:before="0" w:after="80"/>
              <w:jc w:val="start"/>
              <w:rPr>
                <w:rFonts w:eastAsia="ＭＳ 明朝"/>
                <w:kern w:val="0"/>
                <w:szCs w:val="22"/>
                <w:lang w:val="en-US" w:eastAsia="en-US" w:bidi="ar-SA"/>
              </w:rPr>
            </w:pPr>
            <w:r>
              <w:rPr>
                <w:rFonts w:eastAsia="ＭＳ 明朝"/>
                <w:b/>
                <w:color w:val="1F4E78"/>
                <w:kern w:val="0"/>
                <w:szCs w:val="22"/>
                <w:lang w:val="en-US" w:eastAsia="en-US" w:bidi="ar-SA"/>
              </w:rPr>
              <w:t>Scope decision</w:t>
              <w:br/>
            </w:r>
            <w:r>
              <w:rPr>
                <w:rFonts w:eastAsia="ＭＳ 明朝"/>
                <w:color w:val="212121"/>
                <w:kern w:val="0"/>
                <w:szCs w:val="22"/>
                <w:lang w:val="en-US" w:eastAsia="en-US" w:bidi="ar-SA"/>
              </w:rPr>
              <w:t>The complete catalogue of 17 MDM issues is retained for traceability. Detailed design focuses on five MOM-aligned solution themes. MDM-004 is not retained as a standalone deep-dive; relevant validation controls are incorporated within Master-Data Quality.</w:t>
            </w:r>
          </w:p>
        </w:tc>
      </w:tr>
    </w:tbl>
    <w:p>
      <w:pPr>
        <w:pStyle w:val="Normal"/>
        <w:widowControl/>
        <w:rPr/>
      </w:pPr>
      <w:r>
        <w:rPr/>
      </w:r>
      <w:r>
        <w:br w:type="page"/>
      </w:r>
    </w:p>
    <w:p>
      <w:pPr>
        <w:pStyle w:val="Heading1"/>
        <w:keepNext w:val="true"/>
        <w:widowControl/>
        <w:spacing w:before="0" w:after="80"/>
        <w:rPr/>
      </w:pPr>
      <w:r>
        <w:rPr/>
        <w:t>4. Overall MDM and FERT Governance Issue Catalogue</w:t>
      </w:r>
    </w:p>
    <w:p>
      <w:pPr>
        <w:pStyle w:val="Normal"/>
        <w:widowControl/>
        <w:rPr/>
      </w:pPr>
      <w:r>
        <w:rPr/>
        <w:t>The catalogue records the complete issue landscape. 'Detailed focus' means that the issue is directly addressed within one of the five solution themes. 'Catalogue only' means that the issue remains visible for traceability but is not independently designed in this review draft.</w:t>
      </w:r>
    </w:p>
    <w:tbl>
      <w:tblPr>
        <w:tblW w:w="9359" w:type="dxa"/>
        <w:jc w:val="start"/>
        <w:tblInd w:w="-115" w:type="dxa"/>
        <w:tblLayout w:type="fixed"/>
        <w:tblCellMar>
          <w:top w:w="95" w:type="dxa"/>
          <w:start w:w="110" w:type="dxa"/>
          <w:bottom w:w="95" w:type="dxa"/>
          <w:end w:w="110" w:type="dxa"/>
        </w:tblCellMar>
      </w:tblPr>
      <w:tblGrid>
        <w:gridCol w:w="1152"/>
        <w:gridCol w:w="4608"/>
        <w:gridCol w:w="1944"/>
        <w:gridCol w:w="1655"/>
      </w:tblGrid>
      <w:tr>
        <w:trPr>
          <w:tblHeader w:val="true"/>
          <w:cantSplit/>
        </w:trPr>
        <w:tc>
          <w:tcPr>
            <w:tcW w:w="1152" w:type="dxa"/>
            <w:tcBorders>
              <w:top w:val="single" w:sz="4" w:space="0" w:color="000000"/>
              <w:start w:val="single" w:sz="4" w:space="0" w:color="000000"/>
              <w:bottom w:val="single" w:sz="4" w:space="0" w:color="000000"/>
              <w:end w:val="single" w:sz="4" w:space="0" w:color="000000"/>
            </w:tcBorders>
            <w:shd w:fill="0B1F33" w:val="clear"/>
            <w:vAlign w:val="center"/>
          </w:tcPr>
          <w:p>
            <w:pPr>
              <w:pStyle w:val="Normal"/>
              <w:widowControl/>
              <w:spacing w:lineRule="auto" w:line="240" w:before="0" w:after="40"/>
              <w:jc w:val="start"/>
              <w:rPr>
                <w:rFonts w:ascii="Aptos" w:hAnsi="Aptos" w:eastAsia="ＭＳ 明朝"/>
                <w:b/>
                <w:color w:val="FFFFFF"/>
                <w:kern w:val="0"/>
                <w:sz w:val="17"/>
                <w:szCs w:val="22"/>
                <w:lang w:val="en-US" w:eastAsia="en-US" w:bidi="ar-SA"/>
              </w:rPr>
            </w:pPr>
            <w:r>
              <w:rPr>
                <w:rFonts w:eastAsia="ＭＳ 明朝"/>
                <w:b/>
                <w:color w:val="FFFFFF"/>
                <w:kern w:val="0"/>
                <w:sz w:val="17"/>
                <w:szCs w:val="22"/>
                <w:lang w:val="en-US" w:eastAsia="en-US" w:bidi="ar-SA"/>
              </w:rPr>
              <w:t>ID</w:t>
            </w:r>
          </w:p>
        </w:tc>
        <w:tc>
          <w:tcPr>
            <w:tcW w:w="4608" w:type="dxa"/>
            <w:tcBorders>
              <w:top w:val="single" w:sz="4" w:space="0" w:color="000000"/>
              <w:start w:val="single" w:sz="4" w:space="0" w:color="000000"/>
              <w:bottom w:val="single" w:sz="4" w:space="0" w:color="000000"/>
              <w:end w:val="single" w:sz="4" w:space="0" w:color="000000"/>
            </w:tcBorders>
            <w:shd w:fill="0B1F33" w:val="clear"/>
            <w:vAlign w:val="center"/>
          </w:tcPr>
          <w:p>
            <w:pPr>
              <w:pStyle w:val="Normal"/>
              <w:widowControl/>
              <w:spacing w:lineRule="auto" w:line="240" w:before="0" w:after="40"/>
              <w:jc w:val="start"/>
              <w:rPr>
                <w:rFonts w:ascii="Aptos" w:hAnsi="Aptos" w:eastAsia="ＭＳ 明朝"/>
                <w:b/>
                <w:color w:val="FFFFFF"/>
                <w:kern w:val="0"/>
                <w:sz w:val="17"/>
                <w:szCs w:val="22"/>
                <w:lang w:val="en-US" w:eastAsia="en-US" w:bidi="ar-SA"/>
              </w:rPr>
            </w:pPr>
            <w:r>
              <w:rPr>
                <w:rFonts w:eastAsia="ＭＳ 明朝"/>
                <w:b/>
                <w:color w:val="FFFFFF"/>
                <w:kern w:val="0"/>
                <w:sz w:val="17"/>
                <w:szCs w:val="22"/>
                <w:lang w:val="en-US" w:eastAsia="en-US" w:bidi="ar-SA"/>
              </w:rPr>
              <w:t>Issue</w:t>
            </w:r>
          </w:p>
        </w:tc>
        <w:tc>
          <w:tcPr>
            <w:tcW w:w="1944" w:type="dxa"/>
            <w:tcBorders>
              <w:top w:val="single" w:sz="4" w:space="0" w:color="000000"/>
              <w:start w:val="single" w:sz="4" w:space="0" w:color="000000"/>
              <w:bottom w:val="single" w:sz="4" w:space="0" w:color="000000"/>
              <w:end w:val="single" w:sz="4" w:space="0" w:color="000000"/>
            </w:tcBorders>
            <w:shd w:fill="0B1F33" w:val="clear"/>
            <w:vAlign w:val="center"/>
          </w:tcPr>
          <w:p>
            <w:pPr>
              <w:pStyle w:val="Normal"/>
              <w:widowControl/>
              <w:spacing w:lineRule="auto" w:line="240" w:before="0" w:after="40"/>
              <w:jc w:val="start"/>
              <w:rPr>
                <w:rFonts w:ascii="Aptos" w:hAnsi="Aptos" w:eastAsia="ＭＳ 明朝"/>
                <w:b/>
                <w:color w:val="FFFFFF"/>
                <w:kern w:val="0"/>
                <w:sz w:val="17"/>
                <w:szCs w:val="22"/>
                <w:lang w:val="en-US" w:eastAsia="en-US" w:bidi="ar-SA"/>
              </w:rPr>
            </w:pPr>
            <w:r>
              <w:rPr>
                <w:rFonts w:eastAsia="ＭＳ 明朝"/>
                <w:b/>
                <w:color w:val="FFFFFF"/>
                <w:kern w:val="0"/>
                <w:sz w:val="17"/>
                <w:szCs w:val="22"/>
                <w:lang w:val="en-US" w:eastAsia="en-US" w:bidi="ar-SA"/>
              </w:rPr>
              <w:t>Treatment</w:t>
            </w:r>
          </w:p>
        </w:tc>
        <w:tc>
          <w:tcPr>
            <w:tcW w:w="1655" w:type="dxa"/>
            <w:tcBorders>
              <w:top w:val="single" w:sz="4" w:space="0" w:color="000000"/>
              <w:start w:val="single" w:sz="4" w:space="0" w:color="000000"/>
              <w:bottom w:val="single" w:sz="4" w:space="0" w:color="000000"/>
              <w:end w:val="single" w:sz="4" w:space="0" w:color="000000"/>
            </w:tcBorders>
            <w:shd w:fill="0B1F33" w:val="clear"/>
            <w:vAlign w:val="center"/>
          </w:tcPr>
          <w:p>
            <w:pPr>
              <w:pStyle w:val="Normal"/>
              <w:widowControl/>
              <w:spacing w:lineRule="auto" w:line="240" w:before="0" w:after="40"/>
              <w:jc w:val="start"/>
              <w:rPr>
                <w:rFonts w:ascii="Aptos" w:hAnsi="Aptos" w:eastAsia="ＭＳ 明朝"/>
                <w:b/>
                <w:color w:val="FFFFFF"/>
                <w:kern w:val="0"/>
                <w:sz w:val="17"/>
                <w:szCs w:val="22"/>
                <w:lang w:val="en-US" w:eastAsia="en-US" w:bidi="ar-SA"/>
              </w:rPr>
            </w:pPr>
            <w:r>
              <w:rPr>
                <w:rFonts w:eastAsia="ＭＳ 明朝"/>
                <w:b/>
                <w:color w:val="FFFFFF"/>
                <w:kern w:val="0"/>
                <w:sz w:val="17"/>
                <w:szCs w:val="22"/>
                <w:lang w:val="en-US" w:eastAsia="en-US" w:bidi="ar-SA"/>
              </w:rPr>
              <w:t>Traceability</w:t>
            </w:r>
          </w:p>
        </w:tc>
      </w:tr>
      <w:tr>
        <w:trPr>
          <w:cantSplit/>
        </w:trPr>
        <w:tc>
          <w:tcPr>
            <w:tcW w:w="1152"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7"/>
                <w:szCs w:val="22"/>
                <w:lang w:val="en-US" w:eastAsia="en-US" w:bidi="ar-SA"/>
              </w:rPr>
            </w:pPr>
            <w:r>
              <w:rPr>
                <w:rFonts w:eastAsia="ＭＳ 明朝"/>
                <w:kern w:val="0"/>
                <w:sz w:val="17"/>
                <w:szCs w:val="22"/>
                <w:lang w:val="en-US" w:eastAsia="en-US" w:bidi="ar-SA"/>
              </w:rPr>
              <w:t>MDM-001</w:t>
            </w:r>
          </w:p>
        </w:tc>
        <w:tc>
          <w:tcPr>
            <w:tcW w:w="4608"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7"/>
                <w:szCs w:val="22"/>
                <w:lang w:val="en-US" w:eastAsia="en-US" w:bidi="ar-SA"/>
              </w:rPr>
            </w:pPr>
            <w:r>
              <w:rPr>
                <w:rFonts w:eastAsia="ＭＳ 明朝"/>
                <w:kern w:val="0"/>
                <w:sz w:val="17"/>
                <w:szCs w:val="22"/>
                <w:lang w:val="en-US" w:eastAsia="en-US" w:bidi="ar-SA"/>
              </w:rPr>
              <w:t>FERT lineage not readily available</w:t>
            </w:r>
          </w:p>
        </w:tc>
        <w:tc>
          <w:tcPr>
            <w:tcW w:w="1944"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7"/>
                <w:szCs w:val="22"/>
                <w:lang w:val="en-US" w:eastAsia="en-US" w:bidi="ar-SA"/>
              </w:rPr>
            </w:pPr>
            <w:r>
              <w:rPr>
                <w:rFonts w:eastAsia="ＭＳ 明朝"/>
                <w:kern w:val="0"/>
                <w:sz w:val="17"/>
                <w:szCs w:val="22"/>
                <w:lang w:val="en-US" w:eastAsia="en-US" w:bidi="ar-SA"/>
              </w:rPr>
              <w:t>Detailed focus</w:t>
            </w:r>
          </w:p>
        </w:tc>
        <w:tc>
          <w:tcPr>
            <w:tcW w:w="1655"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7"/>
                <w:szCs w:val="22"/>
                <w:lang w:val="en-US" w:eastAsia="en-US" w:bidi="ar-SA"/>
              </w:rPr>
            </w:pPr>
            <w:r>
              <w:rPr>
                <w:rFonts w:eastAsia="ＭＳ 明朝"/>
                <w:kern w:val="0"/>
                <w:sz w:val="17"/>
                <w:szCs w:val="22"/>
                <w:lang w:val="en-US" w:eastAsia="en-US" w:bidi="ar-SA"/>
              </w:rPr>
              <w:t>Theme 4</w:t>
            </w:r>
          </w:p>
        </w:tc>
      </w:tr>
      <w:tr>
        <w:trPr>
          <w:cantSplit/>
        </w:trPr>
        <w:tc>
          <w:tcPr>
            <w:tcW w:w="115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7"/>
                <w:szCs w:val="22"/>
                <w:lang w:val="en-US" w:eastAsia="en-US" w:bidi="ar-SA"/>
              </w:rPr>
            </w:pPr>
            <w:r>
              <w:rPr>
                <w:rFonts w:eastAsia="ＭＳ 明朝"/>
                <w:kern w:val="0"/>
                <w:sz w:val="17"/>
                <w:szCs w:val="22"/>
                <w:lang w:val="en-US" w:eastAsia="en-US" w:bidi="ar-SA"/>
              </w:rPr>
              <w:t>MDM-002</w:t>
            </w:r>
          </w:p>
        </w:tc>
        <w:tc>
          <w:tcPr>
            <w:tcW w:w="460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7"/>
                <w:szCs w:val="22"/>
                <w:lang w:val="en-US" w:eastAsia="en-US" w:bidi="ar-SA"/>
              </w:rPr>
            </w:pPr>
            <w:r>
              <w:rPr>
                <w:rFonts w:eastAsia="ＭＳ 明朝"/>
                <w:kern w:val="0"/>
                <w:sz w:val="17"/>
                <w:szCs w:val="22"/>
                <w:lang w:val="en-US" w:eastAsia="en-US" w:bidi="ar-SA"/>
              </w:rPr>
              <w:t>Incorrect or incomplete planning characteristics</w:t>
            </w:r>
          </w:p>
        </w:tc>
        <w:tc>
          <w:tcPr>
            <w:tcW w:w="194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7"/>
                <w:szCs w:val="22"/>
                <w:lang w:val="en-US" w:eastAsia="en-US" w:bidi="ar-SA"/>
              </w:rPr>
            </w:pPr>
            <w:r>
              <w:rPr>
                <w:rFonts w:eastAsia="ＭＳ 明朝"/>
                <w:kern w:val="0"/>
                <w:sz w:val="17"/>
                <w:szCs w:val="22"/>
                <w:lang w:val="en-US" w:eastAsia="en-US" w:bidi="ar-SA"/>
              </w:rPr>
              <w:t>Detailed focus</w:t>
            </w:r>
          </w:p>
        </w:tc>
        <w:tc>
          <w:tcPr>
            <w:tcW w:w="165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7"/>
                <w:szCs w:val="22"/>
                <w:lang w:val="en-US" w:eastAsia="en-US" w:bidi="ar-SA"/>
              </w:rPr>
            </w:pPr>
            <w:r>
              <w:rPr>
                <w:rFonts w:eastAsia="ＭＳ 明朝"/>
                <w:kern w:val="0"/>
                <w:sz w:val="17"/>
                <w:szCs w:val="22"/>
                <w:lang w:val="en-US" w:eastAsia="en-US" w:bidi="ar-SA"/>
              </w:rPr>
              <w:t>Theme 1</w:t>
            </w:r>
          </w:p>
        </w:tc>
      </w:tr>
      <w:tr>
        <w:trPr>
          <w:cantSplit/>
        </w:trPr>
        <w:tc>
          <w:tcPr>
            <w:tcW w:w="1152"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7"/>
                <w:szCs w:val="22"/>
                <w:lang w:val="en-US" w:eastAsia="en-US" w:bidi="ar-SA"/>
              </w:rPr>
            </w:pPr>
            <w:r>
              <w:rPr>
                <w:rFonts w:eastAsia="ＭＳ 明朝"/>
                <w:kern w:val="0"/>
                <w:sz w:val="17"/>
                <w:szCs w:val="22"/>
                <w:lang w:val="en-US" w:eastAsia="en-US" w:bidi="ar-SA"/>
              </w:rPr>
              <w:t>MDM-003</w:t>
            </w:r>
          </w:p>
        </w:tc>
        <w:tc>
          <w:tcPr>
            <w:tcW w:w="4608"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7"/>
                <w:szCs w:val="22"/>
                <w:lang w:val="en-US" w:eastAsia="en-US" w:bidi="ar-SA"/>
              </w:rPr>
            </w:pPr>
            <w:r>
              <w:rPr>
                <w:rFonts w:eastAsia="ＭＳ 明朝"/>
                <w:kern w:val="0"/>
                <w:sz w:val="17"/>
                <w:szCs w:val="22"/>
                <w:lang w:val="en-US" w:eastAsia="en-US" w:bidi="ar-SA"/>
              </w:rPr>
              <w:t>No established planning family hierarchy</w:t>
            </w:r>
          </w:p>
        </w:tc>
        <w:tc>
          <w:tcPr>
            <w:tcW w:w="1944"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7"/>
                <w:szCs w:val="22"/>
                <w:lang w:val="en-US" w:eastAsia="en-US" w:bidi="ar-SA"/>
              </w:rPr>
            </w:pPr>
            <w:r>
              <w:rPr>
                <w:rFonts w:eastAsia="ＭＳ 明朝"/>
                <w:kern w:val="0"/>
                <w:sz w:val="17"/>
                <w:szCs w:val="22"/>
                <w:lang w:val="en-US" w:eastAsia="en-US" w:bidi="ar-SA"/>
              </w:rPr>
              <w:t>Detailed focus</w:t>
            </w:r>
          </w:p>
        </w:tc>
        <w:tc>
          <w:tcPr>
            <w:tcW w:w="1655"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7"/>
                <w:szCs w:val="22"/>
                <w:lang w:val="en-US" w:eastAsia="en-US" w:bidi="ar-SA"/>
              </w:rPr>
            </w:pPr>
            <w:r>
              <w:rPr>
                <w:rFonts w:eastAsia="ＭＳ 明朝"/>
                <w:kern w:val="0"/>
                <w:sz w:val="17"/>
                <w:szCs w:val="22"/>
                <w:lang w:val="en-US" w:eastAsia="en-US" w:bidi="ar-SA"/>
              </w:rPr>
              <w:t>Theme 5</w:t>
            </w:r>
          </w:p>
        </w:tc>
      </w:tr>
      <w:tr>
        <w:trPr>
          <w:cantSplit/>
        </w:trPr>
        <w:tc>
          <w:tcPr>
            <w:tcW w:w="115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7"/>
                <w:szCs w:val="22"/>
                <w:lang w:val="en-US" w:eastAsia="en-US" w:bidi="ar-SA"/>
              </w:rPr>
            </w:pPr>
            <w:r>
              <w:rPr>
                <w:rFonts w:eastAsia="ＭＳ 明朝"/>
                <w:kern w:val="0"/>
                <w:sz w:val="17"/>
                <w:szCs w:val="22"/>
                <w:lang w:val="en-US" w:eastAsia="en-US" w:bidi="ar-SA"/>
              </w:rPr>
              <w:t>MDM-004</w:t>
            </w:r>
          </w:p>
        </w:tc>
        <w:tc>
          <w:tcPr>
            <w:tcW w:w="460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7"/>
                <w:szCs w:val="22"/>
                <w:lang w:val="en-US" w:eastAsia="en-US" w:bidi="ar-SA"/>
              </w:rPr>
            </w:pPr>
            <w:r>
              <w:rPr>
                <w:rFonts w:eastAsia="ＭＳ 明朝"/>
                <w:kern w:val="0"/>
                <w:sz w:val="17"/>
                <w:szCs w:val="22"/>
                <w:lang w:val="en-US" w:eastAsia="en-US" w:bidi="ar-SA"/>
              </w:rPr>
              <w:t>Characteristic combination validation gap</w:t>
            </w:r>
          </w:p>
        </w:tc>
        <w:tc>
          <w:tcPr>
            <w:tcW w:w="194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7"/>
                <w:szCs w:val="22"/>
                <w:lang w:val="en-US" w:eastAsia="en-US" w:bidi="ar-SA"/>
              </w:rPr>
            </w:pPr>
            <w:r>
              <w:rPr>
                <w:rFonts w:eastAsia="ＭＳ 明朝"/>
                <w:kern w:val="0"/>
                <w:sz w:val="17"/>
                <w:szCs w:val="22"/>
                <w:lang w:val="en-US" w:eastAsia="en-US" w:bidi="ar-SA"/>
              </w:rPr>
              <w:t>Embedded control</w:t>
            </w:r>
          </w:p>
        </w:tc>
        <w:tc>
          <w:tcPr>
            <w:tcW w:w="165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7"/>
                <w:szCs w:val="22"/>
                <w:lang w:val="en-US" w:eastAsia="en-US" w:bidi="ar-SA"/>
              </w:rPr>
            </w:pPr>
            <w:r>
              <w:rPr>
                <w:rFonts w:eastAsia="ＭＳ 明朝"/>
                <w:kern w:val="0"/>
                <w:sz w:val="17"/>
                <w:szCs w:val="22"/>
                <w:lang w:val="en-US" w:eastAsia="en-US" w:bidi="ar-SA"/>
              </w:rPr>
              <w:t>Theme 1</w:t>
            </w:r>
          </w:p>
        </w:tc>
      </w:tr>
      <w:tr>
        <w:trPr>
          <w:cantSplit/>
        </w:trPr>
        <w:tc>
          <w:tcPr>
            <w:tcW w:w="1152"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7"/>
                <w:szCs w:val="22"/>
                <w:lang w:val="en-US" w:eastAsia="en-US" w:bidi="ar-SA"/>
              </w:rPr>
            </w:pPr>
            <w:r>
              <w:rPr>
                <w:rFonts w:eastAsia="ＭＳ 明朝"/>
                <w:kern w:val="0"/>
                <w:sz w:val="17"/>
                <w:szCs w:val="22"/>
                <w:lang w:val="en-US" w:eastAsia="en-US" w:bidi="ar-SA"/>
              </w:rPr>
              <w:t>MDM-005</w:t>
            </w:r>
          </w:p>
        </w:tc>
        <w:tc>
          <w:tcPr>
            <w:tcW w:w="4608"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7"/>
                <w:szCs w:val="22"/>
                <w:lang w:val="en-US" w:eastAsia="en-US" w:bidi="ar-SA"/>
              </w:rPr>
            </w:pPr>
            <w:r>
              <w:rPr>
                <w:rFonts w:eastAsia="ＭＳ 明朝"/>
                <w:kern w:val="0"/>
                <w:sz w:val="17"/>
                <w:szCs w:val="22"/>
                <w:lang w:val="en-US" w:eastAsia="en-US" w:bidi="ar-SA"/>
              </w:rPr>
              <w:t>Ramp-up/ramp-down not controlled</w:t>
            </w:r>
          </w:p>
        </w:tc>
        <w:tc>
          <w:tcPr>
            <w:tcW w:w="1944"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7"/>
                <w:szCs w:val="22"/>
                <w:lang w:val="en-US" w:eastAsia="en-US" w:bidi="ar-SA"/>
              </w:rPr>
            </w:pPr>
            <w:r>
              <w:rPr>
                <w:rFonts w:eastAsia="ＭＳ 明朝"/>
                <w:kern w:val="0"/>
                <w:sz w:val="17"/>
                <w:szCs w:val="22"/>
                <w:lang w:val="en-US" w:eastAsia="en-US" w:bidi="ar-SA"/>
              </w:rPr>
              <w:t>Detailed focus</w:t>
            </w:r>
          </w:p>
        </w:tc>
        <w:tc>
          <w:tcPr>
            <w:tcW w:w="1655"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7"/>
                <w:szCs w:val="22"/>
                <w:lang w:val="en-US" w:eastAsia="en-US" w:bidi="ar-SA"/>
              </w:rPr>
            </w:pPr>
            <w:r>
              <w:rPr>
                <w:rFonts w:eastAsia="ＭＳ 明朝"/>
                <w:kern w:val="0"/>
                <w:sz w:val="17"/>
                <w:szCs w:val="22"/>
                <w:lang w:val="en-US" w:eastAsia="en-US" w:bidi="ar-SA"/>
              </w:rPr>
              <w:t>Theme 4</w:t>
            </w:r>
          </w:p>
        </w:tc>
      </w:tr>
      <w:tr>
        <w:trPr>
          <w:cantSplit/>
        </w:trPr>
        <w:tc>
          <w:tcPr>
            <w:tcW w:w="115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7"/>
                <w:szCs w:val="22"/>
                <w:lang w:val="en-US" w:eastAsia="en-US" w:bidi="ar-SA"/>
              </w:rPr>
            </w:pPr>
            <w:r>
              <w:rPr>
                <w:rFonts w:eastAsia="ＭＳ 明朝"/>
                <w:kern w:val="0"/>
                <w:sz w:val="17"/>
                <w:szCs w:val="22"/>
                <w:lang w:val="en-US" w:eastAsia="en-US" w:bidi="ar-SA"/>
              </w:rPr>
              <w:t>MDM-006</w:t>
            </w:r>
          </w:p>
        </w:tc>
        <w:tc>
          <w:tcPr>
            <w:tcW w:w="460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7"/>
                <w:szCs w:val="22"/>
                <w:lang w:val="en-US" w:eastAsia="en-US" w:bidi="ar-SA"/>
              </w:rPr>
            </w:pPr>
            <w:r>
              <w:rPr>
                <w:rFonts w:eastAsia="ＭＳ 明朝"/>
                <w:kern w:val="0"/>
                <w:sz w:val="17"/>
                <w:szCs w:val="22"/>
                <w:lang w:val="en-US" w:eastAsia="en-US" w:bidi="ar-SA"/>
              </w:rPr>
              <w:t>Engineering change impact not visible in planning</w:t>
            </w:r>
          </w:p>
        </w:tc>
        <w:tc>
          <w:tcPr>
            <w:tcW w:w="194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7"/>
                <w:szCs w:val="22"/>
                <w:lang w:val="en-US" w:eastAsia="en-US" w:bidi="ar-SA"/>
              </w:rPr>
            </w:pPr>
            <w:r>
              <w:rPr>
                <w:rFonts w:eastAsia="ＭＳ 明朝"/>
                <w:kern w:val="0"/>
                <w:sz w:val="17"/>
                <w:szCs w:val="22"/>
                <w:lang w:val="en-US" w:eastAsia="en-US" w:bidi="ar-SA"/>
              </w:rPr>
              <w:t>Catalogue only</w:t>
            </w:r>
          </w:p>
        </w:tc>
        <w:tc>
          <w:tcPr>
            <w:tcW w:w="165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7"/>
                <w:szCs w:val="22"/>
                <w:lang w:val="en-US" w:eastAsia="en-US" w:bidi="ar-SA"/>
              </w:rPr>
            </w:pPr>
            <w:r>
              <w:rPr>
                <w:rFonts w:eastAsia="ＭＳ 明朝"/>
                <w:kern w:val="0"/>
                <w:sz w:val="17"/>
                <w:szCs w:val="22"/>
                <w:lang w:val="en-US" w:eastAsia="en-US" w:bidi="ar-SA"/>
              </w:rPr>
              <w:t>Dependency</w:t>
            </w:r>
          </w:p>
        </w:tc>
      </w:tr>
      <w:tr>
        <w:trPr>
          <w:cantSplit/>
        </w:trPr>
        <w:tc>
          <w:tcPr>
            <w:tcW w:w="1152"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7"/>
                <w:szCs w:val="22"/>
                <w:lang w:val="en-US" w:eastAsia="en-US" w:bidi="ar-SA"/>
              </w:rPr>
            </w:pPr>
            <w:r>
              <w:rPr>
                <w:rFonts w:eastAsia="ＭＳ 明朝"/>
                <w:kern w:val="0"/>
                <w:sz w:val="17"/>
                <w:szCs w:val="22"/>
                <w:lang w:val="en-US" w:eastAsia="en-US" w:bidi="ar-SA"/>
              </w:rPr>
              <w:t>MDM-007</w:t>
            </w:r>
          </w:p>
        </w:tc>
        <w:tc>
          <w:tcPr>
            <w:tcW w:w="4608"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7"/>
                <w:szCs w:val="22"/>
                <w:lang w:val="en-US" w:eastAsia="en-US" w:bidi="ar-SA"/>
              </w:rPr>
            </w:pPr>
            <w:r>
              <w:rPr>
                <w:rFonts w:eastAsia="ＭＳ 明朝"/>
                <w:kern w:val="0"/>
                <w:sz w:val="17"/>
                <w:szCs w:val="22"/>
                <w:lang w:val="en-US" w:eastAsia="en-US" w:bidi="ar-SA"/>
              </w:rPr>
              <w:t>Duplicate or similar FERTs</w:t>
            </w:r>
          </w:p>
        </w:tc>
        <w:tc>
          <w:tcPr>
            <w:tcW w:w="1944"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7"/>
                <w:szCs w:val="22"/>
                <w:lang w:val="en-US" w:eastAsia="en-US" w:bidi="ar-SA"/>
              </w:rPr>
            </w:pPr>
            <w:r>
              <w:rPr>
                <w:rFonts w:eastAsia="ＭＳ 明朝"/>
                <w:kern w:val="0"/>
                <w:sz w:val="17"/>
                <w:szCs w:val="22"/>
                <w:lang w:val="en-US" w:eastAsia="en-US" w:bidi="ar-SA"/>
              </w:rPr>
              <w:t>Detailed focus</w:t>
            </w:r>
          </w:p>
        </w:tc>
        <w:tc>
          <w:tcPr>
            <w:tcW w:w="1655"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7"/>
                <w:szCs w:val="22"/>
                <w:lang w:val="en-US" w:eastAsia="en-US" w:bidi="ar-SA"/>
              </w:rPr>
            </w:pPr>
            <w:r>
              <w:rPr>
                <w:rFonts w:eastAsia="ＭＳ 明朝"/>
                <w:kern w:val="0"/>
                <w:sz w:val="17"/>
                <w:szCs w:val="22"/>
                <w:lang w:val="en-US" w:eastAsia="en-US" w:bidi="ar-SA"/>
              </w:rPr>
              <w:t>Theme 2</w:t>
            </w:r>
          </w:p>
        </w:tc>
      </w:tr>
      <w:tr>
        <w:trPr>
          <w:cantSplit/>
        </w:trPr>
        <w:tc>
          <w:tcPr>
            <w:tcW w:w="115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7"/>
                <w:szCs w:val="22"/>
                <w:lang w:val="en-US" w:eastAsia="en-US" w:bidi="ar-SA"/>
              </w:rPr>
            </w:pPr>
            <w:r>
              <w:rPr>
                <w:rFonts w:eastAsia="ＭＳ 明朝"/>
                <w:kern w:val="0"/>
                <w:sz w:val="17"/>
                <w:szCs w:val="22"/>
                <w:lang w:val="en-US" w:eastAsia="en-US" w:bidi="ar-SA"/>
              </w:rPr>
              <w:t>MDM-008</w:t>
            </w:r>
          </w:p>
        </w:tc>
        <w:tc>
          <w:tcPr>
            <w:tcW w:w="460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7"/>
                <w:szCs w:val="22"/>
                <w:lang w:val="en-US" w:eastAsia="en-US" w:bidi="ar-SA"/>
              </w:rPr>
            </w:pPr>
            <w:r>
              <w:rPr>
                <w:rFonts w:eastAsia="ＭＳ 明朝"/>
                <w:kern w:val="0"/>
                <w:sz w:val="17"/>
                <w:szCs w:val="22"/>
                <w:lang w:val="en-US" w:eastAsia="en-US" w:bidi="ar-SA"/>
              </w:rPr>
              <w:t>Lifecycle status missing or weak</w:t>
            </w:r>
          </w:p>
        </w:tc>
        <w:tc>
          <w:tcPr>
            <w:tcW w:w="194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7"/>
                <w:szCs w:val="22"/>
                <w:lang w:val="en-US" w:eastAsia="en-US" w:bidi="ar-SA"/>
              </w:rPr>
            </w:pPr>
            <w:r>
              <w:rPr>
                <w:rFonts w:eastAsia="ＭＳ 明朝"/>
                <w:kern w:val="0"/>
                <w:sz w:val="17"/>
                <w:szCs w:val="22"/>
                <w:lang w:val="en-US" w:eastAsia="en-US" w:bidi="ar-SA"/>
              </w:rPr>
              <w:t>Detailed focus</w:t>
            </w:r>
          </w:p>
        </w:tc>
        <w:tc>
          <w:tcPr>
            <w:tcW w:w="165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7"/>
                <w:szCs w:val="22"/>
                <w:lang w:val="en-US" w:eastAsia="en-US" w:bidi="ar-SA"/>
              </w:rPr>
            </w:pPr>
            <w:r>
              <w:rPr>
                <w:rFonts w:eastAsia="ＭＳ 明朝"/>
                <w:kern w:val="0"/>
                <w:sz w:val="17"/>
                <w:szCs w:val="22"/>
                <w:lang w:val="en-US" w:eastAsia="en-US" w:bidi="ar-SA"/>
              </w:rPr>
              <w:t>Theme 2</w:t>
            </w:r>
          </w:p>
        </w:tc>
      </w:tr>
      <w:tr>
        <w:trPr>
          <w:cantSplit/>
        </w:trPr>
        <w:tc>
          <w:tcPr>
            <w:tcW w:w="1152"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7"/>
                <w:szCs w:val="22"/>
                <w:lang w:val="en-US" w:eastAsia="en-US" w:bidi="ar-SA"/>
              </w:rPr>
            </w:pPr>
            <w:r>
              <w:rPr>
                <w:rFonts w:eastAsia="ＭＳ 明朝"/>
                <w:kern w:val="0"/>
                <w:sz w:val="17"/>
                <w:szCs w:val="22"/>
                <w:lang w:val="en-US" w:eastAsia="en-US" w:bidi="ar-SA"/>
              </w:rPr>
              <w:t>MDM-009</w:t>
            </w:r>
          </w:p>
        </w:tc>
        <w:tc>
          <w:tcPr>
            <w:tcW w:w="4608"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7"/>
                <w:szCs w:val="22"/>
                <w:lang w:val="en-US" w:eastAsia="en-US" w:bidi="ar-SA"/>
              </w:rPr>
            </w:pPr>
            <w:r>
              <w:rPr>
                <w:rFonts w:eastAsia="ＭＳ 明朝"/>
                <w:kern w:val="0"/>
                <w:sz w:val="17"/>
                <w:szCs w:val="22"/>
                <w:lang w:val="en-US" w:eastAsia="en-US" w:bidi="ar-SA"/>
              </w:rPr>
              <w:t>BOM and material master mismatch</w:t>
            </w:r>
          </w:p>
        </w:tc>
        <w:tc>
          <w:tcPr>
            <w:tcW w:w="1944"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7"/>
                <w:szCs w:val="22"/>
                <w:lang w:val="en-US" w:eastAsia="en-US" w:bidi="ar-SA"/>
              </w:rPr>
            </w:pPr>
            <w:r>
              <w:rPr>
                <w:rFonts w:eastAsia="ＭＳ 明朝"/>
                <w:kern w:val="0"/>
                <w:sz w:val="17"/>
                <w:szCs w:val="22"/>
                <w:lang w:val="en-US" w:eastAsia="en-US" w:bidi="ar-SA"/>
              </w:rPr>
              <w:t>Catalogue only</w:t>
            </w:r>
          </w:p>
        </w:tc>
        <w:tc>
          <w:tcPr>
            <w:tcW w:w="1655"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7"/>
                <w:szCs w:val="22"/>
                <w:lang w:val="en-US" w:eastAsia="en-US" w:bidi="ar-SA"/>
              </w:rPr>
            </w:pPr>
            <w:r>
              <w:rPr>
                <w:rFonts w:eastAsia="ＭＳ 明朝"/>
                <w:kern w:val="0"/>
                <w:sz w:val="17"/>
                <w:szCs w:val="22"/>
                <w:lang w:val="en-US" w:eastAsia="en-US" w:bidi="ar-SA"/>
              </w:rPr>
              <w:t>Readiness dependency</w:t>
            </w:r>
          </w:p>
        </w:tc>
      </w:tr>
      <w:tr>
        <w:trPr>
          <w:cantSplit/>
        </w:trPr>
        <w:tc>
          <w:tcPr>
            <w:tcW w:w="115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7"/>
                <w:szCs w:val="22"/>
                <w:lang w:val="en-US" w:eastAsia="en-US" w:bidi="ar-SA"/>
              </w:rPr>
            </w:pPr>
            <w:r>
              <w:rPr>
                <w:rFonts w:eastAsia="ＭＳ 明朝"/>
                <w:kern w:val="0"/>
                <w:sz w:val="17"/>
                <w:szCs w:val="22"/>
                <w:lang w:val="en-US" w:eastAsia="en-US" w:bidi="ar-SA"/>
              </w:rPr>
              <w:t>MDM-010</w:t>
            </w:r>
          </w:p>
        </w:tc>
        <w:tc>
          <w:tcPr>
            <w:tcW w:w="460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7"/>
                <w:szCs w:val="22"/>
                <w:lang w:val="en-US" w:eastAsia="en-US" w:bidi="ar-SA"/>
              </w:rPr>
            </w:pPr>
            <w:r>
              <w:rPr>
                <w:rFonts w:eastAsia="ＭＳ 明朝"/>
                <w:kern w:val="0"/>
                <w:sz w:val="17"/>
                <w:szCs w:val="22"/>
                <w:lang w:val="en-US" w:eastAsia="en-US" w:bidi="ar-SA"/>
              </w:rPr>
              <w:t>UoM inconsistency</w:t>
            </w:r>
          </w:p>
        </w:tc>
        <w:tc>
          <w:tcPr>
            <w:tcW w:w="194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7"/>
                <w:szCs w:val="22"/>
                <w:lang w:val="en-US" w:eastAsia="en-US" w:bidi="ar-SA"/>
              </w:rPr>
            </w:pPr>
            <w:r>
              <w:rPr>
                <w:rFonts w:eastAsia="ＭＳ 明朝"/>
                <w:kern w:val="0"/>
                <w:sz w:val="17"/>
                <w:szCs w:val="22"/>
                <w:lang w:val="en-US" w:eastAsia="en-US" w:bidi="ar-SA"/>
              </w:rPr>
              <w:t>Catalogue only</w:t>
            </w:r>
          </w:p>
        </w:tc>
        <w:tc>
          <w:tcPr>
            <w:tcW w:w="165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7"/>
                <w:szCs w:val="22"/>
                <w:lang w:val="en-US" w:eastAsia="en-US" w:bidi="ar-SA"/>
              </w:rPr>
            </w:pPr>
            <w:r>
              <w:rPr>
                <w:rFonts w:eastAsia="ＭＳ 明朝"/>
                <w:kern w:val="0"/>
                <w:sz w:val="17"/>
                <w:szCs w:val="22"/>
                <w:lang w:val="en-US" w:eastAsia="en-US" w:bidi="ar-SA"/>
              </w:rPr>
              <w:t>Data-quality dependency</w:t>
            </w:r>
          </w:p>
        </w:tc>
      </w:tr>
      <w:tr>
        <w:trPr>
          <w:cantSplit/>
        </w:trPr>
        <w:tc>
          <w:tcPr>
            <w:tcW w:w="1152"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7"/>
                <w:szCs w:val="22"/>
                <w:lang w:val="en-US" w:eastAsia="en-US" w:bidi="ar-SA"/>
              </w:rPr>
            </w:pPr>
            <w:r>
              <w:rPr>
                <w:rFonts w:eastAsia="ＭＳ 明朝"/>
                <w:kern w:val="0"/>
                <w:sz w:val="17"/>
                <w:szCs w:val="22"/>
                <w:lang w:val="en-US" w:eastAsia="en-US" w:bidi="ar-SA"/>
              </w:rPr>
              <w:t>MDM-011</w:t>
            </w:r>
          </w:p>
        </w:tc>
        <w:tc>
          <w:tcPr>
            <w:tcW w:w="4608"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7"/>
                <w:szCs w:val="22"/>
                <w:lang w:val="en-US" w:eastAsia="en-US" w:bidi="ar-SA"/>
              </w:rPr>
            </w:pPr>
            <w:r>
              <w:rPr>
                <w:rFonts w:eastAsia="ＭＳ 明朝"/>
                <w:kern w:val="0"/>
                <w:sz w:val="17"/>
                <w:szCs w:val="22"/>
                <w:lang w:val="en-US" w:eastAsia="en-US" w:bidi="ar-SA"/>
              </w:rPr>
              <w:t>Missing MRP and planning parameters</w:t>
            </w:r>
          </w:p>
        </w:tc>
        <w:tc>
          <w:tcPr>
            <w:tcW w:w="1944"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7"/>
                <w:szCs w:val="22"/>
                <w:lang w:val="en-US" w:eastAsia="en-US" w:bidi="ar-SA"/>
              </w:rPr>
            </w:pPr>
            <w:r>
              <w:rPr>
                <w:rFonts w:eastAsia="ＭＳ 明朝"/>
                <w:kern w:val="0"/>
                <w:sz w:val="17"/>
                <w:szCs w:val="22"/>
                <w:lang w:val="en-US" w:eastAsia="en-US" w:bidi="ar-SA"/>
              </w:rPr>
              <w:t>Catalogue only</w:t>
            </w:r>
          </w:p>
        </w:tc>
        <w:tc>
          <w:tcPr>
            <w:tcW w:w="1655"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7"/>
                <w:szCs w:val="22"/>
                <w:lang w:val="en-US" w:eastAsia="en-US" w:bidi="ar-SA"/>
              </w:rPr>
            </w:pPr>
            <w:r>
              <w:rPr>
                <w:rFonts w:eastAsia="ＭＳ 明朝"/>
                <w:kern w:val="0"/>
                <w:sz w:val="17"/>
                <w:szCs w:val="22"/>
                <w:lang w:val="en-US" w:eastAsia="en-US" w:bidi="ar-SA"/>
              </w:rPr>
              <w:t>Planning dependency</w:t>
            </w:r>
          </w:p>
        </w:tc>
      </w:tr>
      <w:tr>
        <w:trPr>
          <w:cantSplit/>
        </w:trPr>
        <w:tc>
          <w:tcPr>
            <w:tcW w:w="115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7"/>
                <w:szCs w:val="22"/>
                <w:lang w:val="en-US" w:eastAsia="en-US" w:bidi="ar-SA"/>
              </w:rPr>
            </w:pPr>
            <w:r>
              <w:rPr>
                <w:rFonts w:eastAsia="ＭＳ 明朝"/>
                <w:kern w:val="0"/>
                <w:sz w:val="17"/>
                <w:szCs w:val="22"/>
                <w:lang w:val="en-US" w:eastAsia="en-US" w:bidi="ar-SA"/>
              </w:rPr>
              <w:t>MDM-012</w:t>
            </w:r>
          </w:p>
        </w:tc>
        <w:tc>
          <w:tcPr>
            <w:tcW w:w="460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7"/>
                <w:szCs w:val="22"/>
                <w:lang w:val="en-US" w:eastAsia="en-US" w:bidi="ar-SA"/>
              </w:rPr>
            </w:pPr>
            <w:r>
              <w:rPr>
                <w:rFonts w:eastAsia="ＭＳ 明朝"/>
                <w:kern w:val="0"/>
                <w:sz w:val="17"/>
                <w:szCs w:val="22"/>
                <w:lang w:val="en-US" w:eastAsia="en-US" w:bidi="ar-SA"/>
              </w:rPr>
              <w:t>Lead-time inaccuracies</w:t>
            </w:r>
          </w:p>
        </w:tc>
        <w:tc>
          <w:tcPr>
            <w:tcW w:w="194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7"/>
                <w:szCs w:val="22"/>
                <w:lang w:val="en-US" w:eastAsia="en-US" w:bidi="ar-SA"/>
              </w:rPr>
            </w:pPr>
            <w:r>
              <w:rPr>
                <w:rFonts w:eastAsia="ＭＳ 明朝"/>
                <w:kern w:val="0"/>
                <w:sz w:val="17"/>
                <w:szCs w:val="22"/>
                <w:lang w:val="en-US" w:eastAsia="en-US" w:bidi="ar-SA"/>
              </w:rPr>
              <w:t>Catalogue only</w:t>
            </w:r>
          </w:p>
        </w:tc>
        <w:tc>
          <w:tcPr>
            <w:tcW w:w="165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7"/>
                <w:szCs w:val="22"/>
                <w:lang w:val="en-US" w:eastAsia="en-US" w:bidi="ar-SA"/>
              </w:rPr>
            </w:pPr>
            <w:r>
              <w:rPr>
                <w:rFonts w:eastAsia="ＭＳ 明朝"/>
                <w:kern w:val="0"/>
                <w:sz w:val="17"/>
                <w:szCs w:val="22"/>
                <w:lang w:val="en-US" w:eastAsia="en-US" w:bidi="ar-SA"/>
              </w:rPr>
              <w:t>Planning dependency</w:t>
            </w:r>
          </w:p>
        </w:tc>
      </w:tr>
      <w:tr>
        <w:trPr>
          <w:cantSplit/>
        </w:trPr>
        <w:tc>
          <w:tcPr>
            <w:tcW w:w="1152"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7"/>
                <w:szCs w:val="22"/>
                <w:lang w:val="en-US" w:eastAsia="en-US" w:bidi="ar-SA"/>
              </w:rPr>
            </w:pPr>
            <w:r>
              <w:rPr>
                <w:rFonts w:eastAsia="ＭＳ 明朝"/>
                <w:kern w:val="0"/>
                <w:sz w:val="17"/>
                <w:szCs w:val="22"/>
                <w:lang w:val="en-US" w:eastAsia="en-US" w:bidi="ar-SA"/>
              </w:rPr>
              <w:t>MDM-013</w:t>
            </w:r>
          </w:p>
        </w:tc>
        <w:tc>
          <w:tcPr>
            <w:tcW w:w="4608"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7"/>
                <w:szCs w:val="22"/>
                <w:lang w:val="en-US" w:eastAsia="en-US" w:bidi="ar-SA"/>
              </w:rPr>
            </w:pPr>
            <w:r>
              <w:rPr>
                <w:rFonts w:eastAsia="ＭＳ 明朝"/>
                <w:kern w:val="0"/>
                <w:sz w:val="17"/>
                <w:szCs w:val="22"/>
                <w:lang w:val="en-US" w:eastAsia="en-US" w:bidi="ar-SA"/>
              </w:rPr>
              <w:t>Procurement type errors</w:t>
            </w:r>
          </w:p>
        </w:tc>
        <w:tc>
          <w:tcPr>
            <w:tcW w:w="1944"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7"/>
                <w:szCs w:val="22"/>
                <w:lang w:val="en-US" w:eastAsia="en-US" w:bidi="ar-SA"/>
              </w:rPr>
            </w:pPr>
            <w:r>
              <w:rPr>
                <w:rFonts w:eastAsia="ＭＳ 明朝"/>
                <w:kern w:val="0"/>
                <w:sz w:val="17"/>
                <w:szCs w:val="22"/>
                <w:lang w:val="en-US" w:eastAsia="en-US" w:bidi="ar-SA"/>
              </w:rPr>
              <w:t>Catalogue only</w:t>
            </w:r>
          </w:p>
        </w:tc>
        <w:tc>
          <w:tcPr>
            <w:tcW w:w="1655"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7"/>
                <w:szCs w:val="22"/>
                <w:lang w:val="en-US" w:eastAsia="en-US" w:bidi="ar-SA"/>
              </w:rPr>
            </w:pPr>
            <w:r>
              <w:rPr>
                <w:rFonts w:eastAsia="ＭＳ 明朝"/>
                <w:kern w:val="0"/>
                <w:sz w:val="17"/>
                <w:szCs w:val="22"/>
                <w:lang w:val="en-US" w:eastAsia="en-US" w:bidi="ar-SA"/>
              </w:rPr>
              <w:t>Execution dependency</w:t>
            </w:r>
          </w:p>
        </w:tc>
      </w:tr>
      <w:tr>
        <w:trPr>
          <w:cantSplit/>
        </w:trPr>
        <w:tc>
          <w:tcPr>
            <w:tcW w:w="115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7"/>
                <w:szCs w:val="22"/>
                <w:lang w:val="en-US" w:eastAsia="en-US" w:bidi="ar-SA"/>
              </w:rPr>
            </w:pPr>
            <w:r>
              <w:rPr>
                <w:rFonts w:eastAsia="ＭＳ 明朝"/>
                <w:kern w:val="0"/>
                <w:sz w:val="17"/>
                <w:szCs w:val="22"/>
                <w:lang w:val="en-US" w:eastAsia="en-US" w:bidi="ar-SA"/>
              </w:rPr>
              <w:t>MDM-014</w:t>
            </w:r>
          </w:p>
        </w:tc>
        <w:tc>
          <w:tcPr>
            <w:tcW w:w="460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7"/>
                <w:szCs w:val="22"/>
                <w:lang w:val="en-US" w:eastAsia="en-US" w:bidi="ar-SA"/>
              </w:rPr>
            </w:pPr>
            <w:r>
              <w:rPr>
                <w:rFonts w:eastAsia="ＭＳ 明朝"/>
                <w:kern w:val="0"/>
                <w:sz w:val="17"/>
                <w:szCs w:val="22"/>
                <w:lang w:val="en-US" w:eastAsia="en-US" w:bidi="ar-SA"/>
              </w:rPr>
              <w:t>Manual changes without governance</w:t>
            </w:r>
          </w:p>
        </w:tc>
        <w:tc>
          <w:tcPr>
            <w:tcW w:w="194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7"/>
                <w:szCs w:val="22"/>
                <w:lang w:val="en-US" w:eastAsia="en-US" w:bidi="ar-SA"/>
              </w:rPr>
            </w:pPr>
            <w:r>
              <w:rPr>
                <w:rFonts w:eastAsia="ＭＳ 明朝"/>
                <w:kern w:val="0"/>
                <w:sz w:val="17"/>
                <w:szCs w:val="22"/>
                <w:lang w:val="en-US" w:eastAsia="en-US" w:bidi="ar-SA"/>
              </w:rPr>
              <w:t>Cross-cutting control</w:t>
            </w:r>
          </w:p>
        </w:tc>
        <w:tc>
          <w:tcPr>
            <w:tcW w:w="165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7"/>
                <w:szCs w:val="22"/>
                <w:lang w:val="en-US" w:eastAsia="en-US" w:bidi="ar-SA"/>
              </w:rPr>
            </w:pPr>
            <w:r>
              <w:rPr>
                <w:rFonts w:eastAsia="ＭＳ 明朝"/>
                <w:kern w:val="0"/>
                <w:sz w:val="17"/>
                <w:szCs w:val="22"/>
                <w:lang w:val="en-US" w:eastAsia="en-US" w:bidi="ar-SA"/>
              </w:rPr>
              <w:t>All themes</w:t>
            </w:r>
          </w:p>
        </w:tc>
      </w:tr>
      <w:tr>
        <w:trPr>
          <w:cantSplit/>
        </w:trPr>
        <w:tc>
          <w:tcPr>
            <w:tcW w:w="1152"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7"/>
                <w:szCs w:val="22"/>
                <w:lang w:val="en-US" w:eastAsia="en-US" w:bidi="ar-SA"/>
              </w:rPr>
            </w:pPr>
            <w:r>
              <w:rPr>
                <w:rFonts w:eastAsia="ＭＳ 明朝"/>
                <w:kern w:val="0"/>
                <w:sz w:val="17"/>
                <w:szCs w:val="22"/>
                <w:lang w:val="en-US" w:eastAsia="en-US" w:bidi="ar-SA"/>
              </w:rPr>
              <w:t>MDM-015</w:t>
            </w:r>
          </w:p>
        </w:tc>
        <w:tc>
          <w:tcPr>
            <w:tcW w:w="4608"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7"/>
                <w:szCs w:val="22"/>
                <w:lang w:val="en-US" w:eastAsia="en-US" w:bidi="ar-SA"/>
              </w:rPr>
            </w:pPr>
            <w:r>
              <w:rPr>
                <w:rFonts w:eastAsia="ＭＳ 明朝"/>
                <w:kern w:val="0"/>
                <w:sz w:val="17"/>
                <w:szCs w:val="22"/>
                <w:lang w:val="en-US" w:eastAsia="en-US" w:bidi="ar-SA"/>
              </w:rPr>
              <w:t>Multiple Excel sources outside SAP</w:t>
            </w:r>
          </w:p>
        </w:tc>
        <w:tc>
          <w:tcPr>
            <w:tcW w:w="1944"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7"/>
                <w:szCs w:val="22"/>
                <w:lang w:val="en-US" w:eastAsia="en-US" w:bidi="ar-SA"/>
              </w:rPr>
            </w:pPr>
            <w:r>
              <w:rPr>
                <w:rFonts w:eastAsia="ＭＳ 明朝"/>
                <w:kern w:val="0"/>
                <w:sz w:val="17"/>
                <w:szCs w:val="22"/>
                <w:lang w:val="en-US" w:eastAsia="en-US" w:bidi="ar-SA"/>
              </w:rPr>
              <w:t>Cross-cutting control</w:t>
            </w:r>
          </w:p>
        </w:tc>
        <w:tc>
          <w:tcPr>
            <w:tcW w:w="1655"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7"/>
                <w:szCs w:val="22"/>
                <w:lang w:val="en-US" w:eastAsia="en-US" w:bidi="ar-SA"/>
              </w:rPr>
            </w:pPr>
            <w:r>
              <w:rPr>
                <w:rFonts w:eastAsia="ＭＳ 明朝"/>
                <w:kern w:val="0"/>
                <w:sz w:val="17"/>
                <w:szCs w:val="22"/>
                <w:lang w:val="en-US" w:eastAsia="en-US" w:bidi="ar-SA"/>
              </w:rPr>
              <w:t>All themes</w:t>
            </w:r>
          </w:p>
        </w:tc>
      </w:tr>
      <w:tr>
        <w:trPr>
          <w:cantSplit/>
        </w:trPr>
        <w:tc>
          <w:tcPr>
            <w:tcW w:w="115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7"/>
                <w:szCs w:val="22"/>
                <w:lang w:val="en-US" w:eastAsia="en-US" w:bidi="ar-SA"/>
              </w:rPr>
            </w:pPr>
            <w:r>
              <w:rPr>
                <w:rFonts w:eastAsia="ＭＳ 明朝"/>
                <w:kern w:val="0"/>
                <w:sz w:val="17"/>
                <w:szCs w:val="22"/>
                <w:lang w:val="en-US" w:eastAsia="en-US" w:bidi="ar-SA"/>
              </w:rPr>
              <w:t>MDM-016</w:t>
            </w:r>
          </w:p>
        </w:tc>
        <w:tc>
          <w:tcPr>
            <w:tcW w:w="460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7"/>
                <w:szCs w:val="22"/>
                <w:lang w:val="en-US" w:eastAsia="en-US" w:bidi="ar-SA"/>
              </w:rPr>
            </w:pPr>
            <w:r>
              <w:rPr>
                <w:rFonts w:eastAsia="ＭＳ 明朝"/>
                <w:kern w:val="0"/>
                <w:sz w:val="17"/>
                <w:szCs w:val="22"/>
                <w:lang w:val="en-US" w:eastAsia="en-US" w:bidi="ar-SA"/>
              </w:rPr>
              <w:t>Unclear ownership</w:t>
            </w:r>
          </w:p>
        </w:tc>
        <w:tc>
          <w:tcPr>
            <w:tcW w:w="194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7"/>
                <w:szCs w:val="22"/>
                <w:lang w:val="en-US" w:eastAsia="en-US" w:bidi="ar-SA"/>
              </w:rPr>
            </w:pPr>
            <w:r>
              <w:rPr>
                <w:rFonts w:eastAsia="ＭＳ 明朝"/>
                <w:kern w:val="0"/>
                <w:sz w:val="17"/>
                <w:szCs w:val="22"/>
                <w:lang w:val="en-US" w:eastAsia="en-US" w:bidi="ar-SA"/>
              </w:rPr>
              <w:t>Cross-cutting control</w:t>
            </w:r>
          </w:p>
        </w:tc>
        <w:tc>
          <w:tcPr>
            <w:tcW w:w="165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7"/>
                <w:szCs w:val="22"/>
                <w:lang w:val="en-US" w:eastAsia="en-US" w:bidi="ar-SA"/>
              </w:rPr>
            </w:pPr>
            <w:r>
              <w:rPr>
                <w:rFonts w:eastAsia="ＭＳ 明朝"/>
                <w:kern w:val="0"/>
                <w:sz w:val="17"/>
                <w:szCs w:val="22"/>
                <w:lang w:val="en-US" w:eastAsia="en-US" w:bidi="ar-SA"/>
              </w:rPr>
              <w:t>All themes</w:t>
            </w:r>
          </w:p>
        </w:tc>
      </w:tr>
      <w:tr>
        <w:trPr>
          <w:cantSplit/>
        </w:trPr>
        <w:tc>
          <w:tcPr>
            <w:tcW w:w="1152"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7"/>
                <w:szCs w:val="22"/>
                <w:lang w:val="en-US" w:eastAsia="en-US" w:bidi="ar-SA"/>
              </w:rPr>
            </w:pPr>
            <w:r>
              <w:rPr>
                <w:rFonts w:eastAsia="ＭＳ 明朝"/>
                <w:kern w:val="0"/>
                <w:sz w:val="17"/>
                <w:szCs w:val="22"/>
                <w:lang w:val="en-US" w:eastAsia="en-US" w:bidi="ar-SA"/>
              </w:rPr>
              <w:t>MDM-017</w:t>
            </w:r>
          </w:p>
        </w:tc>
        <w:tc>
          <w:tcPr>
            <w:tcW w:w="4608"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7"/>
                <w:szCs w:val="22"/>
                <w:lang w:val="en-US" w:eastAsia="en-US" w:bidi="ar-SA"/>
              </w:rPr>
            </w:pPr>
            <w:r>
              <w:rPr>
                <w:rFonts w:eastAsia="ＭＳ 明朝"/>
                <w:kern w:val="0"/>
                <w:sz w:val="17"/>
                <w:szCs w:val="22"/>
                <w:lang w:val="en-US" w:eastAsia="en-US" w:bidi="ar-SA"/>
              </w:rPr>
              <w:t>No central MDM quality dashboard</w:t>
            </w:r>
          </w:p>
        </w:tc>
        <w:tc>
          <w:tcPr>
            <w:tcW w:w="1944"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7"/>
                <w:szCs w:val="22"/>
                <w:lang w:val="en-US" w:eastAsia="en-US" w:bidi="ar-SA"/>
              </w:rPr>
            </w:pPr>
            <w:r>
              <w:rPr>
                <w:rFonts w:eastAsia="ＭＳ 明朝"/>
                <w:kern w:val="0"/>
                <w:sz w:val="17"/>
                <w:szCs w:val="22"/>
                <w:lang w:val="en-US" w:eastAsia="en-US" w:bidi="ar-SA"/>
              </w:rPr>
              <w:t>UX/control requirement</w:t>
            </w:r>
          </w:p>
        </w:tc>
        <w:tc>
          <w:tcPr>
            <w:tcW w:w="1655"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7"/>
                <w:szCs w:val="22"/>
                <w:lang w:val="en-US" w:eastAsia="en-US" w:bidi="ar-SA"/>
              </w:rPr>
            </w:pPr>
            <w:r>
              <w:rPr>
                <w:rFonts w:eastAsia="ＭＳ 明朝"/>
                <w:kern w:val="0"/>
                <w:sz w:val="17"/>
                <w:szCs w:val="22"/>
                <w:lang w:val="en-US" w:eastAsia="en-US" w:bidi="ar-SA"/>
              </w:rPr>
              <w:t>All themes</w:t>
            </w:r>
          </w:p>
        </w:tc>
      </w:tr>
    </w:tbl>
    <w:p>
      <w:pPr>
        <w:pStyle w:val="Normal"/>
        <w:widowControl/>
        <w:rPr/>
      </w:pPr>
      <w:r>
        <w:rPr/>
      </w:r>
      <w:r>
        <w:br w:type="page"/>
      </w:r>
    </w:p>
    <w:p>
      <w:pPr>
        <w:pStyle w:val="Heading1"/>
        <w:keepNext w:val="true"/>
        <w:widowControl/>
        <w:spacing w:before="0" w:after="80"/>
        <w:rPr/>
      </w:pPr>
      <w:r>
        <w:rPr/>
        <w:t>5. Detailed Functional Solution Design</w:t>
      </w:r>
    </w:p>
    <w:p>
      <w:pPr>
        <w:pStyle w:val="Normal"/>
        <w:widowControl/>
        <w:rPr/>
      </w:pPr>
      <w:r>
        <w:rPr/>
        <w:t>The detailed design is organized into five solution themes derived from the official MOM. Each theme links the business problem to functional behavior, ownership, controls and an illustrative example.</w:t>
      </w:r>
    </w:p>
    <w:p>
      <w:pPr>
        <w:pStyle w:val="Heading2"/>
        <w:keepNext w:val="true"/>
        <w:widowControl/>
        <w:rPr/>
      </w:pPr>
      <w:r>
        <w:rPr/>
        <w:t>5.1 Theme 1 - Master-Data Quality and Planning Classification</w:t>
      </w:r>
    </w:p>
    <w:tbl>
      <w:tblPr>
        <w:tblW w:w="9360" w:type="dxa"/>
        <w:jc w:val="start"/>
        <w:tblInd w:w="-115" w:type="dxa"/>
        <w:tblLayout w:type="fixed"/>
        <w:tblCellMar>
          <w:top w:w="95" w:type="dxa"/>
          <w:start w:w="110" w:type="dxa"/>
          <w:bottom w:w="95" w:type="dxa"/>
          <w:end w:w="110" w:type="dxa"/>
        </w:tblCellMar>
      </w:tblPr>
      <w:tblGrid>
        <w:gridCol w:w="1727"/>
        <w:gridCol w:w="5257"/>
        <w:gridCol w:w="2376"/>
      </w:tblGrid>
      <w:tr>
        <w:trPr>
          <w:tblHeader w:val="true"/>
          <w:cantSplit/>
        </w:trPr>
        <w:tc>
          <w:tcPr>
            <w:tcW w:w="1727" w:type="dxa"/>
            <w:tcBorders>
              <w:top w:val="single" w:sz="4" w:space="0" w:color="000000"/>
              <w:start w:val="single" w:sz="4" w:space="0" w:color="000000"/>
              <w:bottom w:val="single" w:sz="4" w:space="0" w:color="000000"/>
              <w:end w:val="single" w:sz="4" w:space="0" w:color="000000"/>
            </w:tcBorders>
            <w:shd w:fill="0B1F33" w:val="clear"/>
            <w:vAlign w:val="center"/>
          </w:tcPr>
          <w:p>
            <w:pPr>
              <w:pStyle w:val="Normal"/>
              <w:widowControl/>
              <w:spacing w:lineRule="auto" w:line="240" w:before="0" w:after="4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Dimension</w:t>
            </w:r>
          </w:p>
        </w:tc>
        <w:tc>
          <w:tcPr>
            <w:tcW w:w="5257" w:type="dxa"/>
            <w:tcBorders>
              <w:top w:val="single" w:sz="4" w:space="0" w:color="000000"/>
              <w:start w:val="single" w:sz="4" w:space="0" w:color="000000"/>
              <w:bottom w:val="single" w:sz="4" w:space="0" w:color="000000"/>
              <w:end w:val="single" w:sz="4" w:space="0" w:color="000000"/>
            </w:tcBorders>
            <w:shd w:fill="0B1F33" w:val="clear"/>
            <w:vAlign w:val="center"/>
          </w:tcPr>
          <w:p>
            <w:pPr>
              <w:pStyle w:val="Normal"/>
              <w:widowControl/>
              <w:spacing w:lineRule="auto" w:line="240" w:before="0" w:after="4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Detailed Functional Solution Design</w:t>
            </w:r>
          </w:p>
        </w:tc>
        <w:tc>
          <w:tcPr>
            <w:tcW w:w="2376" w:type="dxa"/>
            <w:tcBorders>
              <w:top w:val="single" w:sz="4" w:space="0" w:color="000000"/>
              <w:start w:val="single" w:sz="4" w:space="0" w:color="000000"/>
              <w:bottom w:val="single" w:sz="4" w:space="0" w:color="000000"/>
              <w:end w:val="single" w:sz="4" w:space="0" w:color="000000"/>
            </w:tcBorders>
            <w:shd w:fill="0B1F33" w:val="clear"/>
            <w:vAlign w:val="center"/>
          </w:tcPr>
          <w:p>
            <w:pPr>
              <w:pStyle w:val="Normal"/>
              <w:widowControl/>
              <w:spacing w:lineRule="auto" w:line="240" w:before="0" w:after="4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Example</w:t>
            </w:r>
          </w:p>
        </w:tc>
      </w:tr>
      <w:tr>
        <w:trPr>
          <w:cantSplit/>
        </w:trPr>
        <w:tc>
          <w:tcPr>
            <w:tcW w:w="1727"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Business problem</w:t>
            </w:r>
          </w:p>
        </w:tc>
        <w:tc>
          <w:tcPr>
            <w:tcW w:w="5257"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Division, Vertical, Sub-vertical, GVW, UPIN and other planning characteristics may be incomplete or inconsistent, causing incorrect planning and reporting.</w:t>
            </w:r>
          </w:p>
        </w:tc>
        <w:tc>
          <w:tcPr>
            <w:tcW w:w="2376"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 Bus FERT is classified under Truck, or GVW/UPIN is blank and the record still reaches planning.</w:t>
            </w:r>
          </w:p>
        </w:tc>
      </w:tr>
      <w:tr>
        <w:trPr>
          <w:cantSplit/>
        </w:trPr>
        <w:tc>
          <w:tcPr>
            <w:tcW w:w="172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Proposed capability</w:t>
            </w:r>
          </w:p>
        </w:tc>
        <w:tc>
          <w:tcPr>
            <w:tcW w:w="525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Apply vertical-specific mandatory fields, controlled values, conditional rules and combination checks. Show completeness and validity status before planning use.</w:t>
            </w:r>
          </w:p>
        </w:tc>
        <w:tc>
          <w:tcPr>
            <w:tcW w:w="237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Selecting LMD activates the approved LMD field template and prevents certification until required fields are complete.</w:t>
            </w:r>
          </w:p>
        </w:tc>
      </w:tr>
      <w:tr>
        <w:trPr>
          <w:cantSplit/>
        </w:trPr>
        <w:tc>
          <w:tcPr>
            <w:tcW w:w="1727"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System boundary</w:t>
            </w:r>
          </w:p>
        </w:tc>
        <w:tc>
          <w:tcPr>
            <w:tcW w:w="5257"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IDM/ECC remain the systems responsible for master maintenance. The T5 solution consumes validation results, highlights planning-impacting defects and governs correction and readiness.</w:t>
            </w:r>
          </w:p>
        </w:tc>
        <w:tc>
          <w:tcPr>
            <w:tcW w:w="2376"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The UX displays the failing source field and routes the correction to the IDM/ECC owner instead of directly rewriting source data.</w:t>
            </w:r>
          </w:p>
        </w:tc>
      </w:tr>
      <w:tr>
        <w:trPr>
          <w:cantSplit/>
        </w:trPr>
        <w:tc>
          <w:tcPr>
            <w:tcW w:w="172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Workflow</w:t>
            </w:r>
          </w:p>
        </w:tc>
        <w:tc>
          <w:tcPr>
            <w:tcW w:w="525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Detect defect -&gt; classify severity -&gt; assign owner -&gt; correct in source -&gt; revalidate -&gt; approve exception if permitted -&gt; publish readiness.</w:t>
            </w:r>
          </w:p>
        </w:tc>
        <w:tc>
          <w:tcPr>
            <w:tcW w:w="237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 missing GVW creates a critical exception assigned to Product Design/MDM and blocks planning readiness.</w:t>
            </w:r>
          </w:p>
        </w:tc>
      </w:tr>
      <w:tr>
        <w:trPr>
          <w:cantSplit/>
        </w:trPr>
        <w:tc>
          <w:tcPr>
            <w:tcW w:w="1727"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Controls</w:t>
            </w:r>
          </w:p>
        </w:tc>
        <w:tc>
          <w:tcPr>
            <w:tcW w:w="5257"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Critical fields block planning readiness; approved exceptions require reason, approver and expiry; source-to-consumer values are reconciled.</w:t>
            </w:r>
          </w:p>
        </w:tc>
        <w:tc>
          <w:tcPr>
            <w:tcW w:w="2376"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 temporary exception expires after the agreed date and returns to the exception queue if not corrected.</w:t>
            </w:r>
          </w:p>
        </w:tc>
      </w:tr>
      <w:tr>
        <w:trPr>
          <w:cantSplit/>
        </w:trPr>
        <w:tc>
          <w:tcPr>
            <w:tcW w:w="172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Ownership</w:t>
            </w:r>
          </w:p>
        </w:tc>
        <w:tc>
          <w:tcPr>
            <w:tcW w:w="525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Product Design/MDM owns source correction; PSP and Planning confirm planning relevance; S&amp;OP Lead approves material exceptions.</w:t>
            </w:r>
          </w:p>
        </w:tc>
        <w:tc>
          <w:tcPr>
            <w:tcW w:w="237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PSP confirms that an attribute affects grouping before a rule is treated as planning-critical.</w:t>
            </w:r>
          </w:p>
        </w:tc>
      </w:tr>
      <w:tr>
        <w:trPr>
          <w:cantSplit/>
        </w:trPr>
        <w:tc>
          <w:tcPr>
            <w:tcW w:w="1727"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Acceptance</w:t>
            </w:r>
          </w:p>
        </w:tc>
        <w:tc>
          <w:tcPr>
            <w:tcW w:w="5257"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Every planning-visible FERT has valid mandatory characteristics or a visible, approved and time-bound exception.</w:t>
            </w:r>
          </w:p>
        </w:tc>
        <w:tc>
          <w:tcPr>
            <w:tcW w:w="2376"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The dashboard shows no unowned critical characteristic exception.</w:t>
            </w:r>
          </w:p>
        </w:tc>
      </w:tr>
    </w:tbl>
    <w:p>
      <w:pPr>
        <w:pStyle w:val="Normal"/>
        <w:widowControl/>
        <w:spacing w:before="0" w:after="40"/>
        <w:rPr/>
      </w:pPr>
      <w:r>
        <w:rPr/>
      </w:r>
    </w:p>
    <w:p>
      <w:pPr>
        <w:pStyle w:val="Heading2"/>
        <w:keepNext w:val="true"/>
        <w:widowControl/>
        <w:rPr/>
      </w:pPr>
      <w:r>
        <w:rPr/>
        <w:t>5.2 Theme 2 - FERT Rationalization, Lifecycle, Blocking and Non-SOP Control</w:t>
      </w:r>
    </w:p>
    <w:tbl>
      <w:tblPr>
        <w:tblW w:w="9360" w:type="dxa"/>
        <w:jc w:val="start"/>
        <w:tblInd w:w="-115" w:type="dxa"/>
        <w:tblLayout w:type="fixed"/>
        <w:tblCellMar>
          <w:top w:w="95" w:type="dxa"/>
          <w:start w:w="110" w:type="dxa"/>
          <w:bottom w:w="95" w:type="dxa"/>
          <w:end w:w="110" w:type="dxa"/>
        </w:tblCellMar>
      </w:tblPr>
      <w:tblGrid>
        <w:gridCol w:w="1727"/>
        <w:gridCol w:w="5257"/>
        <w:gridCol w:w="2376"/>
      </w:tblGrid>
      <w:tr>
        <w:trPr>
          <w:tblHeader w:val="true"/>
          <w:cantSplit/>
        </w:trPr>
        <w:tc>
          <w:tcPr>
            <w:tcW w:w="1727" w:type="dxa"/>
            <w:tcBorders>
              <w:top w:val="single" w:sz="4" w:space="0" w:color="000000"/>
              <w:start w:val="single" w:sz="4" w:space="0" w:color="000000"/>
              <w:bottom w:val="single" w:sz="4" w:space="0" w:color="000000"/>
              <w:end w:val="single" w:sz="4" w:space="0" w:color="000000"/>
            </w:tcBorders>
            <w:shd w:fill="0B1F33" w:val="clear"/>
            <w:vAlign w:val="center"/>
          </w:tcPr>
          <w:p>
            <w:pPr>
              <w:pStyle w:val="Normal"/>
              <w:widowControl/>
              <w:spacing w:lineRule="auto" w:line="240" w:before="0" w:after="4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Dimension</w:t>
            </w:r>
          </w:p>
        </w:tc>
        <w:tc>
          <w:tcPr>
            <w:tcW w:w="5257" w:type="dxa"/>
            <w:tcBorders>
              <w:top w:val="single" w:sz="4" w:space="0" w:color="000000"/>
              <w:start w:val="single" w:sz="4" w:space="0" w:color="000000"/>
              <w:bottom w:val="single" w:sz="4" w:space="0" w:color="000000"/>
              <w:end w:val="single" w:sz="4" w:space="0" w:color="000000"/>
            </w:tcBorders>
            <w:shd w:fill="0B1F33" w:val="clear"/>
            <w:vAlign w:val="center"/>
          </w:tcPr>
          <w:p>
            <w:pPr>
              <w:pStyle w:val="Normal"/>
              <w:widowControl/>
              <w:spacing w:lineRule="auto" w:line="240" w:before="0" w:after="4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Detailed Functional Solution Design</w:t>
            </w:r>
          </w:p>
        </w:tc>
        <w:tc>
          <w:tcPr>
            <w:tcW w:w="2376" w:type="dxa"/>
            <w:tcBorders>
              <w:top w:val="single" w:sz="4" w:space="0" w:color="000000"/>
              <w:start w:val="single" w:sz="4" w:space="0" w:color="000000"/>
              <w:bottom w:val="single" w:sz="4" w:space="0" w:color="000000"/>
              <w:end w:val="single" w:sz="4" w:space="0" w:color="000000"/>
            </w:tcBorders>
            <w:shd w:fill="0B1F33" w:val="clear"/>
            <w:vAlign w:val="center"/>
          </w:tcPr>
          <w:p>
            <w:pPr>
              <w:pStyle w:val="Normal"/>
              <w:widowControl/>
              <w:spacing w:lineRule="auto" w:line="240" w:before="0" w:after="4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Example</w:t>
            </w:r>
          </w:p>
        </w:tc>
      </w:tr>
      <w:tr>
        <w:trPr>
          <w:cantSplit/>
        </w:trPr>
        <w:tc>
          <w:tcPr>
            <w:tcW w:w="1727"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Business problem</w:t>
            </w:r>
          </w:p>
        </w:tc>
        <w:tc>
          <w:tcPr>
            <w:tcW w:w="5257"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Rationalization and retirement are manual; blocked FERTs may remain available for indenting; non-SOP FERTs can be used beyond their intended purpose.</w:t>
            </w:r>
          </w:p>
        </w:tc>
        <w:tc>
          <w:tcPr>
            <w:tcW w:w="2376"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 FERT marked for blocking continues to receive dealer indents because stock has not yet reached zero.</w:t>
            </w:r>
          </w:p>
        </w:tc>
      </w:tr>
      <w:tr>
        <w:trPr>
          <w:cantSplit/>
        </w:trPr>
        <w:tc>
          <w:tcPr>
            <w:tcW w:w="172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Proposed capability</w:t>
            </w:r>
          </w:p>
        </w:tc>
        <w:tc>
          <w:tcPr>
            <w:tcW w:w="525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Generate rationalization candidates using sales trend, orders, stock, migration, last transaction and lifecycle evidence. Support effective-dated lifecycle and differentiated restrictions.</w:t>
            </w:r>
          </w:p>
        </w:tc>
        <w:tc>
          <w:tcPr>
            <w:tcW w:w="237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 FERT with no demand for 12 months, no open orders and a confirmed successor is recommended for retirement.</w:t>
            </w:r>
          </w:p>
        </w:tc>
      </w:tr>
      <w:tr>
        <w:trPr>
          <w:cantSplit/>
        </w:trPr>
        <w:tc>
          <w:tcPr>
            <w:tcW w:w="1727"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Lifecycle states</w:t>
            </w:r>
          </w:p>
        </w:tc>
        <w:tc>
          <w:tcPr>
            <w:tcW w:w="5257"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Draft, Non-SOP Restricted, Active, Ramp-Up, Ramp-Down, Blocked for New Indent, Liquidation Only, Retired.</w:t>
            </w:r>
          </w:p>
        </w:tc>
        <w:tc>
          <w:tcPr>
            <w:tcW w:w="2376"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 Non-SOP FERT allows five certification vehicles but is not selectable for normal dealer indent.</w:t>
            </w:r>
          </w:p>
        </w:tc>
      </w:tr>
      <w:tr>
        <w:trPr>
          <w:cantSplit/>
        </w:trPr>
        <w:tc>
          <w:tcPr>
            <w:tcW w:w="172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Blocking logic</w:t>
            </w:r>
          </w:p>
        </w:tc>
        <w:tc>
          <w:tcPr>
            <w:tcW w:w="525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Separate blocking for new planning, indent, production, sales and complete retirement. Preserve controlled liquidation of existing stock and approved commitments.</w:t>
            </w:r>
          </w:p>
        </w:tc>
        <w:tc>
          <w:tcPr>
            <w:tcW w:w="237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The old FERT disappears from new-indent selection while existing finished stock remains available for approved liquidation.</w:t>
            </w:r>
          </w:p>
        </w:tc>
      </w:tr>
      <w:tr>
        <w:trPr>
          <w:cantSplit/>
        </w:trPr>
        <w:tc>
          <w:tcPr>
            <w:tcW w:w="1727"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Workflow</w:t>
            </w:r>
          </w:p>
        </w:tc>
        <w:tc>
          <w:tcPr>
            <w:tcW w:w="5257"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Recommend candidate -&gt; review evidence -&gt; check stock/orders/indents -&gt; select restriction -&gt; approve -&gt; publish -&gt; monitor -&gt; retire.</w:t>
            </w:r>
          </w:p>
        </w:tc>
        <w:tc>
          <w:tcPr>
            <w:tcW w:w="2376"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PPC validates open production orders before PSP approves a block-for-indent date.</w:t>
            </w:r>
          </w:p>
        </w:tc>
      </w:tr>
      <w:tr>
        <w:trPr>
          <w:cantSplit/>
        </w:trPr>
        <w:tc>
          <w:tcPr>
            <w:tcW w:w="172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Controls</w:t>
            </w:r>
          </w:p>
        </w:tc>
        <w:tc>
          <w:tcPr>
            <w:tcW w:w="525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No automated retirement without approval; non-SOP quantity and validity limits are monitored; all overrides are audited.</w:t>
            </w:r>
          </w:p>
        </w:tc>
        <w:tc>
          <w:tcPr>
            <w:tcW w:w="237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Production above the authorised prototype quantity creates an exception and prevents further release.</w:t>
            </w:r>
          </w:p>
        </w:tc>
      </w:tr>
      <w:tr>
        <w:trPr>
          <w:cantSplit/>
        </w:trPr>
        <w:tc>
          <w:tcPr>
            <w:tcW w:w="1727"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Acceptance</w:t>
            </w:r>
          </w:p>
        </w:tc>
        <w:tc>
          <w:tcPr>
            <w:tcW w:w="5257"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 restricted or retired FERT cannot receive prohibited demand, while approved stock liquidation remains visible and controlled.</w:t>
            </w:r>
          </w:p>
        </w:tc>
        <w:tc>
          <w:tcPr>
            <w:tcW w:w="2376"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Indent users cannot select the FERT after the approved block date.</w:t>
            </w:r>
          </w:p>
        </w:tc>
      </w:tr>
    </w:tbl>
    <w:p>
      <w:pPr>
        <w:pStyle w:val="Normal"/>
        <w:widowControl/>
        <w:spacing w:before="0" w:after="40"/>
        <w:rPr/>
      </w:pPr>
      <w:r>
        <w:rPr/>
      </w:r>
    </w:p>
    <w:p>
      <w:pPr>
        <w:pStyle w:val="Heading2"/>
        <w:keepNext w:val="true"/>
        <w:widowControl/>
        <w:rPr/>
      </w:pPr>
      <w:r>
        <w:rPr/>
        <w:t>5.3 Theme 3 - Price Readiness for SOP and Non-SOP FERTs</w:t>
      </w:r>
    </w:p>
    <w:tbl>
      <w:tblPr>
        <w:tblW w:w="9360" w:type="dxa"/>
        <w:jc w:val="start"/>
        <w:tblInd w:w="-115" w:type="dxa"/>
        <w:tblLayout w:type="fixed"/>
        <w:tblCellMar>
          <w:top w:w="95" w:type="dxa"/>
          <w:start w:w="110" w:type="dxa"/>
          <w:bottom w:w="95" w:type="dxa"/>
          <w:end w:w="110" w:type="dxa"/>
        </w:tblCellMar>
      </w:tblPr>
      <w:tblGrid>
        <w:gridCol w:w="1727"/>
        <w:gridCol w:w="5257"/>
        <w:gridCol w:w="2376"/>
      </w:tblGrid>
      <w:tr>
        <w:trPr>
          <w:tblHeader w:val="true"/>
          <w:cantSplit/>
        </w:trPr>
        <w:tc>
          <w:tcPr>
            <w:tcW w:w="1727" w:type="dxa"/>
            <w:tcBorders>
              <w:top w:val="single" w:sz="4" w:space="0" w:color="000000"/>
              <w:start w:val="single" w:sz="4" w:space="0" w:color="000000"/>
              <w:bottom w:val="single" w:sz="4" w:space="0" w:color="000000"/>
              <w:end w:val="single" w:sz="4" w:space="0" w:color="000000"/>
            </w:tcBorders>
            <w:shd w:fill="0B1F33" w:val="clear"/>
            <w:vAlign w:val="center"/>
          </w:tcPr>
          <w:p>
            <w:pPr>
              <w:pStyle w:val="Normal"/>
              <w:widowControl/>
              <w:spacing w:lineRule="auto" w:line="240" w:before="0" w:after="4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Dimension</w:t>
            </w:r>
          </w:p>
        </w:tc>
        <w:tc>
          <w:tcPr>
            <w:tcW w:w="5257" w:type="dxa"/>
            <w:tcBorders>
              <w:top w:val="single" w:sz="4" w:space="0" w:color="000000"/>
              <w:start w:val="single" w:sz="4" w:space="0" w:color="000000"/>
              <w:bottom w:val="single" w:sz="4" w:space="0" w:color="000000"/>
              <w:end w:val="single" w:sz="4" w:space="0" w:color="000000"/>
            </w:tcBorders>
            <w:shd w:fill="0B1F33" w:val="clear"/>
            <w:vAlign w:val="center"/>
          </w:tcPr>
          <w:p>
            <w:pPr>
              <w:pStyle w:val="Normal"/>
              <w:widowControl/>
              <w:spacing w:lineRule="auto" w:line="240" w:before="0" w:after="4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Detailed Functional Solution Design</w:t>
            </w:r>
          </w:p>
        </w:tc>
        <w:tc>
          <w:tcPr>
            <w:tcW w:w="2376" w:type="dxa"/>
            <w:tcBorders>
              <w:top w:val="single" w:sz="4" w:space="0" w:color="000000"/>
              <w:start w:val="single" w:sz="4" w:space="0" w:color="000000"/>
              <w:bottom w:val="single" w:sz="4" w:space="0" w:color="000000"/>
              <w:end w:val="single" w:sz="4" w:space="0" w:color="000000"/>
            </w:tcBorders>
            <w:shd w:fill="0B1F33" w:val="clear"/>
            <w:vAlign w:val="center"/>
          </w:tcPr>
          <w:p>
            <w:pPr>
              <w:pStyle w:val="Normal"/>
              <w:widowControl/>
              <w:spacing w:lineRule="auto" w:line="240" w:before="0" w:after="4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Example</w:t>
            </w:r>
          </w:p>
        </w:tc>
      </w:tr>
      <w:tr>
        <w:trPr>
          <w:cantSplit/>
        </w:trPr>
        <w:tc>
          <w:tcPr>
            <w:tcW w:w="1727"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Business problem</w:t>
            </w:r>
          </w:p>
        </w:tc>
        <w:tc>
          <w:tcPr>
            <w:tcW w:w="5257"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Price is mandatory for STO, RGP and other transactions, but NPI FERTs may reach production before required pricing is available.</w:t>
            </w:r>
          </w:p>
        </w:tc>
        <w:tc>
          <w:tcPr>
            <w:tcW w:w="2376"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 prototype vehicle is produced but cannot be transferred internally because price is missing.</w:t>
            </w:r>
          </w:p>
        </w:tc>
      </w:tr>
      <w:tr>
        <w:trPr>
          <w:cantSplit/>
        </w:trPr>
        <w:tc>
          <w:tcPr>
            <w:tcW w:w="172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Proposed capability</w:t>
            </w:r>
          </w:p>
        </w:tc>
        <w:tc>
          <w:tcPr>
            <w:tcW w:w="525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Add a price-readiness status with responsible owner, required price types, effective date, validation result, pending action and escalation.</w:t>
            </w:r>
          </w:p>
        </w:tc>
        <w:tc>
          <w:tcPr>
            <w:tcW w:w="237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The FERT 360 view shows 'Price Pending' with Finance/Pricing as owner and the required completion date.</w:t>
            </w:r>
          </w:p>
        </w:tc>
      </w:tr>
      <w:tr>
        <w:trPr>
          <w:cantSplit/>
        </w:trPr>
        <w:tc>
          <w:tcPr>
            <w:tcW w:w="1727"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Workflow</w:t>
            </w:r>
          </w:p>
        </w:tc>
        <w:tc>
          <w:tcPr>
            <w:tcW w:w="5257"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FERT release -&gt; identify required transaction types -&gt; request price -&gt; validate completeness/effective date -&gt; approve -&gt; publish readiness -&gt; monitor expiry/change.</w:t>
            </w:r>
          </w:p>
        </w:tc>
        <w:tc>
          <w:tcPr>
            <w:tcW w:w="2376"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An STO requirement triggers a price task before the planned internal movement date.</w:t>
            </w:r>
          </w:p>
        </w:tc>
      </w:tr>
      <w:tr>
        <w:trPr>
          <w:cantSplit/>
        </w:trPr>
        <w:tc>
          <w:tcPr>
            <w:tcW w:w="172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Controls</w:t>
            </w:r>
          </w:p>
        </w:tc>
        <w:tc>
          <w:tcPr>
            <w:tcW w:w="525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 transaction requiring price cannot be released when mandatory pricing is absent or invalid; exceptions require authorised approval and expiry.</w:t>
            </w:r>
          </w:p>
        </w:tc>
        <w:tc>
          <w:tcPr>
            <w:tcW w:w="237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 time-bound prototype exception is approved for a specific transaction and quantity only.</w:t>
            </w:r>
          </w:p>
        </w:tc>
      </w:tr>
      <w:tr>
        <w:trPr>
          <w:cantSplit/>
        </w:trPr>
        <w:tc>
          <w:tcPr>
            <w:tcW w:w="1727"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Ownership</w:t>
            </w:r>
          </w:p>
        </w:tc>
        <w:tc>
          <w:tcPr>
            <w:tcW w:w="5257"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Marketing provides commercial intent; Finance/Pricing owns price maintenance; PSP coordinates readiness; IT owns interface failures.</w:t>
            </w:r>
          </w:p>
        </w:tc>
        <w:tc>
          <w:tcPr>
            <w:tcW w:w="2376"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PSP can see the dependency but cannot approve Finance-owned pricing data.</w:t>
            </w:r>
          </w:p>
        </w:tc>
      </w:tr>
      <w:tr>
        <w:trPr>
          <w:cantSplit/>
        </w:trPr>
        <w:tc>
          <w:tcPr>
            <w:tcW w:w="172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Acceptance</w:t>
            </w:r>
          </w:p>
        </w:tc>
        <w:tc>
          <w:tcPr>
            <w:tcW w:w="525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SOP and non-SOP FERTs have visible price readiness before dependent transactions are attempted.</w:t>
            </w:r>
          </w:p>
        </w:tc>
        <w:tc>
          <w:tcPr>
            <w:tcW w:w="237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No failed STO/RGP caused by an undetected missing mandatory price.</w:t>
            </w:r>
          </w:p>
        </w:tc>
      </w:tr>
    </w:tbl>
    <w:p>
      <w:pPr>
        <w:pStyle w:val="Normal"/>
        <w:widowControl/>
        <w:spacing w:before="0" w:after="40"/>
        <w:rPr/>
      </w:pPr>
      <w:r>
        <w:rPr/>
      </w:r>
    </w:p>
    <w:p>
      <w:pPr>
        <w:pStyle w:val="Heading2"/>
        <w:keepNext w:val="true"/>
        <w:widowControl/>
        <w:rPr/>
      </w:pPr>
      <w:r>
        <w:rPr/>
        <w:t>5.4 Theme 4 - FERT Lineage, Migration, Parallel Products and Ramp Transition</w:t>
      </w:r>
    </w:p>
    <w:tbl>
      <w:tblPr>
        <w:tblW w:w="9360" w:type="dxa"/>
        <w:jc w:val="start"/>
        <w:tblInd w:w="-115" w:type="dxa"/>
        <w:tblLayout w:type="fixed"/>
        <w:tblCellMar>
          <w:top w:w="95" w:type="dxa"/>
          <w:start w:w="110" w:type="dxa"/>
          <w:bottom w:w="95" w:type="dxa"/>
          <w:end w:w="110" w:type="dxa"/>
        </w:tblCellMar>
      </w:tblPr>
      <w:tblGrid>
        <w:gridCol w:w="1727"/>
        <w:gridCol w:w="5257"/>
        <w:gridCol w:w="2376"/>
      </w:tblGrid>
      <w:tr>
        <w:trPr>
          <w:tblHeader w:val="true"/>
          <w:cantSplit/>
        </w:trPr>
        <w:tc>
          <w:tcPr>
            <w:tcW w:w="1727" w:type="dxa"/>
            <w:tcBorders>
              <w:top w:val="single" w:sz="4" w:space="0" w:color="000000"/>
              <w:start w:val="single" w:sz="4" w:space="0" w:color="000000"/>
              <w:bottom w:val="single" w:sz="4" w:space="0" w:color="000000"/>
              <w:end w:val="single" w:sz="4" w:space="0" w:color="000000"/>
            </w:tcBorders>
            <w:shd w:fill="0B1F33" w:val="clear"/>
            <w:vAlign w:val="center"/>
          </w:tcPr>
          <w:p>
            <w:pPr>
              <w:pStyle w:val="Normal"/>
              <w:widowControl/>
              <w:spacing w:lineRule="auto" w:line="240" w:before="0" w:after="4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Dimension</w:t>
            </w:r>
          </w:p>
        </w:tc>
        <w:tc>
          <w:tcPr>
            <w:tcW w:w="5257" w:type="dxa"/>
            <w:tcBorders>
              <w:top w:val="single" w:sz="4" w:space="0" w:color="000000"/>
              <w:start w:val="single" w:sz="4" w:space="0" w:color="000000"/>
              <w:bottom w:val="single" w:sz="4" w:space="0" w:color="000000"/>
              <w:end w:val="single" w:sz="4" w:space="0" w:color="000000"/>
            </w:tcBorders>
            <w:shd w:fill="0B1F33" w:val="clear"/>
            <w:vAlign w:val="center"/>
          </w:tcPr>
          <w:p>
            <w:pPr>
              <w:pStyle w:val="Normal"/>
              <w:widowControl/>
              <w:spacing w:lineRule="auto" w:line="240" w:before="0" w:after="4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Detailed Functional Solution Design</w:t>
            </w:r>
          </w:p>
        </w:tc>
        <w:tc>
          <w:tcPr>
            <w:tcW w:w="2376" w:type="dxa"/>
            <w:tcBorders>
              <w:top w:val="single" w:sz="4" w:space="0" w:color="000000"/>
              <w:start w:val="single" w:sz="4" w:space="0" w:color="000000"/>
              <w:bottom w:val="single" w:sz="4" w:space="0" w:color="000000"/>
              <w:end w:val="single" w:sz="4" w:space="0" w:color="000000"/>
            </w:tcBorders>
            <w:shd w:fill="0B1F33" w:val="clear"/>
            <w:vAlign w:val="center"/>
          </w:tcPr>
          <w:p>
            <w:pPr>
              <w:pStyle w:val="Normal"/>
              <w:widowControl/>
              <w:spacing w:lineRule="auto" w:line="240" w:before="0" w:after="4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Example</w:t>
            </w:r>
          </w:p>
        </w:tc>
      </w:tr>
      <w:tr>
        <w:trPr>
          <w:cantSplit/>
        </w:trPr>
        <w:tc>
          <w:tcPr>
            <w:tcW w:w="1727"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Business problem</w:t>
            </w:r>
          </w:p>
        </w:tc>
        <w:tc>
          <w:tcPr>
            <w:tcW w:w="5257"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Predecessor-successor relationships, migration, parallel products and ramp transitions are maintained in Excel and individual business knowledge.</w:t>
            </w:r>
          </w:p>
        </w:tc>
        <w:tc>
          <w:tcPr>
            <w:tcW w:w="2376"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 new 6078 FERT has no governed link to comparable 4078/5078 FERTs, so its forecast starts without history.</w:t>
            </w:r>
          </w:p>
        </w:tc>
      </w:tr>
      <w:tr>
        <w:trPr>
          <w:cantSplit/>
        </w:trPr>
        <w:tc>
          <w:tcPr>
            <w:tcW w:w="172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Proposed capability</w:t>
            </w:r>
          </w:p>
        </w:tc>
        <w:tc>
          <w:tcPr>
            <w:tcW w:w="525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Maintain a governed lineage record covering one-to-one, one-to-many, many-to-one, parallel continuation, ramp transition, engineering revision, commercial replacement, reference-copy and no-predecessor cases.</w:t>
            </w:r>
          </w:p>
        </w:tc>
        <w:tc>
          <w:tcPr>
            <w:tcW w:w="237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The user records that the creation reference is only a copy source while a different FERT is the planning predecessor.</w:t>
            </w:r>
          </w:p>
        </w:tc>
      </w:tr>
      <w:tr>
        <w:trPr>
          <w:cantSplit/>
        </w:trPr>
        <w:tc>
          <w:tcPr>
            <w:tcW w:w="1727"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Required data</w:t>
            </w:r>
          </w:p>
        </w:tc>
        <w:tc>
          <w:tcPr>
            <w:tcW w:w="5257"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Predecessor, successor, relationship purpose/type, effective dates, transfer percentage, inventory treatment, reason, evidence, owner and approval.</w:t>
            </w:r>
          </w:p>
        </w:tc>
        <w:tc>
          <w:tcPr>
            <w:tcW w:w="2376"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 one-to-many split stores 60/40 history-transfer percentages with an effective month.</w:t>
            </w:r>
          </w:p>
        </w:tc>
      </w:tr>
      <w:tr>
        <w:trPr>
          <w:cantSplit/>
        </w:trPr>
        <w:tc>
          <w:tcPr>
            <w:tcW w:w="172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Recommendation</w:t>
            </w:r>
          </w:p>
        </w:tc>
        <w:tc>
          <w:tcPr>
            <w:tcW w:w="525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Recommend candidates using MPG, vertical, category, GVW/tonnage, engine, wheelbase, tyre, fuel, application and historical activity; final selection remains with authorised business users.</w:t>
            </w:r>
          </w:p>
        </w:tc>
        <w:tc>
          <w:tcPr>
            <w:tcW w:w="237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The workbench ranks three similar FERTs and shows the characteristic differences and sales history.</w:t>
            </w:r>
          </w:p>
        </w:tc>
      </w:tr>
      <w:tr>
        <w:trPr>
          <w:cantSplit/>
        </w:trPr>
        <w:tc>
          <w:tcPr>
            <w:tcW w:w="1727"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Ramp control</w:t>
            </w:r>
          </w:p>
        </w:tc>
        <w:tc>
          <w:tcPr>
            <w:tcW w:w="5257"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Maintain period-level old/new percentages, transition dates, retirement date and actual-versus-plan variance. Each period must reconcile to 100 percent.</w:t>
            </w:r>
          </w:p>
        </w:tc>
        <w:tc>
          <w:tcPr>
            <w:tcW w:w="2376"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Month 1 is 80/20, Month 2 is 60/40 and Month 3 is 0/100 after approval.</w:t>
            </w:r>
          </w:p>
        </w:tc>
      </w:tr>
      <w:tr>
        <w:trPr>
          <w:cantSplit/>
        </w:trPr>
        <w:tc>
          <w:tcPr>
            <w:tcW w:w="172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Workflow</w:t>
            </w:r>
          </w:p>
        </w:tc>
        <w:tc>
          <w:tcPr>
            <w:tcW w:w="525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New-FERT alert -&gt; review candidates -&gt; select relationship -&gt; define transfer/ramp -&gt; validate stock and commitments -&gt; approve -&gt; publish -&gt; monitor.</w:t>
            </w:r>
          </w:p>
        </w:tc>
        <w:tc>
          <w:tcPr>
            <w:tcW w:w="237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Marketing confirms business intent, Planning validates history, PPC validates stock, and PSP coordinates approval.</w:t>
            </w:r>
          </w:p>
        </w:tc>
      </w:tr>
      <w:tr>
        <w:trPr>
          <w:cantSplit/>
        </w:trPr>
        <w:tc>
          <w:tcPr>
            <w:tcW w:w="1727"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Acceptance</w:t>
            </w:r>
          </w:p>
        </w:tc>
        <w:tc>
          <w:tcPr>
            <w:tcW w:w="5257"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Every replacement or ramp-down FERT has approved lineage or an explicit no-predecessor/retirement decision.</w:t>
            </w:r>
          </w:p>
        </w:tc>
        <w:tc>
          <w:tcPr>
            <w:tcW w:w="2376"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Users can view the complete relationship chain and audit who approved it.</w:t>
            </w:r>
          </w:p>
        </w:tc>
      </w:tr>
    </w:tbl>
    <w:p>
      <w:pPr>
        <w:pStyle w:val="Normal"/>
        <w:widowControl/>
        <w:spacing w:before="0" w:after="40"/>
        <w:rPr/>
      </w:pPr>
      <w:r>
        <w:rPr/>
      </w:r>
    </w:p>
    <w:p>
      <w:pPr>
        <w:pStyle w:val="Heading2"/>
        <w:keepNext w:val="true"/>
        <w:widowControl/>
        <w:rPr/>
      </w:pPr>
      <w:r>
        <w:rPr/>
        <w:t>5.5 Theme 5 - Product Grouping and Historical-Demand Transfer</w:t>
      </w:r>
    </w:p>
    <w:tbl>
      <w:tblPr>
        <w:tblW w:w="9360" w:type="dxa"/>
        <w:jc w:val="start"/>
        <w:tblInd w:w="-115" w:type="dxa"/>
        <w:tblLayout w:type="fixed"/>
        <w:tblCellMar>
          <w:top w:w="95" w:type="dxa"/>
          <w:start w:w="110" w:type="dxa"/>
          <w:bottom w:w="95" w:type="dxa"/>
          <w:end w:w="110" w:type="dxa"/>
        </w:tblCellMar>
      </w:tblPr>
      <w:tblGrid>
        <w:gridCol w:w="1727"/>
        <w:gridCol w:w="5257"/>
        <w:gridCol w:w="2376"/>
      </w:tblGrid>
      <w:tr>
        <w:trPr>
          <w:tblHeader w:val="true"/>
          <w:cantSplit/>
        </w:trPr>
        <w:tc>
          <w:tcPr>
            <w:tcW w:w="1727" w:type="dxa"/>
            <w:tcBorders>
              <w:top w:val="single" w:sz="4" w:space="0" w:color="000000"/>
              <w:start w:val="single" w:sz="4" w:space="0" w:color="000000"/>
              <w:bottom w:val="single" w:sz="4" w:space="0" w:color="000000"/>
              <w:end w:val="single" w:sz="4" w:space="0" w:color="000000"/>
            </w:tcBorders>
            <w:shd w:fill="0B1F33" w:val="clear"/>
            <w:vAlign w:val="center"/>
          </w:tcPr>
          <w:p>
            <w:pPr>
              <w:pStyle w:val="Normal"/>
              <w:widowControl/>
              <w:spacing w:lineRule="auto" w:line="240" w:before="0" w:after="4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Dimension</w:t>
            </w:r>
          </w:p>
        </w:tc>
        <w:tc>
          <w:tcPr>
            <w:tcW w:w="5257" w:type="dxa"/>
            <w:tcBorders>
              <w:top w:val="single" w:sz="4" w:space="0" w:color="000000"/>
              <w:start w:val="single" w:sz="4" w:space="0" w:color="000000"/>
              <w:bottom w:val="single" w:sz="4" w:space="0" w:color="000000"/>
              <w:end w:val="single" w:sz="4" w:space="0" w:color="000000"/>
            </w:tcBorders>
            <w:shd w:fill="0B1F33" w:val="clear"/>
            <w:vAlign w:val="center"/>
          </w:tcPr>
          <w:p>
            <w:pPr>
              <w:pStyle w:val="Normal"/>
              <w:widowControl/>
              <w:spacing w:lineRule="auto" w:line="240" w:before="0" w:after="4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Detailed Functional Solution Design</w:t>
            </w:r>
          </w:p>
        </w:tc>
        <w:tc>
          <w:tcPr>
            <w:tcW w:w="2376" w:type="dxa"/>
            <w:tcBorders>
              <w:top w:val="single" w:sz="4" w:space="0" w:color="000000"/>
              <w:start w:val="single" w:sz="4" w:space="0" w:color="000000"/>
              <w:bottom w:val="single" w:sz="4" w:space="0" w:color="000000"/>
              <w:end w:val="single" w:sz="4" w:space="0" w:color="000000"/>
            </w:tcBorders>
            <w:shd w:fill="0B1F33" w:val="clear"/>
            <w:vAlign w:val="center"/>
          </w:tcPr>
          <w:p>
            <w:pPr>
              <w:pStyle w:val="Normal"/>
              <w:widowControl/>
              <w:spacing w:lineRule="auto" w:line="240" w:before="0" w:after="4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Example</w:t>
            </w:r>
          </w:p>
        </w:tc>
      </w:tr>
      <w:tr>
        <w:trPr>
          <w:cantSplit/>
        </w:trPr>
        <w:tc>
          <w:tcPr>
            <w:tcW w:w="1727"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Business problem</w:t>
            </w:r>
          </w:p>
        </w:tc>
        <w:tc>
          <w:tcPr>
            <w:tcW w:w="5257"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Product grouping and historical-demand preparation are not system driven; grouping criteria differ across trucks and buses.</w:t>
            </w:r>
          </w:p>
        </w:tc>
        <w:tc>
          <w:tcPr>
            <w:tcW w:w="2376"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Separate colour FERTs are forecast independently even though they represent one planning family.</w:t>
            </w:r>
          </w:p>
        </w:tc>
      </w:tr>
      <w:tr>
        <w:trPr>
          <w:cantSplit/>
        </w:trPr>
        <w:tc>
          <w:tcPr>
            <w:tcW w:w="172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Proposed capability</w:t>
            </w:r>
          </w:p>
        </w:tc>
        <w:tc>
          <w:tcPr>
            <w:tcW w:w="525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Maintain configurable vertical-specific planning families and matching priorities. Consolidate approved history at family/group level and disaggregate the forecast using governed weights.</w:t>
            </w:r>
          </w:p>
        </w:tc>
        <w:tc>
          <w:tcPr>
            <w:tcW w:w="237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Blue and green variants are grouped for forecasting and split back using recent demand contribution.</w:t>
            </w:r>
          </w:p>
        </w:tc>
      </w:tr>
      <w:tr>
        <w:trPr>
          <w:cantSplit/>
        </w:trPr>
        <w:tc>
          <w:tcPr>
            <w:tcW w:w="1727"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Hierarchy</w:t>
            </w:r>
          </w:p>
        </w:tc>
        <w:tc>
          <w:tcPr>
            <w:tcW w:w="5257"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Business Unit -&gt; Vertical -&gt; Sub-vertical -&gt; Planning Family -&gt; MPG/Model Group -&gt; FERT, with effective dating and ownership.</w:t>
            </w:r>
          </w:p>
        </w:tc>
        <w:tc>
          <w:tcPr>
            <w:tcW w:w="2376"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 new FERT cannot become planning ready until it has one valid hierarchy path.</w:t>
            </w:r>
          </w:p>
        </w:tc>
      </w:tr>
      <w:tr>
        <w:trPr>
          <w:cantSplit/>
        </w:trPr>
        <w:tc>
          <w:tcPr>
            <w:tcW w:w="172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Vertical rules</w:t>
            </w:r>
          </w:p>
        </w:tc>
        <w:tc>
          <w:tcPr>
            <w:tcW w:w="525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Truck templates may prioritize MPG, tonnage/GVW, engine, wheelbase and application; Bus templates may prioritize seating, length, chassis, AC/non-AC and application. Final priority requires workshop validation.</w:t>
            </w:r>
          </w:p>
        </w:tc>
        <w:tc>
          <w:tcPr>
            <w:tcW w:w="237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Wheelbase may be critical for truck matching but seating capacity may be more important for bus grouping.</w:t>
            </w:r>
          </w:p>
        </w:tc>
      </w:tr>
      <w:tr>
        <w:trPr>
          <w:cantSplit/>
        </w:trPr>
        <w:tc>
          <w:tcPr>
            <w:tcW w:w="1727"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History treatment</w:t>
            </w:r>
          </w:p>
        </w:tc>
        <w:tc>
          <w:tcPr>
            <w:tcW w:w="5257"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Select approved contributors, define historical period and weights, preserve original transactions and publish a lineage-adjusted planning history.</w:t>
            </w:r>
          </w:p>
        </w:tc>
        <w:tc>
          <w:tcPr>
            <w:tcW w:w="2376"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Three parallel FERT histories are consolidated without overwriting the original sales records.</w:t>
            </w:r>
          </w:p>
        </w:tc>
      </w:tr>
      <w:tr>
        <w:trPr>
          <w:cantSplit/>
        </w:trPr>
        <w:tc>
          <w:tcPr>
            <w:tcW w:w="172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Workflow</w:t>
            </w:r>
          </w:p>
        </w:tc>
        <w:tc>
          <w:tcPr>
            <w:tcW w:w="525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Assign hierarchy -&gt; recommend comparable FERTs -&gt; review history -&gt; approve group -&gt; define weights -&gt; publish -&gt; monitor forecast use.</w:t>
            </w:r>
          </w:p>
        </w:tc>
        <w:tc>
          <w:tcPr>
            <w:tcW w:w="237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Demand Planner approves the history contributors before the successor forecast is calculated.</w:t>
            </w:r>
          </w:p>
        </w:tc>
      </w:tr>
      <w:tr>
        <w:trPr>
          <w:cantSplit/>
        </w:trPr>
        <w:tc>
          <w:tcPr>
            <w:tcW w:w="1727"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Acceptance</w:t>
            </w:r>
          </w:p>
        </w:tc>
        <w:tc>
          <w:tcPr>
            <w:tcW w:w="5257"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Every planning-active FERT belongs to one governed planning family and every transferred history value is traceable to approved contributors.</w:t>
            </w:r>
          </w:p>
        </w:tc>
        <w:tc>
          <w:tcPr>
            <w:tcW w:w="2376"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Family totals reconcile to the individual FERT totals.</w:t>
            </w:r>
          </w:p>
        </w:tc>
      </w:tr>
    </w:tbl>
    <w:p>
      <w:pPr>
        <w:pStyle w:val="Normal"/>
        <w:widowControl/>
        <w:rPr/>
      </w:pPr>
      <w:r>
        <w:rPr/>
      </w:r>
      <w:r>
        <w:br w:type="page"/>
      </w:r>
    </w:p>
    <w:p>
      <w:pPr>
        <w:pStyle w:val="Heading1"/>
        <w:keepNext w:val="true"/>
        <w:widowControl/>
        <w:spacing w:before="0" w:after="80"/>
        <w:rPr/>
      </w:pPr>
      <w:r>
        <w:rPr/>
        <w:t>6. Target Operating Model and Personas</w:t>
      </w:r>
    </w:p>
    <w:tbl>
      <w:tblPr>
        <w:tblW w:w="10656" w:type="dxa"/>
        <w:jc w:val="start"/>
        <w:tblInd w:w="-145" w:type="dxa"/>
        <w:tblLayout w:type="fixed"/>
        <w:tblCellMar>
          <w:top w:w="120" w:type="dxa"/>
          <w:start w:w="140" w:type="dxa"/>
          <w:bottom w:w="120" w:type="dxa"/>
          <w:end w:w="140" w:type="dxa"/>
        </w:tblCellMar>
      </w:tblPr>
      <w:tblGrid>
        <w:gridCol w:w="10656"/>
      </w:tblGrid>
      <w:tr>
        <w:trPr/>
        <w:tc>
          <w:tcPr>
            <w:tcW w:w="10656" w:type="dxa"/>
            <w:tcBorders>
              <w:top w:val="single" w:sz="4" w:space="0" w:color="000000"/>
              <w:start w:val="single" w:sz="4" w:space="0" w:color="000000"/>
              <w:bottom w:val="single" w:sz="4" w:space="0" w:color="000000"/>
              <w:end w:val="single" w:sz="4" w:space="0" w:color="000000"/>
            </w:tcBorders>
            <w:shd w:fill="FFF2CC" w:val="clear"/>
          </w:tcPr>
          <w:p>
            <w:pPr>
              <w:pStyle w:val="Normal"/>
              <w:widowControl/>
              <w:spacing w:lineRule="auto" w:line="240" w:before="0" w:after="80"/>
              <w:jc w:val="start"/>
              <w:rPr>
                <w:rFonts w:eastAsia="ＭＳ 明朝"/>
                <w:kern w:val="0"/>
                <w:szCs w:val="22"/>
                <w:lang w:val="en-US" w:eastAsia="en-US" w:bidi="ar-SA"/>
              </w:rPr>
            </w:pPr>
            <w:r>
              <w:rPr>
                <w:rFonts w:eastAsia="ＭＳ 明朝"/>
                <w:b/>
                <w:color w:val="1F4E78"/>
                <w:kern w:val="0"/>
                <w:szCs w:val="22"/>
                <w:lang w:val="en-US" w:eastAsia="en-US" w:bidi="ar-SA"/>
              </w:rPr>
              <w:t>System boundary</w:t>
              <w:br/>
            </w:r>
            <w:r>
              <w:rPr>
                <w:rFonts w:eastAsia="ＭＳ 明朝"/>
                <w:color w:val="212121"/>
                <w:kern w:val="0"/>
                <w:szCs w:val="22"/>
                <w:lang w:val="en-US" w:eastAsia="en-US" w:bidi="ar-SA"/>
              </w:rPr>
              <w:t>IDM and ECC remain responsible for product and material-master maintenance. T5 governs the planning relationship, readiness, lifecycle, exceptions and cross-functional decisions required after or around FERT release. Technical table design, API contracts and physical data engineering remain with the technical team.</w:t>
            </w:r>
          </w:p>
        </w:tc>
      </w:tr>
    </w:tbl>
    <w:p>
      <w:pPr>
        <w:pStyle w:val="Normal"/>
        <w:widowControl/>
        <w:spacing w:before="0" w:after="40"/>
        <w:rPr/>
      </w:pPr>
      <w:r>
        <w:rPr/>
      </w:r>
    </w:p>
    <w:tbl>
      <w:tblPr>
        <w:tblW w:w="9360" w:type="dxa"/>
        <w:jc w:val="start"/>
        <w:tblInd w:w="-115" w:type="dxa"/>
        <w:tblLayout w:type="fixed"/>
        <w:tblCellMar>
          <w:top w:w="95" w:type="dxa"/>
          <w:start w:w="110" w:type="dxa"/>
          <w:bottom w:w="95" w:type="dxa"/>
          <w:end w:w="110" w:type="dxa"/>
        </w:tblCellMar>
      </w:tblPr>
      <w:tblGrid>
        <w:gridCol w:w="2304"/>
        <w:gridCol w:w="4680"/>
        <w:gridCol w:w="2376"/>
      </w:tblGrid>
      <w:tr>
        <w:trPr>
          <w:tblHeader w:val="true"/>
          <w:cantSplit/>
        </w:trPr>
        <w:tc>
          <w:tcPr>
            <w:tcW w:w="2304" w:type="dxa"/>
            <w:tcBorders>
              <w:top w:val="single" w:sz="4" w:space="0" w:color="000000"/>
              <w:start w:val="single" w:sz="4" w:space="0" w:color="000000"/>
              <w:bottom w:val="single" w:sz="4" w:space="0" w:color="000000"/>
              <w:end w:val="single" w:sz="4" w:space="0" w:color="000000"/>
            </w:tcBorders>
            <w:shd w:fill="0B1F33" w:val="clear"/>
            <w:vAlign w:val="center"/>
          </w:tcPr>
          <w:p>
            <w:pPr>
              <w:pStyle w:val="Normal"/>
              <w:widowControl/>
              <w:spacing w:lineRule="auto" w:line="240" w:before="0" w:after="40"/>
              <w:jc w:val="start"/>
              <w:rPr>
                <w:rFonts w:ascii="Aptos" w:hAnsi="Aptos" w:eastAsia="ＭＳ 明朝"/>
                <w:b/>
                <w:color w:val="FFFFFF"/>
                <w:kern w:val="0"/>
                <w:sz w:val="17"/>
                <w:szCs w:val="22"/>
                <w:lang w:val="en-US" w:eastAsia="en-US" w:bidi="ar-SA"/>
              </w:rPr>
            </w:pPr>
            <w:r>
              <w:rPr>
                <w:rFonts w:eastAsia="ＭＳ 明朝"/>
                <w:b/>
                <w:color w:val="FFFFFF"/>
                <w:kern w:val="0"/>
                <w:sz w:val="17"/>
                <w:szCs w:val="22"/>
                <w:lang w:val="en-US" w:eastAsia="en-US" w:bidi="ar-SA"/>
              </w:rPr>
              <w:t>Persona</w:t>
            </w:r>
          </w:p>
        </w:tc>
        <w:tc>
          <w:tcPr>
            <w:tcW w:w="4680" w:type="dxa"/>
            <w:tcBorders>
              <w:top w:val="single" w:sz="4" w:space="0" w:color="000000"/>
              <w:start w:val="single" w:sz="4" w:space="0" w:color="000000"/>
              <w:bottom w:val="single" w:sz="4" w:space="0" w:color="000000"/>
              <w:end w:val="single" w:sz="4" w:space="0" w:color="000000"/>
            </w:tcBorders>
            <w:shd w:fill="0B1F33" w:val="clear"/>
            <w:vAlign w:val="center"/>
          </w:tcPr>
          <w:p>
            <w:pPr>
              <w:pStyle w:val="Normal"/>
              <w:widowControl/>
              <w:spacing w:lineRule="auto" w:line="240" w:before="0" w:after="40"/>
              <w:jc w:val="start"/>
              <w:rPr>
                <w:rFonts w:ascii="Aptos" w:hAnsi="Aptos" w:eastAsia="ＭＳ 明朝"/>
                <w:b/>
                <w:color w:val="FFFFFF"/>
                <w:kern w:val="0"/>
                <w:sz w:val="17"/>
                <w:szCs w:val="22"/>
                <w:lang w:val="en-US" w:eastAsia="en-US" w:bidi="ar-SA"/>
              </w:rPr>
            </w:pPr>
            <w:r>
              <w:rPr>
                <w:rFonts w:eastAsia="ＭＳ 明朝"/>
                <w:b/>
                <w:color w:val="FFFFFF"/>
                <w:kern w:val="0"/>
                <w:sz w:val="17"/>
                <w:szCs w:val="22"/>
                <w:lang w:val="en-US" w:eastAsia="en-US" w:bidi="ar-SA"/>
              </w:rPr>
              <w:t>Primary Responsibility</w:t>
            </w:r>
          </w:p>
        </w:tc>
        <w:tc>
          <w:tcPr>
            <w:tcW w:w="2376" w:type="dxa"/>
            <w:tcBorders>
              <w:top w:val="single" w:sz="4" w:space="0" w:color="000000"/>
              <w:start w:val="single" w:sz="4" w:space="0" w:color="000000"/>
              <w:bottom w:val="single" w:sz="4" w:space="0" w:color="000000"/>
              <w:end w:val="single" w:sz="4" w:space="0" w:color="000000"/>
            </w:tcBorders>
            <w:shd w:fill="0B1F33" w:val="clear"/>
            <w:vAlign w:val="center"/>
          </w:tcPr>
          <w:p>
            <w:pPr>
              <w:pStyle w:val="Normal"/>
              <w:widowControl/>
              <w:spacing w:lineRule="auto" w:line="240" w:before="0" w:after="40"/>
              <w:jc w:val="start"/>
              <w:rPr>
                <w:rFonts w:ascii="Aptos" w:hAnsi="Aptos" w:eastAsia="ＭＳ 明朝"/>
                <w:b/>
                <w:color w:val="FFFFFF"/>
                <w:kern w:val="0"/>
                <w:sz w:val="17"/>
                <w:szCs w:val="22"/>
                <w:lang w:val="en-US" w:eastAsia="en-US" w:bidi="ar-SA"/>
              </w:rPr>
            </w:pPr>
            <w:r>
              <w:rPr>
                <w:rFonts w:eastAsia="ＭＳ 明朝"/>
                <w:b/>
                <w:color w:val="FFFFFF"/>
                <w:kern w:val="0"/>
                <w:sz w:val="17"/>
                <w:szCs w:val="22"/>
                <w:lang w:val="en-US" w:eastAsia="en-US" w:bidi="ar-SA"/>
              </w:rPr>
              <w:t>Key Decision</w:t>
            </w:r>
          </w:p>
        </w:tc>
      </w:tr>
      <w:tr>
        <w:trPr>
          <w:cantSplit/>
        </w:trPr>
        <w:tc>
          <w:tcPr>
            <w:tcW w:w="2304"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7"/>
                <w:szCs w:val="22"/>
                <w:lang w:val="en-US" w:eastAsia="en-US" w:bidi="ar-SA"/>
              </w:rPr>
            </w:pPr>
            <w:r>
              <w:rPr>
                <w:rFonts w:eastAsia="ＭＳ 明朝"/>
                <w:kern w:val="0"/>
                <w:sz w:val="17"/>
                <w:szCs w:val="22"/>
                <w:lang w:val="en-US" w:eastAsia="en-US" w:bidi="ar-SA"/>
              </w:rPr>
              <w:t>Marketing / Product Management</w:t>
            </w:r>
          </w:p>
        </w:tc>
        <w:tc>
          <w:tcPr>
            <w:tcW w:w="4680"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7"/>
                <w:szCs w:val="22"/>
                <w:lang w:val="en-US" w:eastAsia="en-US" w:bidi="ar-SA"/>
              </w:rPr>
            </w:pPr>
            <w:r>
              <w:rPr>
                <w:rFonts w:eastAsia="ＭＳ 明朝"/>
                <w:kern w:val="0"/>
                <w:sz w:val="17"/>
                <w:szCs w:val="22"/>
                <w:lang w:val="en-US" w:eastAsia="en-US" w:bidi="ar-SA"/>
              </w:rPr>
              <w:t>Owns business intent behind FERT creation and explains migration, replacement, parallel or genuinely new-product purpose.</w:t>
            </w:r>
          </w:p>
        </w:tc>
        <w:tc>
          <w:tcPr>
            <w:tcW w:w="2376"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7"/>
                <w:szCs w:val="22"/>
                <w:lang w:val="en-US" w:eastAsia="en-US" w:bidi="ar-SA"/>
              </w:rPr>
            </w:pPr>
            <w:r>
              <w:rPr>
                <w:rFonts w:eastAsia="ＭＳ 明朝"/>
                <w:kern w:val="0"/>
                <w:sz w:val="17"/>
                <w:szCs w:val="22"/>
                <w:lang w:val="en-US" w:eastAsia="en-US" w:bidi="ar-SA"/>
              </w:rPr>
              <w:t>Confirm business relationship and commercial intent.</w:t>
            </w:r>
          </w:p>
        </w:tc>
      </w:tr>
      <w:tr>
        <w:trPr>
          <w:cantSplit/>
        </w:trPr>
        <w:tc>
          <w:tcPr>
            <w:tcW w:w="23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7"/>
                <w:szCs w:val="22"/>
                <w:lang w:val="en-US" w:eastAsia="en-US" w:bidi="ar-SA"/>
              </w:rPr>
            </w:pPr>
            <w:r>
              <w:rPr>
                <w:rFonts w:eastAsia="ＭＳ 明朝"/>
                <w:kern w:val="0"/>
                <w:sz w:val="17"/>
                <w:szCs w:val="22"/>
                <w:lang w:val="en-US" w:eastAsia="en-US" w:bidi="ar-SA"/>
              </w:rPr>
              <w:t>PSP</w:t>
            </w:r>
          </w:p>
        </w:tc>
        <w:tc>
          <w:tcPr>
            <w:tcW w:w="468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7"/>
                <w:szCs w:val="22"/>
                <w:lang w:val="en-US" w:eastAsia="en-US" w:bidi="ar-SA"/>
              </w:rPr>
            </w:pPr>
            <w:r>
              <w:rPr>
                <w:rFonts w:eastAsia="ＭＳ 明朝"/>
                <w:kern w:val="0"/>
                <w:sz w:val="17"/>
                <w:szCs w:val="22"/>
                <w:lang w:val="en-US" w:eastAsia="en-US" w:bidi="ar-SA"/>
              </w:rPr>
              <w:t>Coordinates FERT creation readiness, mapping, governance follow-up and cross-functional validation.</w:t>
            </w:r>
          </w:p>
        </w:tc>
        <w:tc>
          <w:tcPr>
            <w:tcW w:w="237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7"/>
                <w:szCs w:val="22"/>
                <w:lang w:val="en-US" w:eastAsia="en-US" w:bidi="ar-SA"/>
              </w:rPr>
            </w:pPr>
            <w:r>
              <w:rPr>
                <w:rFonts w:eastAsia="ＭＳ 明朝"/>
                <w:kern w:val="0"/>
                <w:sz w:val="17"/>
                <w:szCs w:val="22"/>
                <w:lang w:val="en-US" w:eastAsia="en-US" w:bidi="ar-SA"/>
              </w:rPr>
              <w:t>Select/confirm relationship and route approval.</w:t>
            </w:r>
          </w:p>
        </w:tc>
      </w:tr>
      <w:tr>
        <w:trPr>
          <w:cantSplit/>
        </w:trPr>
        <w:tc>
          <w:tcPr>
            <w:tcW w:w="2304"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7"/>
                <w:szCs w:val="22"/>
                <w:lang w:val="en-US" w:eastAsia="en-US" w:bidi="ar-SA"/>
              </w:rPr>
            </w:pPr>
            <w:r>
              <w:rPr>
                <w:rFonts w:eastAsia="ＭＳ 明朝"/>
                <w:kern w:val="0"/>
                <w:sz w:val="17"/>
                <w:szCs w:val="22"/>
                <w:lang w:val="en-US" w:eastAsia="en-US" w:bidi="ar-SA"/>
              </w:rPr>
              <w:t>MDM Steward</w:t>
            </w:r>
          </w:p>
        </w:tc>
        <w:tc>
          <w:tcPr>
            <w:tcW w:w="4680"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7"/>
                <w:szCs w:val="22"/>
                <w:lang w:val="en-US" w:eastAsia="en-US" w:bidi="ar-SA"/>
              </w:rPr>
            </w:pPr>
            <w:r>
              <w:rPr>
                <w:rFonts w:eastAsia="ＭＳ 明朝"/>
                <w:kern w:val="0"/>
                <w:sz w:val="17"/>
                <w:szCs w:val="22"/>
                <w:lang w:val="en-US" w:eastAsia="en-US" w:bidi="ar-SA"/>
              </w:rPr>
              <w:t>Monitors characteristic completeness, source corrections, validation results, exceptions and audit evidence.</w:t>
            </w:r>
          </w:p>
        </w:tc>
        <w:tc>
          <w:tcPr>
            <w:tcW w:w="2376"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7"/>
                <w:szCs w:val="22"/>
                <w:lang w:val="en-US" w:eastAsia="en-US" w:bidi="ar-SA"/>
              </w:rPr>
            </w:pPr>
            <w:r>
              <w:rPr>
                <w:rFonts w:eastAsia="ＭＳ 明朝"/>
                <w:kern w:val="0"/>
                <w:sz w:val="17"/>
                <w:szCs w:val="22"/>
                <w:lang w:val="en-US" w:eastAsia="en-US" w:bidi="ar-SA"/>
              </w:rPr>
              <w:t>Resolve or route data-quality exceptions.</w:t>
            </w:r>
          </w:p>
        </w:tc>
      </w:tr>
      <w:tr>
        <w:trPr>
          <w:cantSplit/>
        </w:trPr>
        <w:tc>
          <w:tcPr>
            <w:tcW w:w="23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7"/>
                <w:szCs w:val="22"/>
                <w:lang w:val="en-US" w:eastAsia="en-US" w:bidi="ar-SA"/>
              </w:rPr>
            </w:pPr>
            <w:r>
              <w:rPr>
                <w:rFonts w:eastAsia="ＭＳ 明朝"/>
                <w:kern w:val="0"/>
                <w:sz w:val="17"/>
                <w:szCs w:val="22"/>
                <w:lang w:val="en-US" w:eastAsia="en-US" w:bidi="ar-SA"/>
              </w:rPr>
              <w:t>Demand Planner</w:t>
            </w:r>
          </w:p>
        </w:tc>
        <w:tc>
          <w:tcPr>
            <w:tcW w:w="468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7"/>
                <w:szCs w:val="22"/>
                <w:lang w:val="en-US" w:eastAsia="en-US" w:bidi="ar-SA"/>
              </w:rPr>
            </w:pPr>
            <w:r>
              <w:rPr>
                <w:rFonts w:eastAsia="ＭＳ 明朝"/>
                <w:kern w:val="0"/>
                <w:sz w:val="17"/>
                <w:szCs w:val="22"/>
                <w:lang w:val="en-US" w:eastAsia="en-US" w:bidi="ar-SA"/>
              </w:rPr>
              <w:t>Reviews historical demand, planning-family membership, transfer logic and forecast implications.</w:t>
            </w:r>
          </w:p>
        </w:tc>
        <w:tc>
          <w:tcPr>
            <w:tcW w:w="237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7"/>
                <w:szCs w:val="22"/>
                <w:lang w:val="en-US" w:eastAsia="en-US" w:bidi="ar-SA"/>
              </w:rPr>
            </w:pPr>
            <w:r>
              <w:rPr>
                <w:rFonts w:eastAsia="ＭＳ 明朝"/>
                <w:kern w:val="0"/>
                <w:sz w:val="17"/>
                <w:szCs w:val="22"/>
                <w:lang w:val="en-US" w:eastAsia="en-US" w:bidi="ar-SA"/>
              </w:rPr>
              <w:t>Approve history contributors and disaggregation logic.</w:t>
            </w:r>
          </w:p>
        </w:tc>
      </w:tr>
      <w:tr>
        <w:trPr>
          <w:cantSplit/>
        </w:trPr>
        <w:tc>
          <w:tcPr>
            <w:tcW w:w="2304"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7"/>
                <w:szCs w:val="22"/>
                <w:lang w:val="en-US" w:eastAsia="en-US" w:bidi="ar-SA"/>
              </w:rPr>
            </w:pPr>
            <w:r>
              <w:rPr>
                <w:rFonts w:eastAsia="ＭＳ 明朝"/>
                <w:kern w:val="0"/>
                <w:sz w:val="17"/>
                <w:szCs w:val="22"/>
                <w:lang w:val="en-US" w:eastAsia="en-US" w:bidi="ar-SA"/>
              </w:rPr>
              <w:t>PPC</w:t>
            </w:r>
          </w:p>
        </w:tc>
        <w:tc>
          <w:tcPr>
            <w:tcW w:w="4680"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7"/>
                <w:szCs w:val="22"/>
                <w:lang w:val="en-US" w:eastAsia="en-US" w:bidi="ar-SA"/>
              </w:rPr>
            </w:pPr>
            <w:r>
              <w:rPr>
                <w:rFonts w:eastAsia="ＭＳ 明朝"/>
                <w:kern w:val="0"/>
                <w:sz w:val="17"/>
                <w:szCs w:val="22"/>
                <w:lang w:val="en-US" w:eastAsia="en-US" w:bidi="ar-SA"/>
              </w:rPr>
              <w:t>Reviews stock, open production, transition feasibility, non-SOP quantity and execution constraints.</w:t>
            </w:r>
          </w:p>
        </w:tc>
        <w:tc>
          <w:tcPr>
            <w:tcW w:w="2376"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7"/>
                <w:szCs w:val="22"/>
                <w:lang w:val="en-US" w:eastAsia="en-US" w:bidi="ar-SA"/>
              </w:rPr>
            </w:pPr>
            <w:r>
              <w:rPr>
                <w:rFonts w:eastAsia="ＭＳ 明朝"/>
                <w:kern w:val="0"/>
                <w:sz w:val="17"/>
                <w:szCs w:val="22"/>
                <w:lang w:val="en-US" w:eastAsia="en-US" w:bidi="ar-SA"/>
              </w:rPr>
              <w:t>Confirm stock/production treatment before blocking or transition.</w:t>
            </w:r>
          </w:p>
        </w:tc>
      </w:tr>
      <w:tr>
        <w:trPr>
          <w:cantSplit/>
        </w:trPr>
        <w:tc>
          <w:tcPr>
            <w:tcW w:w="23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7"/>
                <w:szCs w:val="22"/>
                <w:lang w:val="en-US" w:eastAsia="en-US" w:bidi="ar-SA"/>
              </w:rPr>
            </w:pPr>
            <w:r>
              <w:rPr>
                <w:rFonts w:eastAsia="ＭＳ 明朝"/>
                <w:kern w:val="0"/>
                <w:sz w:val="17"/>
                <w:szCs w:val="22"/>
                <w:lang w:val="en-US" w:eastAsia="en-US" w:bidi="ar-SA"/>
              </w:rPr>
              <w:t>Finance / Pricing</w:t>
            </w:r>
          </w:p>
        </w:tc>
        <w:tc>
          <w:tcPr>
            <w:tcW w:w="468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7"/>
                <w:szCs w:val="22"/>
                <w:lang w:val="en-US" w:eastAsia="en-US" w:bidi="ar-SA"/>
              </w:rPr>
            </w:pPr>
            <w:r>
              <w:rPr>
                <w:rFonts w:eastAsia="ＭＳ 明朝"/>
                <w:kern w:val="0"/>
                <w:sz w:val="17"/>
                <w:szCs w:val="22"/>
                <w:lang w:val="en-US" w:eastAsia="en-US" w:bidi="ar-SA"/>
              </w:rPr>
              <w:t>Maintains and validates mandatory pricing for dependent transactions.</w:t>
            </w:r>
          </w:p>
        </w:tc>
        <w:tc>
          <w:tcPr>
            <w:tcW w:w="237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7"/>
                <w:szCs w:val="22"/>
                <w:lang w:val="en-US" w:eastAsia="en-US" w:bidi="ar-SA"/>
              </w:rPr>
            </w:pPr>
            <w:r>
              <w:rPr>
                <w:rFonts w:eastAsia="ＭＳ 明朝"/>
                <w:kern w:val="0"/>
                <w:sz w:val="17"/>
                <w:szCs w:val="22"/>
                <w:lang w:val="en-US" w:eastAsia="en-US" w:bidi="ar-SA"/>
              </w:rPr>
              <w:t>Confirm price readiness or authorised exception.</w:t>
            </w:r>
          </w:p>
        </w:tc>
      </w:tr>
      <w:tr>
        <w:trPr>
          <w:cantSplit/>
        </w:trPr>
        <w:tc>
          <w:tcPr>
            <w:tcW w:w="2304"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7"/>
                <w:szCs w:val="22"/>
                <w:lang w:val="en-US" w:eastAsia="en-US" w:bidi="ar-SA"/>
              </w:rPr>
            </w:pPr>
            <w:r>
              <w:rPr>
                <w:rFonts w:eastAsia="ＭＳ 明朝"/>
                <w:kern w:val="0"/>
                <w:sz w:val="17"/>
                <w:szCs w:val="22"/>
                <w:lang w:val="en-US" w:eastAsia="en-US" w:bidi="ar-SA"/>
              </w:rPr>
              <w:t>S&amp;OP Lead / Approver</w:t>
            </w:r>
          </w:p>
        </w:tc>
        <w:tc>
          <w:tcPr>
            <w:tcW w:w="4680"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7"/>
                <w:szCs w:val="22"/>
                <w:lang w:val="en-US" w:eastAsia="en-US" w:bidi="ar-SA"/>
              </w:rPr>
            </w:pPr>
            <w:r>
              <w:rPr>
                <w:rFonts w:eastAsia="ＭＳ 明朝"/>
                <w:kern w:val="0"/>
                <w:sz w:val="17"/>
                <w:szCs w:val="22"/>
                <w:lang w:val="en-US" w:eastAsia="en-US" w:bidi="ar-SA"/>
              </w:rPr>
              <w:t>Resolves material cross-functional exceptions and confirms governance decisions.</w:t>
            </w:r>
          </w:p>
        </w:tc>
        <w:tc>
          <w:tcPr>
            <w:tcW w:w="2376"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7"/>
                <w:szCs w:val="22"/>
                <w:lang w:val="en-US" w:eastAsia="en-US" w:bidi="ar-SA"/>
              </w:rPr>
            </w:pPr>
            <w:r>
              <w:rPr>
                <w:rFonts w:eastAsia="ＭＳ 明朝"/>
                <w:kern w:val="0"/>
                <w:sz w:val="17"/>
                <w:szCs w:val="22"/>
                <w:lang w:val="en-US" w:eastAsia="en-US" w:bidi="ar-SA"/>
              </w:rPr>
              <w:t>Approve high-impact exceptions and final policy decisions.</w:t>
            </w:r>
          </w:p>
        </w:tc>
      </w:tr>
      <w:tr>
        <w:trPr>
          <w:cantSplit/>
        </w:trPr>
        <w:tc>
          <w:tcPr>
            <w:tcW w:w="230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7"/>
                <w:szCs w:val="22"/>
                <w:lang w:val="en-US" w:eastAsia="en-US" w:bidi="ar-SA"/>
              </w:rPr>
            </w:pPr>
            <w:r>
              <w:rPr>
                <w:rFonts w:eastAsia="ＭＳ 明朝"/>
                <w:kern w:val="0"/>
                <w:sz w:val="17"/>
                <w:szCs w:val="22"/>
                <w:lang w:val="en-US" w:eastAsia="en-US" w:bidi="ar-SA"/>
              </w:rPr>
              <w:t>IT / Integration Support</w:t>
            </w:r>
          </w:p>
        </w:tc>
        <w:tc>
          <w:tcPr>
            <w:tcW w:w="468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7"/>
                <w:szCs w:val="22"/>
                <w:lang w:val="en-US" w:eastAsia="en-US" w:bidi="ar-SA"/>
              </w:rPr>
            </w:pPr>
            <w:r>
              <w:rPr>
                <w:rFonts w:eastAsia="ＭＳ 明朝"/>
                <w:kern w:val="0"/>
                <w:sz w:val="17"/>
                <w:szCs w:val="22"/>
                <w:lang w:val="en-US" w:eastAsia="en-US" w:bidi="ar-SA"/>
              </w:rPr>
              <w:t>Monitors interface, reconciliation and notification failures.</w:t>
            </w:r>
          </w:p>
        </w:tc>
        <w:tc>
          <w:tcPr>
            <w:tcW w:w="237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7"/>
                <w:szCs w:val="22"/>
                <w:lang w:val="en-US" w:eastAsia="en-US" w:bidi="ar-SA"/>
              </w:rPr>
            </w:pPr>
            <w:r>
              <w:rPr>
                <w:rFonts w:eastAsia="ＭＳ 明朝"/>
                <w:kern w:val="0"/>
                <w:sz w:val="17"/>
                <w:szCs w:val="22"/>
                <w:lang w:val="en-US" w:eastAsia="en-US" w:bidi="ar-SA"/>
              </w:rPr>
              <w:t>Restore synchronization and provide technical evidence.</w:t>
            </w:r>
          </w:p>
        </w:tc>
      </w:tr>
    </w:tbl>
    <w:p>
      <w:pPr>
        <w:pStyle w:val="Normal"/>
        <w:widowControl/>
        <w:spacing w:before="0" w:after="40"/>
        <w:rPr/>
      </w:pPr>
      <w:r>
        <w:rPr/>
      </w:r>
    </w:p>
    <w:p>
      <w:pPr>
        <w:pStyle w:val="Heading2"/>
        <w:keepNext w:val="true"/>
        <w:widowControl/>
        <w:rPr/>
      </w:pPr>
      <w:r>
        <w:rPr/>
        <w:t>6.1 Persona-Based Start-to-Finish Journey</w:t>
      </w:r>
    </w:p>
    <w:p>
      <w:pPr>
        <w:pStyle w:val="ListNumber"/>
        <w:widowControl/>
        <w:numPr>
          <w:ilvl w:val="0"/>
          <w:numId w:val="5"/>
        </w:numPr>
        <w:spacing w:before="0" w:after="60"/>
        <w:contextualSpacing/>
        <w:rPr/>
      </w:pPr>
      <w:r>
        <w:rPr/>
        <w:t>A new or changed FERT is released from IDM/ECC and an event is generated.</w:t>
      </w:r>
    </w:p>
    <w:p>
      <w:pPr>
        <w:pStyle w:val="ListNumber"/>
        <w:widowControl/>
        <w:numPr>
          <w:ilvl w:val="0"/>
          <w:numId w:val="5"/>
        </w:numPr>
        <w:spacing w:before="0" w:after="60"/>
        <w:contextualSpacing/>
        <w:rPr/>
      </w:pPr>
      <w:r>
        <w:rPr/>
        <w:t>PSP, Marketing and MDM receive email/portal notification and a work item is created.</w:t>
      </w:r>
    </w:p>
    <w:p>
      <w:pPr>
        <w:pStyle w:val="ListNumber"/>
        <w:widowControl/>
        <w:numPr>
          <w:ilvl w:val="0"/>
          <w:numId w:val="5"/>
        </w:numPr>
        <w:spacing w:before="0" w:after="60"/>
        <w:contextualSpacing/>
        <w:rPr/>
      </w:pPr>
      <w:r>
        <w:rPr/>
        <w:t>MDM reviews characteristics, source synchronization, price dependency and planning readiness.</w:t>
      </w:r>
    </w:p>
    <w:p>
      <w:pPr>
        <w:pStyle w:val="ListNumber"/>
        <w:widowControl/>
        <w:numPr>
          <w:ilvl w:val="0"/>
          <w:numId w:val="5"/>
        </w:numPr>
        <w:spacing w:before="0" w:after="60"/>
        <w:contextualSpacing/>
        <w:rPr/>
      </w:pPr>
      <w:r>
        <w:rPr/>
        <w:t>PSP opens the Mapping Workbench and reviews system-recommended predecessor/parallel candidates.</w:t>
      </w:r>
    </w:p>
    <w:p>
      <w:pPr>
        <w:pStyle w:val="ListNumber"/>
        <w:widowControl/>
        <w:numPr>
          <w:ilvl w:val="0"/>
          <w:numId w:val="5"/>
        </w:numPr>
        <w:spacing w:before="0" w:after="60"/>
        <w:contextualSpacing/>
        <w:rPr/>
      </w:pPr>
      <w:r>
        <w:rPr/>
        <w:t>Marketing confirms the business intent and relationship purpose.</w:t>
      </w:r>
    </w:p>
    <w:p>
      <w:pPr>
        <w:pStyle w:val="ListNumber"/>
        <w:widowControl/>
        <w:numPr>
          <w:ilvl w:val="0"/>
          <w:numId w:val="5"/>
        </w:numPr>
        <w:spacing w:before="0" w:after="60"/>
        <w:contextualSpacing/>
        <w:rPr/>
      </w:pPr>
      <w:r>
        <w:rPr/>
        <w:t>Demand Planning reviews history contributors, grouping and transfer logic.</w:t>
      </w:r>
    </w:p>
    <w:p>
      <w:pPr>
        <w:pStyle w:val="ListNumber"/>
        <w:widowControl/>
        <w:numPr>
          <w:ilvl w:val="0"/>
          <w:numId w:val="5"/>
        </w:numPr>
        <w:spacing w:before="0" w:after="60"/>
        <w:contextualSpacing/>
        <w:rPr/>
      </w:pPr>
      <w:r>
        <w:rPr/>
        <w:t>PPC validates stock, open commitments, non-SOP limits and transition feasibility.</w:t>
      </w:r>
    </w:p>
    <w:p>
      <w:pPr>
        <w:pStyle w:val="ListNumber"/>
        <w:widowControl/>
        <w:numPr>
          <w:ilvl w:val="0"/>
          <w:numId w:val="5"/>
        </w:numPr>
        <w:spacing w:before="0" w:after="60"/>
        <w:contextualSpacing/>
        <w:rPr/>
      </w:pPr>
      <w:r>
        <w:rPr/>
        <w:t>Finance/Pricing confirms price readiness where a dependent transaction is expected.</w:t>
      </w:r>
    </w:p>
    <w:p>
      <w:pPr>
        <w:pStyle w:val="ListNumber"/>
        <w:widowControl/>
        <w:numPr>
          <w:ilvl w:val="0"/>
          <w:numId w:val="5"/>
        </w:numPr>
        <w:spacing w:before="0" w:after="60"/>
        <w:contextualSpacing/>
        <w:rPr/>
      </w:pPr>
      <w:r>
        <w:rPr/>
        <w:t>The authorised approver confirms the mapping, lifecycle and exception decisions.</w:t>
      </w:r>
    </w:p>
    <w:p>
      <w:pPr>
        <w:pStyle w:val="ListNumber"/>
        <w:widowControl/>
        <w:numPr>
          <w:ilvl w:val="0"/>
          <w:numId w:val="5"/>
        </w:numPr>
        <w:spacing w:before="0" w:after="60"/>
        <w:contextualSpacing/>
        <w:rPr/>
      </w:pPr>
      <w:r>
        <w:rPr/>
        <w:t>The approved record is published to planning/indent consumers and monitored through the governance dashboard.</w:t>
      </w:r>
    </w:p>
    <w:p>
      <w:pPr>
        <w:pStyle w:val="Normal"/>
        <w:widowControl/>
        <w:rPr/>
      </w:pPr>
      <w:r>
        <w:rPr/>
      </w:r>
      <w:r>
        <w:br w:type="page"/>
      </w:r>
    </w:p>
    <w:p>
      <w:pPr>
        <w:pStyle w:val="Heading1"/>
        <w:keepNext w:val="true"/>
        <w:widowControl/>
        <w:spacing w:before="0" w:after="80"/>
        <w:rPr/>
      </w:pPr>
      <w:r>
        <w:rPr/>
        <w:t>7. UX Reference and Screen Requirements</w:t>
      </w:r>
    </w:p>
    <w:tbl>
      <w:tblPr>
        <w:tblW w:w="9360" w:type="dxa"/>
        <w:jc w:val="start"/>
        <w:tblInd w:w="-115" w:type="dxa"/>
        <w:tblLayout w:type="fixed"/>
        <w:tblCellMar>
          <w:top w:w="95" w:type="dxa"/>
          <w:start w:w="110" w:type="dxa"/>
          <w:bottom w:w="95" w:type="dxa"/>
          <w:end w:w="110" w:type="dxa"/>
        </w:tblCellMar>
      </w:tblPr>
      <w:tblGrid>
        <w:gridCol w:w="863"/>
        <w:gridCol w:w="1800"/>
        <w:gridCol w:w="1728"/>
        <w:gridCol w:w="3529"/>
        <w:gridCol w:w="1440"/>
      </w:tblGrid>
      <w:tr>
        <w:trPr>
          <w:tblHeader w:val="true"/>
          <w:cantSplit/>
        </w:trPr>
        <w:tc>
          <w:tcPr>
            <w:tcW w:w="863" w:type="dxa"/>
            <w:tcBorders>
              <w:top w:val="single" w:sz="4" w:space="0" w:color="000000"/>
              <w:start w:val="single" w:sz="4" w:space="0" w:color="000000"/>
              <w:bottom w:val="single" w:sz="4" w:space="0" w:color="000000"/>
              <w:end w:val="single" w:sz="4" w:space="0" w:color="000000"/>
            </w:tcBorders>
            <w:shd w:fill="0B1F33" w:val="clear"/>
            <w:vAlign w:val="center"/>
          </w:tcPr>
          <w:p>
            <w:pPr>
              <w:pStyle w:val="Normal"/>
              <w:widowControl/>
              <w:spacing w:lineRule="auto" w:line="240" w:before="0" w:after="40"/>
              <w:jc w:val="start"/>
              <w:rPr>
                <w:rFonts w:ascii="Aptos" w:hAnsi="Aptos" w:eastAsia="ＭＳ 明朝"/>
                <w:b/>
                <w:color w:val="FFFFFF"/>
                <w:kern w:val="0"/>
                <w:sz w:val="15"/>
                <w:szCs w:val="22"/>
                <w:lang w:val="en-US" w:eastAsia="en-US" w:bidi="ar-SA"/>
              </w:rPr>
            </w:pPr>
            <w:r>
              <w:rPr>
                <w:rFonts w:eastAsia="ＭＳ 明朝"/>
                <w:b/>
                <w:color w:val="FFFFFF"/>
                <w:kern w:val="0"/>
                <w:sz w:val="15"/>
                <w:szCs w:val="22"/>
                <w:lang w:val="en-US" w:eastAsia="en-US" w:bidi="ar-SA"/>
              </w:rPr>
              <w:t>UX ID</w:t>
            </w:r>
          </w:p>
        </w:tc>
        <w:tc>
          <w:tcPr>
            <w:tcW w:w="1800" w:type="dxa"/>
            <w:tcBorders>
              <w:top w:val="single" w:sz="4" w:space="0" w:color="000000"/>
              <w:start w:val="single" w:sz="4" w:space="0" w:color="000000"/>
              <w:bottom w:val="single" w:sz="4" w:space="0" w:color="000000"/>
              <w:end w:val="single" w:sz="4" w:space="0" w:color="000000"/>
            </w:tcBorders>
            <w:shd w:fill="0B1F33" w:val="clear"/>
            <w:vAlign w:val="center"/>
          </w:tcPr>
          <w:p>
            <w:pPr>
              <w:pStyle w:val="Normal"/>
              <w:widowControl/>
              <w:spacing w:lineRule="auto" w:line="240" w:before="0" w:after="40"/>
              <w:jc w:val="start"/>
              <w:rPr>
                <w:rFonts w:ascii="Aptos" w:hAnsi="Aptos" w:eastAsia="ＭＳ 明朝"/>
                <w:b/>
                <w:color w:val="FFFFFF"/>
                <w:kern w:val="0"/>
                <w:sz w:val="15"/>
                <w:szCs w:val="22"/>
                <w:lang w:val="en-US" w:eastAsia="en-US" w:bidi="ar-SA"/>
              </w:rPr>
            </w:pPr>
            <w:r>
              <w:rPr>
                <w:rFonts w:eastAsia="ＭＳ 明朝"/>
                <w:b/>
                <w:color w:val="FFFFFF"/>
                <w:kern w:val="0"/>
                <w:sz w:val="15"/>
                <w:szCs w:val="22"/>
                <w:lang w:val="en-US" w:eastAsia="en-US" w:bidi="ar-SA"/>
              </w:rPr>
              <w:t>Screen</w:t>
            </w:r>
          </w:p>
        </w:tc>
        <w:tc>
          <w:tcPr>
            <w:tcW w:w="1728" w:type="dxa"/>
            <w:tcBorders>
              <w:top w:val="single" w:sz="4" w:space="0" w:color="000000"/>
              <w:start w:val="single" w:sz="4" w:space="0" w:color="000000"/>
              <w:bottom w:val="single" w:sz="4" w:space="0" w:color="000000"/>
              <w:end w:val="single" w:sz="4" w:space="0" w:color="000000"/>
            </w:tcBorders>
            <w:shd w:fill="0B1F33" w:val="clear"/>
            <w:vAlign w:val="center"/>
          </w:tcPr>
          <w:p>
            <w:pPr>
              <w:pStyle w:val="Normal"/>
              <w:widowControl/>
              <w:spacing w:lineRule="auto" w:line="240" w:before="0" w:after="40"/>
              <w:jc w:val="start"/>
              <w:rPr>
                <w:rFonts w:ascii="Aptos" w:hAnsi="Aptos" w:eastAsia="ＭＳ 明朝"/>
                <w:b/>
                <w:color w:val="FFFFFF"/>
                <w:kern w:val="0"/>
                <w:sz w:val="15"/>
                <w:szCs w:val="22"/>
                <w:lang w:val="en-US" w:eastAsia="en-US" w:bidi="ar-SA"/>
              </w:rPr>
            </w:pPr>
            <w:r>
              <w:rPr>
                <w:rFonts w:eastAsia="ＭＳ 明朝"/>
                <w:b/>
                <w:color w:val="FFFFFF"/>
                <w:kern w:val="0"/>
                <w:sz w:val="15"/>
                <w:szCs w:val="22"/>
                <w:lang w:val="en-US" w:eastAsia="en-US" w:bidi="ar-SA"/>
              </w:rPr>
              <w:t>Primary Persona</w:t>
            </w:r>
          </w:p>
        </w:tc>
        <w:tc>
          <w:tcPr>
            <w:tcW w:w="3529" w:type="dxa"/>
            <w:tcBorders>
              <w:top w:val="single" w:sz="4" w:space="0" w:color="000000"/>
              <w:start w:val="single" w:sz="4" w:space="0" w:color="000000"/>
              <w:bottom w:val="single" w:sz="4" w:space="0" w:color="000000"/>
              <w:end w:val="single" w:sz="4" w:space="0" w:color="000000"/>
            </w:tcBorders>
            <w:shd w:fill="0B1F33" w:val="clear"/>
            <w:vAlign w:val="center"/>
          </w:tcPr>
          <w:p>
            <w:pPr>
              <w:pStyle w:val="Normal"/>
              <w:widowControl/>
              <w:spacing w:lineRule="auto" w:line="240" w:before="0" w:after="40"/>
              <w:jc w:val="start"/>
              <w:rPr>
                <w:rFonts w:ascii="Aptos" w:hAnsi="Aptos" w:eastAsia="ＭＳ 明朝"/>
                <w:b/>
                <w:color w:val="FFFFFF"/>
                <w:kern w:val="0"/>
                <w:sz w:val="15"/>
                <w:szCs w:val="22"/>
                <w:lang w:val="en-US" w:eastAsia="en-US" w:bidi="ar-SA"/>
              </w:rPr>
            </w:pPr>
            <w:r>
              <w:rPr>
                <w:rFonts w:eastAsia="ＭＳ 明朝"/>
                <w:b/>
                <w:color w:val="FFFFFF"/>
                <w:kern w:val="0"/>
                <w:sz w:val="15"/>
                <w:szCs w:val="22"/>
                <w:lang w:val="en-US" w:eastAsia="en-US" w:bidi="ar-SA"/>
              </w:rPr>
              <w:t>Minimum Information</w:t>
            </w:r>
          </w:p>
        </w:tc>
        <w:tc>
          <w:tcPr>
            <w:tcW w:w="1440" w:type="dxa"/>
            <w:tcBorders>
              <w:top w:val="single" w:sz="4" w:space="0" w:color="000000"/>
              <w:start w:val="single" w:sz="4" w:space="0" w:color="000000"/>
              <w:bottom w:val="single" w:sz="4" w:space="0" w:color="000000"/>
              <w:end w:val="single" w:sz="4" w:space="0" w:color="000000"/>
            </w:tcBorders>
            <w:shd w:fill="0B1F33" w:val="clear"/>
            <w:vAlign w:val="center"/>
          </w:tcPr>
          <w:p>
            <w:pPr>
              <w:pStyle w:val="Normal"/>
              <w:widowControl/>
              <w:spacing w:lineRule="auto" w:line="240" w:before="0" w:after="40"/>
              <w:jc w:val="start"/>
              <w:rPr>
                <w:rFonts w:ascii="Aptos" w:hAnsi="Aptos" w:eastAsia="ＭＳ 明朝"/>
                <w:b/>
                <w:color w:val="FFFFFF"/>
                <w:kern w:val="0"/>
                <w:sz w:val="15"/>
                <w:szCs w:val="22"/>
                <w:lang w:val="en-US" w:eastAsia="en-US" w:bidi="ar-SA"/>
              </w:rPr>
            </w:pPr>
            <w:r>
              <w:rPr>
                <w:rFonts w:eastAsia="ＭＳ 明朝"/>
                <w:b/>
                <w:color w:val="FFFFFF"/>
                <w:kern w:val="0"/>
                <w:sz w:val="15"/>
                <w:szCs w:val="22"/>
                <w:lang w:val="en-US" w:eastAsia="en-US" w:bidi="ar-SA"/>
              </w:rPr>
              <w:t>User Outcome</w:t>
            </w:r>
          </w:p>
        </w:tc>
      </w:tr>
      <w:tr>
        <w:trPr>
          <w:cantSplit/>
        </w:trPr>
        <w:tc>
          <w:tcPr>
            <w:tcW w:w="863"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UX-01</w:t>
            </w:r>
          </w:p>
        </w:tc>
        <w:tc>
          <w:tcPr>
            <w:tcW w:w="1800"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Notification and Work Queue</w:t>
            </w:r>
          </w:p>
        </w:tc>
        <w:tc>
          <w:tcPr>
            <w:tcW w:w="1728"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PSP, Marketing, MDM</w:t>
            </w:r>
          </w:p>
        </w:tc>
        <w:tc>
          <w:tcPr>
            <w:tcW w:w="3529"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New/changed FERT alert, reason, age, owner, priority and required action.</w:t>
            </w:r>
          </w:p>
        </w:tc>
        <w:tc>
          <w:tcPr>
            <w:tcW w:w="1440"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Open assigned FERT case.</w:t>
            </w:r>
          </w:p>
        </w:tc>
      </w:tr>
      <w:tr>
        <w:trPr>
          <w:cantSplit/>
        </w:trPr>
        <w:tc>
          <w:tcPr>
            <w:tcW w:w="86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UX-02</w:t>
            </w:r>
          </w:p>
        </w:tc>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FERT 360 View</w:t>
            </w:r>
          </w:p>
        </w:tc>
        <w:tc>
          <w:tcPr>
            <w:tcW w:w="172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All personas</w:t>
            </w:r>
          </w:p>
        </w:tc>
        <w:tc>
          <w:tcPr>
            <w:tcW w:w="352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Characteristics, hierarchy, lifecycle, price readiness, source status, lineage, stock and exceptions.</w:t>
            </w:r>
          </w:p>
        </w:tc>
        <w:tc>
          <w:tcPr>
            <w:tcW w:w="144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Understand complete planning readiness.</w:t>
            </w:r>
          </w:p>
        </w:tc>
      </w:tr>
      <w:tr>
        <w:trPr>
          <w:cantSplit/>
        </w:trPr>
        <w:tc>
          <w:tcPr>
            <w:tcW w:w="863"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UX-03</w:t>
            </w:r>
          </w:p>
        </w:tc>
        <w:tc>
          <w:tcPr>
            <w:tcW w:w="1800"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Characteristic Validation</w:t>
            </w:r>
          </w:p>
        </w:tc>
        <w:tc>
          <w:tcPr>
            <w:tcW w:w="1728"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MDM, Product Design</w:t>
            </w:r>
          </w:p>
        </w:tc>
        <w:tc>
          <w:tcPr>
            <w:tcW w:w="3529"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Missing/invalid fields, source value, severity, owner and correction status.</w:t>
            </w:r>
          </w:p>
        </w:tc>
        <w:tc>
          <w:tcPr>
            <w:tcW w:w="1440"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Correct or route exception.</w:t>
            </w:r>
          </w:p>
        </w:tc>
      </w:tr>
      <w:tr>
        <w:trPr>
          <w:cantSplit/>
        </w:trPr>
        <w:tc>
          <w:tcPr>
            <w:tcW w:w="86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UX-04</w:t>
            </w:r>
          </w:p>
        </w:tc>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Rationalization Workbench</w:t>
            </w:r>
          </w:p>
        </w:tc>
        <w:tc>
          <w:tcPr>
            <w:tcW w:w="172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PSP, Planning, PPC</w:t>
            </w:r>
          </w:p>
        </w:tc>
        <w:tc>
          <w:tcPr>
            <w:tcW w:w="352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Sales trend, orders, stock, inactivity, successor and recommended lifecycle action.</w:t>
            </w:r>
          </w:p>
        </w:tc>
        <w:tc>
          <w:tcPr>
            <w:tcW w:w="144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Approve restriction or retirement proposal.</w:t>
            </w:r>
          </w:p>
        </w:tc>
      </w:tr>
      <w:tr>
        <w:trPr>
          <w:cantSplit/>
        </w:trPr>
        <w:tc>
          <w:tcPr>
            <w:tcW w:w="863"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UX-05</w:t>
            </w:r>
          </w:p>
        </w:tc>
        <w:tc>
          <w:tcPr>
            <w:tcW w:w="1800"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Lineage and Mapping Workbench</w:t>
            </w:r>
          </w:p>
        </w:tc>
        <w:tc>
          <w:tcPr>
            <w:tcW w:w="1728"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PSP, Marketing, Planning</w:t>
            </w:r>
          </w:p>
        </w:tc>
        <w:tc>
          <w:tcPr>
            <w:tcW w:w="3529"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Candidate FERTs, similarity evidence, history, relationship type and effective dates.</w:t>
            </w:r>
          </w:p>
        </w:tc>
        <w:tc>
          <w:tcPr>
            <w:tcW w:w="1440"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Select and submit relationship.</w:t>
            </w:r>
          </w:p>
        </w:tc>
      </w:tr>
      <w:tr>
        <w:trPr>
          <w:cantSplit/>
        </w:trPr>
        <w:tc>
          <w:tcPr>
            <w:tcW w:w="86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UX-06</w:t>
            </w:r>
          </w:p>
        </w:tc>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Transition Profile</w:t>
            </w:r>
          </w:p>
        </w:tc>
        <w:tc>
          <w:tcPr>
            <w:tcW w:w="172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Planning, PPC</w:t>
            </w:r>
          </w:p>
        </w:tc>
        <w:tc>
          <w:tcPr>
            <w:tcW w:w="352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Old/new percentages, dates, stock rule, actual variance and retirement milestone.</w:t>
            </w:r>
          </w:p>
        </w:tc>
        <w:tc>
          <w:tcPr>
            <w:tcW w:w="144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Approve and monitor ramp transition.</w:t>
            </w:r>
          </w:p>
        </w:tc>
      </w:tr>
      <w:tr>
        <w:trPr>
          <w:cantSplit/>
        </w:trPr>
        <w:tc>
          <w:tcPr>
            <w:tcW w:w="863"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UX-07</w:t>
            </w:r>
          </w:p>
        </w:tc>
        <w:tc>
          <w:tcPr>
            <w:tcW w:w="1800"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Planning Family Assignment</w:t>
            </w:r>
          </w:p>
        </w:tc>
        <w:tc>
          <w:tcPr>
            <w:tcW w:w="1728"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PSP, Planning</w:t>
            </w:r>
          </w:p>
        </w:tc>
        <w:tc>
          <w:tcPr>
            <w:tcW w:w="3529"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Hierarchy path, comparable FERTs, group history and disaggregation weights.</w:t>
            </w:r>
          </w:p>
        </w:tc>
        <w:tc>
          <w:tcPr>
            <w:tcW w:w="1440"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Assign family and approve history logic.</w:t>
            </w:r>
          </w:p>
        </w:tc>
      </w:tr>
      <w:tr>
        <w:trPr>
          <w:cantSplit/>
        </w:trPr>
        <w:tc>
          <w:tcPr>
            <w:tcW w:w="86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UX-08</w:t>
            </w:r>
          </w:p>
        </w:tc>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Price Readiness</w:t>
            </w:r>
          </w:p>
        </w:tc>
        <w:tc>
          <w:tcPr>
            <w:tcW w:w="172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Finance/Pricing, PSP</w:t>
            </w:r>
          </w:p>
        </w:tc>
        <w:tc>
          <w:tcPr>
            <w:tcW w:w="352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Required price, status, owner, effective date, missing dependency and escalation.</w:t>
            </w:r>
          </w:p>
        </w:tc>
        <w:tc>
          <w:tcPr>
            <w:tcW w:w="144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Complete or approve price readiness.</w:t>
            </w:r>
          </w:p>
        </w:tc>
      </w:tr>
      <w:tr>
        <w:trPr>
          <w:cantSplit/>
        </w:trPr>
        <w:tc>
          <w:tcPr>
            <w:tcW w:w="863"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UX-09</w:t>
            </w:r>
          </w:p>
        </w:tc>
        <w:tc>
          <w:tcPr>
            <w:tcW w:w="1800"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Approval Inbox</w:t>
            </w:r>
          </w:p>
        </w:tc>
        <w:tc>
          <w:tcPr>
            <w:tcW w:w="1728"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Business Approvers</w:t>
            </w:r>
          </w:p>
        </w:tc>
        <w:tc>
          <w:tcPr>
            <w:tcW w:w="3529"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Before/after values, evidence, policy checks, comments and exception expiry.</w:t>
            </w:r>
          </w:p>
        </w:tc>
        <w:tc>
          <w:tcPr>
            <w:tcW w:w="1440"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Approve, reject or return.</w:t>
            </w:r>
          </w:p>
        </w:tc>
      </w:tr>
      <w:tr>
        <w:trPr>
          <w:cantSplit/>
        </w:trPr>
        <w:tc>
          <w:tcPr>
            <w:tcW w:w="86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UX-10</w:t>
            </w:r>
          </w:p>
        </w:tc>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Governance Dashboard</w:t>
            </w:r>
          </w:p>
        </w:tc>
        <w:tc>
          <w:tcPr>
            <w:tcW w:w="172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S&amp;OP Lead, MDM</w:t>
            </w:r>
          </w:p>
        </w:tc>
        <w:tc>
          <w:tcPr>
            <w:tcW w:w="352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Open exceptions, overdue actions, blocked/non-SOP FERTs, unmapped lineage and quality KPIs.</w:t>
            </w:r>
          </w:p>
        </w:tc>
        <w:tc>
          <w:tcPr>
            <w:tcW w:w="144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Prioritize governance intervention.</w:t>
            </w:r>
          </w:p>
        </w:tc>
      </w:tr>
    </w:tbl>
    <w:p>
      <w:pPr>
        <w:pStyle w:val="Normal"/>
        <w:widowControl/>
        <w:rPr/>
      </w:pPr>
      <w:r>
        <w:rPr/>
      </w:r>
      <w:r>
        <w:br w:type="page"/>
      </w:r>
    </w:p>
    <w:p>
      <w:pPr>
        <w:pStyle w:val="Heading1"/>
        <w:keepNext w:val="true"/>
        <w:widowControl/>
        <w:spacing w:before="0" w:after="80"/>
        <w:rPr/>
      </w:pPr>
      <w:r>
        <w:rPr/>
        <w:t>8. Detailed Workflow Requirements</w:t>
      </w:r>
    </w:p>
    <w:tbl>
      <w:tblPr>
        <w:tblW w:w="9359" w:type="dxa"/>
        <w:jc w:val="start"/>
        <w:tblInd w:w="-115" w:type="dxa"/>
        <w:tblLayout w:type="fixed"/>
        <w:tblCellMar>
          <w:top w:w="95" w:type="dxa"/>
          <w:start w:w="110" w:type="dxa"/>
          <w:bottom w:w="95" w:type="dxa"/>
          <w:end w:w="110" w:type="dxa"/>
        </w:tblCellMar>
      </w:tblPr>
      <w:tblGrid>
        <w:gridCol w:w="791"/>
        <w:gridCol w:w="1585"/>
        <w:gridCol w:w="1511"/>
        <w:gridCol w:w="1369"/>
        <w:gridCol w:w="3095"/>
        <w:gridCol w:w="1008"/>
      </w:tblGrid>
      <w:tr>
        <w:trPr>
          <w:tblHeader w:val="true"/>
          <w:cantSplit/>
        </w:trPr>
        <w:tc>
          <w:tcPr>
            <w:tcW w:w="791" w:type="dxa"/>
            <w:tcBorders>
              <w:top w:val="single" w:sz="4" w:space="0" w:color="000000"/>
              <w:start w:val="single" w:sz="4" w:space="0" w:color="000000"/>
              <w:bottom w:val="single" w:sz="4" w:space="0" w:color="000000"/>
              <w:end w:val="single" w:sz="4" w:space="0" w:color="000000"/>
            </w:tcBorders>
            <w:shd w:fill="0B1F33" w:val="clear"/>
            <w:vAlign w:val="center"/>
          </w:tcPr>
          <w:p>
            <w:pPr>
              <w:pStyle w:val="Normal"/>
              <w:widowControl/>
              <w:spacing w:lineRule="auto" w:line="240" w:before="0" w:after="40"/>
              <w:jc w:val="start"/>
              <w:rPr>
                <w:rFonts w:ascii="Aptos" w:hAnsi="Aptos" w:eastAsia="ＭＳ 明朝"/>
                <w:b/>
                <w:color w:val="FFFFFF"/>
                <w:kern w:val="0"/>
                <w:sz w:val="15"/>
                <w:szCs w:val="22"/>
                <w:lang w:val="en-US" w:eastAsia="en-US" w:bidi="ar-SA"/>
              </w:rPr>
            </w:pPr>
            <w:r>
              <w:rPr>
                <w:rFonts w:eastAsia="ＭＳ 明朝"/>
                <w:b/>
                <w:color w:val="FFFFFF"/>
                <w:kern w:val="0"/>
                <w:sz w:val="15"/>
                <w:szCs w:val="22"/>
                <w:lang w:val="en-US" w:eastAsia="en-US" w:bidi="ar-SA"/>
              </w:rPr>
              <w:t>ID</w:t>
            </w:r>
          </w:p>
        </w:tc>
        <w:tc>
          <w:tcPr>
            <w:tcW w:w="1585" w:type="dxa"/>
            <w:tcBorders>
              <w:top w:val="single" w:sz="4" w:space="0" w:color="000000"/>
              <w:start w:val="single" w:sz="4" w:space="0" w:color="000000"/>
              <w:bottom w:val="single" w:sz="4" w:space="0" w:color="000000"/>
              <w:end w:val="single" w:sz="4" w:space="0" w:color="000000"/>
            </w:tcBorders>
            <w:shd w:fill="0B1F33" w:val="clear"/>
            <w:vAlign w:val="center"/>
          </w:tcPr>
          <w:p>
            <w:pPr>
              <w:pStyle w:val="Normal"/>
              <w:widowControl/>
              <w:spacing w:lineRule="auto" w:line="240" w:before="0" w:after="40"/>
              <w:jc w:val="start"/>
              <w:rPr>
                <w:rFonts w:ascii="Aptos" w:hAnsi="Aptos" w:eastAsia="ＭＳ 明朝"/>
                <w:b/>
                <w:color w:val="FFFFFF"/>
                <w:kern w:val="0"/>
                <w:sz w:val="15"/>
                <w:szCs w:val="22"/>
                <w:lang w:val="en-US" w:eastAsia="en-US" w:bidi="ar-SA"/>
              </w:rPr>
            </w:pPr>
            <w:r>
              <w:rPr>
                <w:rFonts w:eastAsia="ＭＳ 明朝"/>
                <w:b/>
                <w:color w:val="FFFFFF"/>
                <w:kern w:val="0"/>
                <w:sz w:val="15"/>
                <w:szCs w:val="22"/>
                <w:lang w:val="en-US" w:eastAsia="en-US" w:bidi="ar-SA"/>
              </w:rPr>
              <w:t>Workflow</w:t>
            </w:r>
          </w:p>
        </w:tc>
        <w:tc>
          <w:tcPr>
            <w:tcW w:w="1511" w:type="dxa"/>
            <w:tcBorders>
              <w:top w:val="single" w:sz="4" w:space="0" w:color="000000"/>
              <w:start w:val="single" w:sz="4" w:space="0" w:color="000000"/>
              <w:bottom w:val="single" w:sz="4" w:space="0" w:color="000000"/>
              <w:end w:val="single" w:sz="4" w:space="0" w:color="000000"/>
            </w:tcBorders>
            <w:shd w:fill="0B1F33" w:val="clear"/>
            <w:vAlign w:val="center"/>
          </w:tcPr>
          <w:p>
            <w:pPr>
              <w:pStyle w:val="Normal"/>
              <w:widowControl/>
              <w:spacing w:lineRule="auto" w:line="240" w:before="0" w:after="40"/>
              <w:jc w:val="start"/>
              <w:rPr>
                <w:rFonts w:ascii="Aptos" w:hAnsi="Aptos" w:eastAsia="ＭＳ 明朝"/>
                <w:b/>
                <w:color w:val="FFFFFF"/>
                <w:kern w:val="0"/>
                <w:sz w:val="15"/>
                <w:szCs w:val="22"/>
                <w:lang w:val="en-US" w:eastAsia="en-US" w:bidi="ar-SA"/>
              </w:rPr>
            </w:pPr>
            <w:r>
              <w:rPr>
                <w:rFonts w:eastAsia="ＭＳ 明朝"/>
                <w:b/>
                <w:color w:val="FFFFFF"/>
                <w:kern w:val="0"/>
                <w:sz w:val="15"/>
                <w:szCs w:val="22"/>
                <w:lang w:val="en-US" w:eastAsia="en-US" w:bidi="ar-SA"/>
              </w:rPr>
              <w:t>Trigger</w:t>
            </w:r>
          </w:p>
        </w:tc>
        <w:tc>
          <w:tcPr>
            <w:tcW w:w="1369" w:type="dxa"/>
            <w:tcBorders>
              <w:top w:val="single" w:sz="4" w:space="0" w:color="000000"/>
              <w:start w:val="single" w:sz="4" w:space="0" w:color="000000"/>
              <w:bottom w:val="single" w:sz="4" w:space="0" w:color="000000"/>
              <w:end w:val="single" w:sz="4" w:space="0" w:color="000000"/>
            </w:tcBorders>
            <w:shd w:fill="0B1F33" w:val="clear"/>
            <w:vAlign w:val="center"/>
          </w:tcPr>
          <w:p>
            <w:pPr>
              <w:pStyle w:val="Normal"/>
              <w:widowControl/>
              <w:spacing w:lineRule="auto" w:line="240" w:before="0" w:after="40"/>
              <w:jc w:val="start"/>
              <w:rPr>
                <w:rFonts w:ascii="Aptos" w:hAnsi="Aptos" w:eastAsia="ＭＳ 明朝"/>
                <w:b/>
                <w:color w:val="FFFFFF"/>
                <w:kern w:val="0"/>
                <w:sz w:val="15"/>
                <w:szCs w:val="22"/>
                <w:lang w:val="en-US" w:eastAsia="en-US" w:bidi="ar-SA"/>
              </w:rPr>
            </w:pPr>
            <w:r>
              <w:rPr>
                <w:rFonts w:eastAsia="ＭＳ 明朝"/>
                <w:b/>
                <w:color w:val="FFFFFF"/>
                <w:kern w:val="0"/>
                <w:sz w:val="15"/>
                <w:szCs w:val="22"/>
                <w:lang w:val="en-US" w:eastAsia="en-US" w:bidi="ar-SA"/>
              </w:rPr>
              <w:t>Coordinator</w:t>
            </w:r>
          </w:p>
        </w:tc>
        <w:tc>
          <w:tcPr>
            <w:tcW w:w="3095" w:type="dxa"/>
            <w:tcBorders>
              <w:top w:val="single" w:sz="4" w:space="0" w:color="000000"/>
              <w:start w:val="single" w:sz="4" w:space="0" w:color="000000"/>
              <w:bottom w:val="single" w:sz="4" w:space="0" w:color="000000"/>
              <w:end w:val="single" w:sz="4" w:space="0" w:color="000000"/>
            </w:tcBorders>
            <w:shd w:fill="0B1F33" w:val="clear"/>
            <w:vAlign w:val="center"/>
          </w:tcPr>
          <w:p>
            <w:pPr>
              <w:pStyle w:val="Normal"/>
              <w:widowControl/>
              <w:spacing w:lineRule="auto" w:line="240" w:before="0" w:after="40"/>
              <w:jc w:val="start"/>
              <w:rPr>
                <w:rFonts w:ascii="Aptos" w:hAnsi="Aptos" w:eastAsia="ＭＳ 明朝"/>
                <w:b/>
                <w:color w:val="FFFFFF"/>
                <w:kern w:val="0"/>
                <w:sz w:val="15"/>
                <w:szCs w:val="22"/>
                <w:lang w:val="en-US" w:eastAsia="en-US" w:bidi="ar-SA"/>
              </w:rPr>
            </w:pPr>
            <w:r>
              <w:rPr>
                <w:rFonts w:eastAsia="ＭＳ 明朝"/>
                <w:b/>
                <w:color w:val="FFFFFF"/>
                <w:kern w:val="0"/>
                <w:sz w:val="15"/>
                <w:szCs w:val="22"/>
                <w:lang w:val="en-US" w:eastAsia="en-US" w:bidi="ar-SA"/>
              </w:rPr>
              <w:t>Required Steps</w:t>
            </w:r>
          </w:p>
        </w:tc>
        <w:tc>
          <w:tcPr>
            <w:tcW w:w="1008" w:type="dxa"/>
            <w:tcBorders>
              <w:top w:val="single" w:sz="4" w:space="0" w:color="000000"/>
              <w:start w:val="single" w:sz="4" w:space="0" w:color="000000"/>
              <w:bottom w:val="single" w:sz="4" w:space="0" w:color="000000"/>
              <w:end w:val="single" w:sz="4" w:space="0" w:color="000000"/>
            </w:tcBorders>
            <w:shd w:fill="0B1F33" w:val="clear"/>
            <w:vAlign w:val="center"/>
          </w:tcPr>
          <w:p>
            <w:pPr>
              <w:pStyle w:val="Normal"/>
              <w:widowControl/>
              <w:spacing w:lineRule="auto" w:line="240" w:before="0" w:after="40"/>
              <w:jc w:val="start"/>
              <w:rPr>
                <w:rFonts w:ascii="Aptos" w:hAnsi="Aptos" w:eastAsia="ＭＳ 明朝"/>
                <w:b/>
                <w:color w:val="FFFFFF"/>
                <w:kern w:val="0"/>
                <w:sz w:val="15"/>
                <w:szCs w:val="22"/>
                <w:lang w:val="en-US" w:eastAsia="en-US" w:bidi="ar-SA"/>
              </w:rPr>
            </w:pPr>
            <w:r>
              <w:rPr>
                <w:rFonts w:eastAsia="ＭＳ 明朝"/>
                <w:b/>
                <w:color w:val="FFFFFF"/>
                <w:kern w:val="0"/>
                <w:sz w:val="15"/>
                <w:szCs w:val="22"/>
                <w:lang w:val="en-US" w:eastAsia="en-US" w:bidi="ar-SA"/>
              </w:rPr>
              <w:t>Output</w:t>
            </w:r>
          </w:p>
        </w:tc>
      </w:tr>
      <w:tr>
        <w:trPr>
          <w:cantSplit/>
        </w:trPr>
        <w:tc>
          <w:tcPr>
            <w:tcW w:w="791"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WF-01</w:t>
            </w:r>
          </w:p>
        </w:tc>
        <w:tc>
          <w:tcPr>
            <w:tcW w:w="1585"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New FERT governance</w:t>
            </w:r>
          </w:p>
        </w:tc>
        <w:tc>
          <w:tcPr>
            <w:tcW w:w="1511"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FERT release event</w:t>
            </w:r>
          </w:p>
        </w:tc>
        <w:tc>
          <w:tcPr>
            <w:tcW w:w="1369"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PSP</w:t>
            </w:r>
          </w:p>
        </w:tc>
        <w:tc>
          <w:tcPr>
            <w:tcW w:w="3095"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Validate characteristics, intent, price need, lineage, family and readiness</w:t>
            </w:r>
          </w:p>
        </w:tc>
        <w:tc>
          <w:tcPr>
            <w:tcW w:w="1008"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Approved planning relationship or controlled exception</w:t>
            </w:r>
          </w:p>
        </w:tc>
      </w:tr>
      <w:tr>
        <w:trPr>
          <w:cantSplit/>
        </w:trPr>
        <w:tc>
          <w:tcPr>
            <w:tcW w:w="79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WF-02</w:t>
            </w:r>
          </w:p>
        </w:tc>
        <w:tc>
          <w:tcPr>
            <w:tcW w:w="158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Characteristic correction</w:t>
            </w:r>
          </w:p>
        </w:tc>
        <w:tc>
          <w:tcPr>
            <w:tcW w:w="151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Critical validation failure</w:t>
            </w:r>
          </w:p>
        </w:tc>
        <w:tc>
          <w:tcPr>
            <w:tcW w:w="136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MDM Steward</w:t>
            </w:r>
          </w:p>
        </w:tc>
        <w:tc>
          <w:tcPr>
            <w:tcW w:w="309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Assign source owner, correct in IDM/ECC, reconcile and revalidate</w:t>
            </w:r>
          </w:p>
        </w:tc>
        <w:tc>
          <w:tcPr>
            <w:tcW w:w="100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Valid characteristic or approved time-bound exception</w:t>
            </w:r>
          </w:p>
        </w:tc>
      </w:tr>
      <w:tr>
        <w:trPr>
          <w:cantSplit/>
        </w:trPr>
        <w:tc>
          <w:tcPr>
            <w:tcW w:w="791"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WF-03</w:t>
            </w:r>
          </w:p>
        </w:tc>
        <w:tc>
          <w:tcPr>
            <w:tcW w:w="1585"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Lineage mapping</w:t>
            </w:r>
          </w:p>
        </w:tc>
        <w:tc>
          <w:tcPr>
            <w:tcW w:w="1511"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New/replacement/migration FERT</w:t>
            </w:r>
          </w:p>
        </w:tc>
        <w:tc>
          <w:tcPr>
            <w:tcW w:w="1369"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PSP</w:t>
            </w:r>
          </w:p>
        </w:tc>
        <w:tc>
          <w:tcPr>
            <w:tcW w:w="3095"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Recommend candidates, confirm purpose, select relationship, approve and publish</w:t>
            </w:r>
          </w:p>
        </w:tc>
        <w:tc>
          <w:tcPr>
            <w:tcW w:w="1008"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Effective-dated lineage record</w:t>
            </w:r>
          </w:p>
        </w:tc>
      </w:tr>
      <w:tr>
        <w:trPr>
          <w:cantSplit/>
        </w:trPr>
        <w:tc>
          <w:tcPr>
            <w:tcW w:w="79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WF-04</w:t>
            </w:r>
          </w:p>
        </w:tc>
        <w:tc>
          <w:tcPr>
            <w:tcW w:w="158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Ramp transition</w:t>
            </w:r>
          </w:p>
        </w:tc>
        <w:tc>
          <w:tcPr>
            <w:tcW w:w="151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Approved migration/ramp case</w:t>
            </w:r>
          </w:p>
        </w:tc>
        <w:tc>
          <w:tcPr>
            <w:tcW w:w="136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Planning</w:t>
            </w:r>
          </w:p>
        </w:tc>
        <w:tc>
          <w:tcPr>
            <w:tcW w:w="309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Define percentages/dates, validate stock, approve, publish and monitor</w:t>
            </w:r>
          </w:p>
        </w:tc>
        <w:tc>
          <w:tcPr>
            <w:tcW w:w="100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Approved 100%-reconciled transition profile</w:t>
            </w:r>
          </w:p>
        </w:tc>
      </w:tr>
      <w:tr>
        <w:trPr>
          <w:cantSplit/>
        </w:trPr>
        <w:tc>
          <w:tcPr>
            <w:tcW w:w="791"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WF-05</w:t>
            </w:r>
          </w:p>
        </w:tc>
        <w:tc>
          <w:tcPr>
            <w:tcW w:w="1585"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Parallel grouping</w:t>
            </w:r>
          </w:p>
        </w:tc>
        <w:tc>
          <w:tcPr>
            <w:tcW w:w="1511"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Parallel continuation identified</w:t>
            </w:r>
          </w:p>
        </w:tc>
        <w:tc>
          <w:tcPr>
            <w:tcW w:w="1369"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Planning</w:t>
            </w:r>
          </w:p>
        </w:tc>
        <w:tc>
          <w:tcPr>
            <w:tcW w:w="3095"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Assign family, consolidate history, define weights and approve</w:t>
            </w:r>
          </w:p>
        </w:tc>
        <w:tc>
          <w:tcPr>
            <w:tcW w:w="1008"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Governed group forecast input</w:t>
            </w:r>
          </w:p>
        </w:tc>
      </w:tr>
      <w:tr>
        <w:trPr>
          <w:cantSplit/>
        </w:trPr>
        <w:tc>
          <w:tcPr>
            <w:tcW w:w="79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WF-06</w:t>
            </w:r>
          </w:p>
        </w:tc>
        <w:tc>
          <w:tcPr>
            <w:tcW w:w="158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Rationalization</w:t>
            </w:r>
          </w:p>
        </w:tc>
        <w:tc>
          <w:tcPr>
            <w:tcW w:w="151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Scheduled review or system candidate</w:t>
            </w:r>
          </w:p>
        </w:tc>
        <w:tc>
          <w:tcPr>
            <w:tcW w:w="136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PSP</w:t>
            </w:r>
          </w:p>
        </w:tc>
        <w:tc>
          <w:tcPr>
            <w:tcW w:w="309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Review sales/orders/stock/migration, select restriction and approve</w:t>
            </w:r>
          </w:p>
        </w:tc>
        <w:tc>
          <w:tcPr>
            <w:tcW w:w="100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Blocked, liquidation-only or retired status</w:t>
            </w:r>
          </w:p>
        </w:tc>
      </w:tr>
      <w:tr>
        <w:trPr>
          <w:cantSplit/>
        </w:trPr>
        <w:tc>
          <w:tcPr>
            <w:tcW w:w="791"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WF-07</w:t>
            </w:r>
          </w:p>
        </w:tc>
        <w:tc>
          <w:tcPr>
            <w:tcW w:w="1585"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Non-SOP control</w:t>
            </w:r>
          </w:p>
        </w:tc>
        <w:tc>
          <w:tcPr>
            <w:tcW w:w="1511"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Pre-SOP FERT released</w:t>
            </w:r>
          </w:p>
        </w:tc>
        <w:tc>
          <w:tcPr>
            <w:tcW w:w="1369"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PSP/PPC</w:t>
            </w:r>
          </w:p>
        </w:tc>
        <w:tc>
          <w:tcPr>
            <w:tcW w:w="3095"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Set quantity, transaction, validity and approver; monitor consumption</w:t>
            </w:r>
          </w:p>
        </w:tc>
        <w:tc>
          <w:tcPr>
            <w:tcW w:w="1008"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Restricted use until SOP approval</w:t>
            </w:r>
          </w:p>
        </w:tc>
      </w:tr>
      <w:tr>
        <w:trPr>
          <w:cantSplit/>
        </w:trPr>
        <w:tc>
          <w:tcPr>
            <w:tcW w:w="79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WF-08</w:t>
            </w:r>
          </w:p>
        </w:tc>
        <w:tc>
          <w:tcPr>
            <w:tcW w:w="158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Price readiness</w:t>
            </w:r>
          </w:p>
        </w:tc>
        <w:tc>
          <w:tcPr>
            <w:tcW w:w="151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Price-dependent transaction planned</w:t>
            </w:r>
          </w:p>
        </w:tc>
        <w:tc>
          <w:tcPr>
            <w:tcW w:w="136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Finance/Pricing</w:t>
            </w:r>
          </w:p>
        </w:tc>
        <w:tc>
          <w:tcPr>
            <w:tcW w:w="309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Request, maintain, validate, approve and publish price status</w:t>
            </w:r>
          </w:p>
        </w:tc>
        <w:tc>
          <w:tcPr>
            <w:tcW w:w="100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Transaction-ready FERT</w:t>
            </w:r>
          </w:p>
        </w:tc>
      </w:tr>
      <w:tr>
        <w:trPr>
          <w:cantSplit/>
        </w:trPr>
        <w:tc>
          <w:tcPr>
            <w:tcW w:w="791"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WF-09</w:t>
            </w:r>
          </w:p>
        </w:tc>
        <w:tc>
          <w:tcPr>
            <w:tcW w:w="1585"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Exception and override</w:t>
            </w:r>
          </w:p>
        </w:tc>
        <w:tc>
          <w:tcPr>
            <w:tcW w:w="1511"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Rule failure requiring business decision</w:t>
            </w:r>
          </w:p>
        </w:tc>
        <w:tc>
          <w:tcPr>
            <w:tcW w:w="1369"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S&amp;OP Approver</w:t>
            </w:r>
          </w:p>
        </w:tc>
        <w:tc>
          <w:tcPr>
            <w:tcW w:w="3095"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Review impact/evidence, approve with expiry or reject</w:t>
            </w:r>
          </w:p>
        </w:tc>
        <w:tc>
          <w:tcPr>
            <w:tcW w:w="1008"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Auditable exception decision</w:t>
            </w:r>
          </w:p>
        </w:tc>
      </w:tr>
    </w:tbl>
    <w:p>
      <w:pPr>
        <w:pStyle w:val="Normal"/>
        <w:widowControl/>
        <w:spacing w:before="0" w:after="40"/>
        <w:rPr/>
      </w:pPr>
      <w:r>
        <w:rPr/>
      </w:r>
    </w:p>
    <w:p>
      <w:pPr>
        <w:pStyle w:val="Heading2"/>
        <w:keepNext w:val="true"/>
        <w:widowControl/>
        <w:rPr/>
      </w:pPr>
      <w:r>
        <w:rPr/>
        <w:t>8.1 Common Workflow Controls</w:t>
      </w:r>
    </w:p>
    <w:p>
      <w:pPr>
        <w:pStyle w:val="ListBullet"/>
        <w:widowControl/>
        <w:numPr>
          <w:ilvl w:val="0"/>
          <w:numId w:val="2"/>
        </w:numPr>
        <w:spacing w:before="0" w:after="40"/>
        <w:contextualSpacing/>
        <w:rPr/>
      </w:pPr>
      <w:r>
        <w:rPr/>
        <w:t>Every work item must have an owner, due date, status and escalation path.</w:t>
      </w:r>
    </w:p>
    <w:p>
      <w:pPr>
        <w:pStyle w:val="ListBullet"/>
        <w:widowControl/>
        <w:numPr>
          <w:ilvl w:val="0"/>
          <w:numId w:val="2"/>
        </w:numPr>
        <w:spacing w:before="0" w:after="40"/>
        <w:contextualSpacing/>
        <w:rPr/>
      </w:pPr>
      <w:r>
        <w:rPr/>
        <w:t>Business recommendations cannot be published without an authorised approval record.</w:t>
      </w:r>
    </w:p>
    <w:p>
      <w:pPr>
        <w:pStyle w:val="ListBullet"/>
        <w:widowControl/>
        <w:numPr>
          <w:ilvl w:val="0"/>
          <w:numId w:val="2"/>
        </w:numPr>
        <w:spacing w:before="0" w:after="40"/>
        <w:contextualSpacing/>
        <w:rPr/>
      </w:pPr>
      <w:r>
        <w:rPr/>
        <w:t>Overrides require reason, evidence, approver, effective period and expiry date.</w:t>
      </w:r>
    </w:p>
    <w:p>
      <w:pPr>
        <w:pStyle w:val="ListBullet"/>
        <w:widowControl/>
        <w:numPr>
          <w:ilvl w:val="0"/>
          <w:numId w:val="2"/>
        </w:numPr>
        <w:spacing w:before="0" w:after="40"/>
        <w:contextualSpacing/>
        <w:rPr/>
      </w:pPr>
      <w:r>
        <w:rPr/>
        <w:t>Published values must reconcile with source systems and planning consumers.</w:t>
      </w:r>
    </w:p>
    <w:p>
      <w:pPr>
        <w:pStyle w:val="ListBullet"/>
        <w:widowControl/>
        <w:numPr>
          <w:ilvl w:val="0"/>
          <w:numId w:val="2"/>
        </w:numPr>
        <w:spacing w:before="0" w:after="40"/>
        <w:contextualSpacing/>
        <w:rPr/>
      </w:pPr>
      <w:r>
        <w:rPr/>
        <w:t>All create, change, approval, publication and override events must be auditable.</w:t>
      </w:r>
    </w:p>
    <w:p>
      <w:pPr>
        <w:pStyle w:val="ListBullet"/>
        <w:widowControl/>
        <w:numPr>
          <w:ilvl w:val="0"/>
          <w:numId w:val="2"/>
        </w:numPr>
        <w:spacing w:before="0" w:after="40"/>
        <w:contextualSpacing/>
        <w:rPr/>
      </w:pPr>
      <w:r>
        <w:rPr/>
        <w:t>Failure notifications must identify whether the owner is Business, MDM, Finance/Pricing or IT.</w:t>
      </w:r>
    </w:p>
    <w:p>
      <w:pPr>
        <w:pStyle w:val="Heading1"/>
        <w:keepNext w:val="true"/>
        <w:widowControl/>
        <w:rPr/>
      </w:pPr>
      <w:r>
        <w:rPr/>
        <w:t>9. Connected User Stories</w:t>
      </w:r>
    </w:p>
    <w:p>
      <w:pPr>
        <w:pStyle w:val="Normal"/>
        <w:widowControl/>
        <w:rPr/>
      </w:pPr>
      <w:r>
        <w:rPr/>
        <w:t>Detailed supporting stories are also maintained in the T5 User Story Catalogue. The stories below provide the direct FSD-to-UX-to-workflow connection required for review.</w:t>
      </w:r>
    </w:p>
    <w:tbl>
      <w:tblPr>
        <w:tblW w:w="9360" w:type="dxa"/>
        <w:jc w:val="start"/>
        <w:tblInd w:w="-115" w:type="dxa"/>
        <w:tblLayout w:type="fixed"/>
        <w:tblCellMar>
          <w:top w:w="95" w:type="dxa"/>
          <w:start w:w="110" w:type="dxa"/>
          <w:bottom w:w="95" w:type="dxa"/>
          <w:end w:w="110" w:type="dxa"/>
        </w:tblCellMar>
      </w:tblPr>
      <w:tblGrid>
        <w:gridCol w:w="1080"/>
        <w:gridCol w:w="936"/>
        <w:gridCol w:w="1439"/>
        <w:gridCol w:w="4680"/>
        <w:gridCol w:w="649"/>
        <w:gridCol w:w="576"/>
      </w:tblGrid>
      <w:tr>
        <w:trPr>
          <w:tblHeader w:val="true"/>
          <w:cantSplit/>
        </w:trPr>
        <w:tc>
          <w:tcPr>
            <w:tcW w:w="1080" w:type="dxa"/>
            <w:tcBorders>
              <w:top w:val="single" w:sz="4" w:space="0" w:color="000000"/>
              <w:start w:val="single" w:sz="4" w:space="0" w:color="000000"/>
              <w:bottom w:val="single" w:sz="4" w:space="0" w:color="000000"/>
              <w:end w:val="single" w:sz="4" w:space="0" w:color="000000"/>
            </w:tcBorders>
            <w:shd w:fill="0B1F33" w:val="clear"/>
            <w:vAlign w:val="center"/>
          </w:tcPr>
          <w:p>
            <w:pPr>
              <w:pStyle w:val="Normal"/>
              <w:widowControl/>
              <w:spacing w:lineRule="auto" w:line="240" w:before="0" w:after="40"/>
              <w:jc w:val="start"/>
              <w:rPr>
                <w:rFonts w:ascii="Aptos" w:hAnsi="Aptos" w:eastAsia="ＭＳ 明朝"/>
                <w:b/>
                <w:color w:val="FFFFFF"/>
                <w:kern w:val="0"/>
                <w:sz w:val="15"/>
                <w:szCs w:val="22"/>
                <w:lang w:val="en-US" w:eastAsia="en-US" w:bidi="ar-SA"/>
              </w:rPr>
            </w:pPr>
            <w:r>
              <w:rPr>
                <w:rFonts w:eastAsia="ＭＳ 明朝"/>
                <w:b/>
                <w:color w:val="FFFFFF"/>
                <w:kern w:val="0"/>
                <w:sz w:val="15"/>
                <w:szCs w:val="22"/>
                <w:lang w:val="en-US" w:eastAsia="en-US" w:bidi="ar-SA"/>
              </w:rPr>
              <w:t>Story ID</w:t>
            </w:r>
          </w:p>
        </w:tc>
        <w:tc>
          <w:tcPr>
            <w:tcW w:w="936" w:type="dxa"/>
            <w:tcBorders>
              <w:top w:val="single" w:sz="4" w:space="0" w:color="000000"/>
              <w:start w:val="single" w:sz="4" w:space="0" w:color="000000"/>
              <w:bottom w:val="single" w:sz="4" w:space="0" w:color="000000"/>
              <w:end w:val="single" w:sz="4" w:space="0" w:color="000000"/>
            </w:tcBorders>
            <w:shd w:fill="0B1F33" w:val="clear"/>
            <w:vAlign w:val="center"/>
          </w:tcPr>
          <w:p>
            <w:pPr>
              <w:pStyle w:val="Normal"/>
              <w:widowControl/>
              <w:spacing w:lineRule="auto" w:line="240" w:before="0" w:after="40"/>
              <w:jc w:val="start"/>
              <w:rPr>
                <w:rFonts w:ascii="Aptos" w:hAnsi="Aptos" w:eastAsia="ＭＳ 明朝"/>
                <w:b/>
                <w:color w:val="FFFFFF"/>
                <w:kern w:val="0"/>
                <w:sz w:val="15"/>
                <w:szCs w:val="22"/>
                <w:lang w:val="en-US" w:eastAsia="en-US" w:bidi="ar-SA"/>
              </w:rPr>
            </w:pPr>
            <w:r>
              <w:rPr>
                <w:rFonts w:eastAsia="ＭＳ 明朝"/>
                <w:b/>
                <w:color w:val="FFFFFF"/>
                <w:kern w:val="0"/>
                <w:sz w:val="15"/>
                <w:szCs w:val="22"/>
                <w:lang w:val="en-US" w:eastAsia="en-US" w:bidi="ar-SA"/>
              </w:rPr>
              <w:t>Theme</w:t>
            </w:r>
          </w:p>
        </w:tc>
        <w:tc>
          <w:tcPr>
            <w:tcW w:w="1439" w:type="dxa"/>
            <w:tcBorders>
              <w:top w:val="single" w:sz="4" w:space="0" w:color="000000"/>
              <w:start w:val="single" w:sz="4" w:space="0" w:color="000000"/>
              <w:bottom w:val="single" w:sz="4" w:space="0" w:color="000000"/>
              <w:end w:val="single" w:sz="4" w:space="0" w:color="000000"/>
            </w:tcBorders>
            <w:shd w:fill="0B1F33" w:val="clear"/>
            <w:vAlign w:val="center"/>
          </w:tcPr>
          <w:p>
            <w:pPr>
              <w:pStyle w:val="Normal"/>
              <w:widowControl/>
              <w:spacing w:lineRule="auto" w:line="240" w:before="0" w:after="40"/>
              <w:jc w:val="start"/>
              <w:rPr>
                <w:rFonts w:ascii="Aptos" w:hAnsi="Aptos" w:eastAsia="ＭＳ 明朝"/>
                <w:b/>
                <w:color w:val="FFFFFF"/>
                <w:kern w:val="0"/>
                <w:sz w:val="15"/>
                <w:szCs w:val="22"/>
                <w:lang w:val="en-US" w:eastAsia="en-US" w:bidi="ar-SA"/>
              </w:rPr>
            </w:pPr>
            <w:r>
              <w:rPr>
                <w:rFonts w:eastAsia="ＭＳ 明朝"/>
                <w:b/>
                <w:color w:val="FFFFFF"/>
                <w:kern w:val="0"/>
                <w:sz w:val="15"/>
                <w:szCs w:val="22"/>
                <w:lang w:val="en-US" w:eastAsia="en-US" w:bidi="ar-SA"/>
              </w:rPr>
              <w:t>Persona</w:t>
            </w:r>
          </w:p>
        </w:tc>
        <w:tc>
          <w:tcPr>
            <w:tcW w:w="4680" w:type="dxa"/>
            <w:tcBorders>
              <w:top w:val="single" w:sz="4" w:space="0" w:color="000000"/>
              <w:start w:val="single" w:sz="4" w:space="0" w:color="000000"/>
              <w:bottom w:val="single" w:sz="4" w:space="0" w:color="000000"/>
              <w:end w:val="single" w:sz="4" w:space="0" w:color="000000"/>
            </w:tcBorders>
            <w:shd w:fill="0B1F33" w:val="clear"/>
            <w:vAlign w:val="center"/>
          </w:tcPr>
          <w:p>
            <w:pPr>
              <w:pStyle w:val="Normal"/>
              <w:widowControl/>
              <w:spacing w:lineRule="auto" w:line="240" w:before="0" w:after="40"/>
              <w:jc w:val="start"/>
              <w:rPr>
                <w:rFonts w:ascii="Aptos" w:hAnsi="Aptos" w:eastAsia="ＭＳ 明朝"/>
                <w:b/>
                <w:color w:val="FFFFFF"/>
                <w:kern w:val="0"/>
                <w:sz w:val="15"/>
                <w:szCs w:val="22"/>
                <w:lang w:val="en-US" w:eastAsia="en-US" w:bidi="ar-SA"/>
              </w:rPr>
            </w:pPr>
            <w:r>
              <w:rPr>
                <w:rFonts w:eastAsia="ＭＳ 明朝"/>
                <w:b/>
                <w:color w:val="FFFFFF"/>
                <w:kern w:val="0"/>
                <w:sz w:val="15"/>
                <w:szCs w:val="22"/>
                <w:lang w:val="en-US" w:eastAsia="en-US" w:bidi="ar-SA"/>
              </w:rPr>
              <w:t>User Story</w:t>
            </w:r>
          </w:p>
        </w:tc>
        <w:tc>
          <w:tcPr>
            <w:tcW w:w="649" w:type="dxa"/>
            <w:tcBorders>
              <w:top w:val="single" w:sz="4" w:space="0" w:color="000000"/>
              <w:start w:val="single" w:sz="4" w:space="0" w:color="000000"/>
              <w:bottom w:val="single" w:sz="4" w:space="0" w:color="000000"/>
              <w:end w:val="single" w:sz="4" w:space="0" w:color="000000"/>
            </w:tcBorders>
            <w:shd w:fill="0B1F33" w:val="clear"/>
            <w:vAlign w:val="center"/>
          </w:tcPr>
          <w:p>
            <w:pPr>
              <w:pStyle w:val="Normal"/>
              <w:widowControl/>
              <w:spacing w:lineRule="auto" w:line="240" w:before="0" w:after="40"/>
              <w:jc w:val="start"/>
              <w:rPr>
                <w:rFonts w:ascii="Aptos" w:hAnsi="Aptos" w:eastAsia="ＭＳ 明朝"/>
                <w:b/>
                <w:color w:val="FFFFFF"/>
                <w:kern w:val="0"/>
                <w:sz w:val="15"/>
                <w:szCs w:val="22"/>
                <w:lang w:val="en-US" w:eastAsia="en-US" w:bidi="ar-SA"/>
              </w:rPr>
            </w:pPr>
            <w:r>
              <w:rPr>
                <w:rFonts w:eastAsia="ＭＳ 明朝"/>
                <w:b/>
                <w:color w:val="FFFFFF"/>
                <w:kern w:val="0"/>
                <w:sz w:val="15"/>
                <w:szCs w:val="22"/>
                <w:lang w:val="en-US" w:eastAsia="en-US" w:bidi="ar-SA"/>
              </w:rPr>
              <w:t>UX</w:t>
            </w:r>
          </w:p>
        </w:tc>
        <w:tc>
          <w:tcPr>
            <w:tcW w:w="576" w:type="dxa"/>
            <w:tcBorders>
              <w:top w:val="single" w:sz="4" w:space="0" w:color="000000"/>
              <w:start w:val="single" w:sz="4" w:space="0" w:color="000000"/>
              <w:bottom w:val="single" w:sz="4" w:space="0" w:color="000000"/>
              <w:end w:val="single" w:sz="4" w:space="0" w:color="000000"/>
            </w:tcBorders>
            <w:shd w:fill="0B1F33" w:val="clear"/>
            <w:vAlign w:val="center"/>
          </w:tcPr>
          <w:p>
            <w:pPr>
              <w:pStyle w:val="Normal"/>
              <w:widowControl/>
              <w:spacing w:lineRule="auto" w:line="240" w:before="0" w:after="40"/>
              <w:jc w:val="start"/>
              <w:rPr>
                <w:rFonts w:ascii="Aptos" w:hAnsi="Aptos" w:eastAsia="ＭＳ 明朝"/>
                <w:b/>
                <w:color w:val="FFFFFF"/>
                <w:kern w:val="0"/>
                <w:sz w:val="15"/>
                <w:szCs w:val="22"/>
                <w:lang w:val="en-US" w:eastAsia="en-US" w:bidi="ar-SA"/>
              </w:rPr>
            </w:pPr>
            <w:r>
              <w:rPr>
                <w:rFonts w:eastAsia="ＭＳ 明朝"/>
                <w:b/>
                <w:color w:val="FFFFFF"/>
                <w:kern w:val="0"/>
                <w:sz w:val="15"/>
                <w:szCs w:val="22"/>
                <w:lang w:val="en-US" w:eastAsia="en-US" w:bidi="ar-SA"/>
              </w:rPr>
              <w:t>Workflow</w:t>
            </w:r>
          </w:p>
        </w:tc>
      </w:tr>
      <w:tr>
        <w:trPr>
          <w:cantSplit/>
        </w:trPr>
        <w:tc>
          <w:tcPr>
            <w:tcW w:w="1080"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T5-US-01</w:t>
            </w:r>
          </w:p>
        </w:tc>
        <w:tc>
          <w:tcPr>
            <w:tcW w:w="936"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Theme 1</w:t>
            </w:r>
          </w:p>
        </w:tc>
        <w:tc>
          <w:tcPr>
            <w:tcW w:w="1439"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MDM Steward</w:t>
            </w:r>
          </w:p>
        </w:tc>
        <w:tc>
          <w:tcPr>
            <w:tcW w:w="4680"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As an MDM Steward, I want to see missing or inconsistent planning characteristics so that defects are corrected before planning use.</w:t>
            </w:r>
          </w:p>
        </w:tc>
        <w:tc>
          <w:tcPr>
            <w:tcW w:w="649"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UX-03</w:t>
            </w:r>
          </w:p>
        </w:tc>
        <w:tc>
          <w:tcPr>
            <w:tcW w:w="576"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WF-02</w:t>
            </w:r>
          </w:p>
        </w:tc>
      </w:tr>
      <w:tr>
        <w:trPr>
          <w:cantSplit/>
        </w:trPr>
        <w:tc>
          <w:tcPr>
            <w:tcW w:w="108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T5-US-02</w:t>
            </w:r>
          </w:p>
        </w:tc>
        <w:tc>
          <w:tcPr>
            <w:tcW w:w="93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Theme 1</w:t>
            </w:r>
          </w:p>
        </w:tc>
        <w:tc>
          <w:tcPr>
            <w:tcW w:w="143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MDM Steward</w:t>
            </w:r>
          </w:p>
        </w:tc>
        <w:tc>
          <w:tcPr>
            <w:tcW w:w="468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As an MDM Steward, I want critical validation failures to block planning readiness so that invalid FERTs do not enter S&amp;OP.</w:t>
            </w:r>
          </w:p>
        </w:tc>
        <w:tc>
          <w:tcPr>
            <w:tcW w:w="64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UX-02/03</w:t>
            </w:r>
          </w:p>
        </w:tc>
        <w:tc>
          <w:tcPr>
            <w:tcW w:w="57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WF-02</w:t>
            </w:r>
          </w:p>
        </w:tc>
      </w:tr>
      <w:tr>
        <w:trPr>
          <w:cantSplit/>
        </w:trPr>
        <w:tc>
          <w:tcPr>
            <w:tcW w:w="1080"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T5-US-03</w:t>
            </w:r>
          </w:p>
        </w:tc>
        <w:tc>
          <w:tcPr>
            <w:tcW w:w="936"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Theme 2</w:t>
            </w:r>
          </w:p>
        </w:tc>
        <w:tc>
          <w:tcPr>
            <w:tcW w:w="1439"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PSP</w:t>
            </w:r>
          </w:p>
        </w:tc>
        <w:tc>
          <w:tcPr>
            <w:tcW w:w="4680"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As a PSP user, I want rationalization candidates ranked using sales, orders, stock and migration so that inactive FERTs can be reviewed consistently.</w:t>
            </w:r>
          </w:p>
        </w:tc>
        <w:tc>
          <w:tcPr>
            <w:tcW w:w="649"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UX-04</w:t>
            </w:r>
          </w:p>
        </w:tc>
        <w:tc>
          <w:tcPr>
            <w:tcW w:w="576"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WF-06</w:t>
            </w:r>
          </w:p>
        </w:tc>
      </w:tr>
      <w:tr>
        <w:trPr>
          <w:cantSplit/>
        </w:trPr>
        <w:tc>
          <w:tcPr>
            <w:tcW w:w="108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T5-US-04</w:t>
            </w:r>
          </w:p>
        </w:tc>
        <w:tc>
          <w:tcPr>
            <w:tcW w:w="93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Theme 2</w:t>
            </w:r>
          </w:p>
        </w:tc>
        <w:tc>
          <w:tcPr>
            <w:tcW w:w="143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PSP</w:t>
            </w:r>
          </w:p>
        </w:tc>
        <w:tc>
          <w:tcPr>
            <w:tcW w:w="468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As a PSP user, I want a blocked FERT removed from new indenting while approved stock is liquidated so that demand is not created on a retiring code.</w:t>
            </w:r>
          </w:p>
        </w:tc>
        <w:tc>
          <w:tcPr>
            <w:tcW w:w="64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UX-04</w:t>
            </w:r>
          </w:p>
        </w:tc>
        <w:tc>
          <w:tcPr>
            <w:tcW w:w="57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WF-06</w:t>
            </w:r>
          </w:p>
        </w:tc>
      </w:tr>
      <w:tr>
        <w:trPr>
          <w:cantSplit/>
        </w:trPr>
        <w:tc>
          <w:tcPr>
            <w:tcW w:w="1080"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T5-US-05</w:t>
            </w:r>
          </w:p>
        </w:tc>
        <w:tc>
          <w:tcPr>
            <w:tcW w:w="936"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Theme 2</w:t>
            </w:r>
          </w:p>
        </w:tc>
        <w:tc>
          <w:tcPr>
            <w:tcW w:w="1439"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PPC Planner</w:t>
            </w:r>
          </w:p>
        </w:tc>
        <w:tc>
          <w:tcPr>
            <w:tcW w:w="4680"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As a PPC Planner, I want non-SOP quantity and transaction limits so that prototype or certification FERTs are not used for regular production.</w:t>
            </w:r>
          </w:p>
        </w:tc>
        <w:tc>
          <w:tcPr>
            <w:tcW w:w="649"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UX-02/04</w:t>
            </w:r>
          </w:p>
        </w:tc>
        <w:tc>
          <w:tcPr>
            <w:tcW w:w="576"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WF-07</w:t>
            </w:r>
          </w:p>
        </w:tc>
      </w:tr>
      <w:tr>
        <w:trPr>
          <w:cantSplit/>
        </w:trPr>
        <w:tc>
          <w:tcPr>
            <w:tcW w:w="108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T5-US-06</w:t>
            </w:r>
          </w:p>
        </w:tc>
        <w:tc>
          <w:tcPr>
            <w:tcW w:w="93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Theme 3</w:t>
            </w:r>
          </w:p>
        </w:tc>
        <w:tc>
          <w:tcPr>
            <w:tcW w:w="143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Finance/Pricing</w:t>
            </w:r>
          </w:p>
        </w:tc>
        <w:tc>
          <w:tcPr>
            <w:tcW w:w="468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As a Pricing Owner, I want a queue of FERTs missing mandatory price so that STO/RGP readiness is completed before the transaction date.</w:t>
            </w:r>
          </w:p>
        </w:tc>
        <w:tc>
          <w:tcPr>
            <w:tcW w:w="64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UX-08</w:t>
            </w:r>
          </w:p>
        </w:tc>
        <w:tc>
          <w:tcPr>
            <w:tcW w:w="57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WF-08</w:t>
            </w:r>
          </w:p>
        </w:tc>
      </w:tr>
      <w:tr>
        <w:trPr>
          <w:cantSplit/>
        </w:trPr>
        <w:tc>
          <w:tcPr>
            <w:tcW w:w="1080"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T5-US-07</w:t>
            </w:r>
          </w:p>
        </w:tc>
        <w:tc>
          <w:tcPr>
            <w:tcW w:w="936"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Theme 4</w:t>
            </w:r>
          </w:p>
        </w:tc>
        <w:tc>
          <w:tcPr>
            <w:tcW w:w="1439"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PSP</w:t>
            </w:r>
          </w:p>
        </w:tc>
        <w:tc>
          <w:tcPr>
            <w:tcW w:w="4680"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As a PSP user, I want predecessor candidates recommended with similarity evidence so that I can select the correct planning relationship.</w:t>
            </w:r>
          </w:p>
        </w:tc>
        <w:tc>
          <w:tcPr>
            <w:tcW w:w="649"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UX-05</w:t>
            </w:r>
          </w:p>
        </w:tc>
        <w:tc>
          <w:tcPr>
            <w:tcW w:w="576"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WF-03</w:t>
            </w:r>
          </w:p>
        </w:tc>
      </w:tr>
      <w:tr>
        <w:trPr>
          <w:cantSplit/>
        </w:trPr>
        <w:tc>
          <w:tcPr>
            <w:tcW w:w="108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T5-US-08</w:t>
            </w:r>
          </w:p>
        </w:tc>
        <w:tc>
          <w:tcPr>
            <w:tcW w:w="93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Theme 4</w:t>
            </w:r>
          </w:p>
        </w:tc>
        <w:tc>
          <w:tcPr>
            <w:tcW w:w="143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Marketing</w:t>
            </w:r>
          </w:p>
        </w:tc>
        <w:tc>
          <w:tcPr>
            <w:tcW w:w="468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As a Marketing user, I want to record the business intent behind FERT creation so that reference-copy and planning-predecessor relationships are not confused.</w:t>
            </w:r>
          </w:p>
        </w:tc>
        <w:tc>
          <w:tcPr>
            <w:tcW w:w="64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UX-05</w:t>
            </w:r>
          </w:p>
        </w:tc>
        <w:tc>
          <w:tcPr>
            <w:tcW w:w="57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WF-03</w:t>
            </w:r>
          </w:p>
        </w:tc>
      </w:tr>
      <w:tr>
        <w:trPr>
          <w:cantSplit/>
        </w:trPr>
        <w:tc>
          <w:tcPr>
            <w:tcW w:w="1080"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T5-US-09</w:t>
            </w:r>
          </w:p>
        </w:tc>
        <w:tc>
          <w:tcPr>
            <w:tcW w:w="936"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Theme 4</w:t>
            </w:r>
          </w:p>
        </w:tc>
        <w:tc>
          <w:tcPr>
            <w:tcW w:w="1439"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Demand Planner</w:t>
            </w:r>
          </w:p>
        </w:tc>
        <w:tc>
          <w:tcPr>
            <w:tcW w:w="4680"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As a Demand Planner, I want to define approved history-transfer percentages so that successor forecasts use relevant predecessor demand.</w:t>
            </w:r>
          </w:p>
        </w:tc>
        <w:tc>
          <w:tcPr>
            <w:tcW w:w="649"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UX-05/06</w:t>
            </w:r>
          </w:p>
        </w:tc>
        <w:tc>
          <w:tcPr>
            <w:tcW w:w="576"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WF-03/04</w:t>
            </w:r>
          </w:p>
        </w:tc>
      </w:tr>
      <w:tr>
        <w:trPr>
          <w:cantSplit/>
        </w:trPr>
        <w:tc>
          <w:tcPr>
            <w:tcW w:w="108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T5-US-10</w:t>
            </w:r>
          </w:p>
        </w:tc>
        <w:tc>
          <w:tcPr>
            <w:tcW w:w="93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Theme 4</w:t>
            </w:r>
          </w:p>
        </w:tc>
        <w:tc>
          <w:tcPr>
            <w:tcW w:w="143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Demand Planner</w:t>
            </w:r>
          </w:p>
        </w:tc>
        <w:tc>
          <w:tcPr>
            <w:tcW w:w="468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As a Demand Planner, I want ramp-up/ramp-down percentages and dates to reconcile to 100 percent so that old and new FERTs are not double planned.</w:t>
            </w:r>
          </w:p>
        </w:tc>
        <w:tc>
          <w:tcPr>
            <w:tcW w:w="64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UX-06</w:t>
            </w:r>
          </w:p>
        </w:tc>
        <w:tc>
          <w:tcPr>
            <w:tcW w:w="57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WF-04</w:t>
            </w:r>
          </w:p>
        </w:tc>
      </w:tr>
      <w:tr>
        <w:trPr>
          <w:cantSplit/>
        </w:trPr>
        <w:tc>
          <w:tcPr>
            <w:tcW w:w="1080"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T5-US-11</w:t>
            </w:r>
          </w:p>
        </w:tc>
        <w:tc>
          <w:tcPr>
            <w:tcW w:w="936"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Theme 5</w:t>
            </w:r>
          </w:p>
        </w:tc>
        <w:tc>
          <w:tcPr>
            <w:tcW w:w="1439"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Demand Planner</w:t>
            </w:r>
          </w:p>
        </w:tc>
        <w:tc>
          <w:tcPr>
            <w:tcW w:w="4680"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As a Demand Planner, I want parallel FERT history consolidated at planning-family level so that sparse variants can be forecast reliably.</w:t>
            </w:r>
          </w:p>
        </w:tc>
        <w:tc>
          <w:tcPr>
            <w:tcW w:w="649"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UX-07</w:t>
            </w:r>
          </w:p>
        </w:tc>
        <w:tc>
          <w:tcPr>
            <w:tcW w:w="576"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WF-05</w:t>
            </w:r>
          </w:p>
        </w:tc>
      </w:tr>
      <w:tr>
        <w:trPr>
          <w:cantSplit/>
        </w:trPr>
        <w:tc>
          <w:tcPr>
            <w:tcW w:w="108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T5-US-12</w:t>
            </w:r>
          </w:p>
        </w:tc>
        <w:tc>
          <w:tcPr>
            <w:tcW w:w="93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Theme 5</w:t>
            </w:r>
          </w:p>
        </w:tc>
        <w:tc>
          <w:tcPr>
            <w:tcW w:w="143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PSP</w:t>
            </w:r>
          </w:p>
        </w:tc>
        <w:tc>
          <w:tcPr>
            <w:tcW w:w="468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As a PSP user, I want vertical-specific grouping rules so that truck and bus FERTs are compared using appropriate characteristics.</w:t>
            </w:r>
          </w:p>
        </w:tc>
        <w:tc>
          <w:tcPr>
            <w:tcW w:w="64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UX-07</w:t>
            </w:r>
          </w:p>
        </w:tc>
        <w:tc>
          <w:tcPr>
            <w:tcW w:w="57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WF-05</w:t>
            </w:r>
          </w:p>
        </w:tc>
      </w:tr>
      <w:tr>
        <w:trPr>
          <w:cantSplit/>
        </w:trPr>
        <w:tc>
          <w:tcPr>
            <w:tcW w:w="1080"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T5-US-13</w:t>
            </w:r>
          </w:p>
        </w:tc>
        <w:tc>
          <w:tcPr>
            <w:tcW w:w="936"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All</w:t>
            </w:r>
          </w:p>
        </w:tc>
        <w:tc>
          <w:tcPr>
            <w:tcW w:w="1439"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Business Approver</w:t>
            </w:r>
          </w:p>
        </w:tc>
        <w:tc>
          <w:tcPr>
            <w:tcW w:w="4680"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As an Approver, I want to review evidence, impact and before/after values so that governance decisions are controlled and auditable.</w:t>
            </w:r>
          </w:p>
        </w:tc>
        <w:tc>
          <w:tcPr>
            <w:tcW w:w="649"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UX-09</w:t>
            </w:r>
          </w:p>
        </w:tc>
        <w:tc>
          <w:tcPr>
            <w:tcW w:w="576"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WF-09</w:t>
            </w:r>
          </w:p>
        </w:tc>
      </w:tr>
      <w:tr>
        <w:trPr>
          <w:cantSplit/>
        </w:trPr>
        <w:tc>
          <w:tcPr>
            <w:tcW w:w="108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T5-US-14</w:t>
            </w:r>
          </w:p>
        </w:tc>
        <w:tc>
          <w:tcPr>
            <w:tcW w:w="93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All</w:t>
            </w:r>
          </w:p>
        </w:tc>
        <w:tc>
          <w:tcPr>
            <w:tcW w:w="143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S&amp;OP Lead</w:t>
            </w:r>
          </w:p>
        </w:tc>
        <w:tc>
          <w:tcPr>
            <w:tcW w:w="468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As an S&amp;OP Lead, I want a dashboard of overdue and high-impact exceptions so that intervention is focused on planning risk.</w:t>
            </w:r>
          </w:p>
        </w:tc>
        <w:tc>
          <w:tcPr>
            <w:tcW w:w="64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UX-10</w:t>
            </w:r>
          </w:p>
        </w:tc>
        <w:tc>
          <w:tcPr>
            <w:tcW w:w="57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All</w:t>
            </w:r>
          </w:p>
        </w:tc>
      </w:tr>
    </w:tbl>
    <w:p>
      <w:pPr>
        <w:pStyle w:val="Normal"/>
        <w:widowControl/>
        <w:spacing w:before="0" w:after="40"/>
        <w:rPr/>
      </w:pPr>
      <w:r>
        <w:rPr/>
      </w:r>
    </w:p>
    <w:p>
      <w:pPr>
        <w:pStyle w:val="Heading1"/>
        <w:keepNext w:val="true"/>
        <w:widowControl/>
        <w:rPr/>
      </w:pPr>
      <w:r>
        <w:rPr/>
        <w:t>10. Functional Data Entity Catalogue</w:t>
      </w:r>
    </w:p>
    <w:p>
      <w:pPr>
        <w:pStyle w:val="Normal"/>
        <w:widowControl/>
        <w:rPr/>
      </w:pPr>
      <w:r>
        <w:rPr/>
        <w:t>This is a functional catalogue of the business information needed to operate T5. It does not prescribe physical database tables, integration payloads or technical architecture.</w:t>
      </w:r>
    </w:p>
    <w:tbl>
      <w:tblPr>
        <w:tblW w:w="9360" w:type="dxa"/>
        <w:jc w:val="start"/>
        <w:tblInd w:w="-115" w:type="dxa"/>
        <w:tblLayout w:type="fixed"/>
        <w:tblCellMar>
          <w:top w:w="95" w:type="dxa"/>
          <w:start w:w="110" w:type="dxa"/>
          <w:bottom w:w="95" w:type="dxa"/>
          <w:end w:w="110" w:type="dxa"/>
        </w:tblCellMar>
      </w:tblPr>
      <w:tblGrid>
        <w:gridCol w:w="1799"/>
        <w:gridCol w:w="4897"/>
        <w:gridCol w:w="1800"/>
        <w:gridCol w:w="864"/>
      </w:tblGrid>
      <w:tr>
        <w:trPr>
          <w:tblHeader w:val="true"/>
          <w:cantSplit/>
        </w:trPr>
        <w:tc>
          <w:tcPr>
            <w:tcW w:w="1799" w:type="dxa"/>
            <w:tcBorders>
              <w:top w:val="single" w:sz="4" w:space="0" w:color="000000"/>
              <w:start w:val="single" w:sz="4" w:space="0" w:color="000000"/>
              <w:bottom w:val="single" w:sz="4" w:space="0" w:color="000000"/>
              <w:end w:val="single" w:sz="4" w:space="0" w:color="000000"/>
            </w:tcBorders>
            <w:shd w:fill="0B1F33" w:val="clear"/>
            <w:vAlign w:val="center"/>
          </w:tcPr>
          <w:p>
            <w:pPr>
              <w:pStyle w:val="Normal"/>
              <w:widowControl/>
              <w:spacing w:lineRule="auto" w:line="240" w:before="0" w:after="40"/>
              <w:jc w:val="start"/>
              <w:rPr>
                <w:rFonts w:ascii="Aptos" w:hAnsi="Aptos" w:eastAsia="ＭＳ 明朝"/>
                <w:b/>
                <w:color w:val="FFFFFF"/>
                <w:kern w:val="0"/>
                <w:sz w:val="15"/>
                <w:szCs w:val="22"/>
                <w:lang w:val="en-US" w:eastAsia="en-US" w:bidi="ar-SA"/>
              </w:rPr>
            </w:pPr>
            <w:r>
              <w:rPr>
                <w:rFonts w:eastAsia="ＭＳ 明朝"/>
                <w:b/>
                <w:color w:val="FFFFFF"/>
                <w:kern w:val="0"/>
                <w:sz w:val="15"/>
                <w:szCs w:val="22"/>
                <w:lang w:val="en-US" w:eastAsia="en-US" w:bidi="ar-SA"/>
              </w:rPr>
              <w:t>Entity</w:t>
            </w:r>
          </w:p>
        </w:tc>
        <w:tc>
          <w:tcPr>
            <w:tcW w:w="4897" w:type="dxa"/>
            <w:tcBorders>
              <w:top w:val="single" w:sz="4" w:space="0" w:color="000000"/>
              <w:start w:val="single" w:sz="4" w:space="0" w:color="000000"/>
              <w:bottom w:val="single" w:sz="4" w:space="0" w:color="000000"/>
              <w:end w:val="single" w:sz="4" w:space="0" w:color="000000"/>
            </w:tcBorders>
            <w:shd w:fill="0B1F33" w:val="clear"/>
            <w:vAlign w:val="center"/>
          </w:tcPr>
          <w:p>
            <w:pPr>
              <w:pStyle w:val="Normal"/>
              <w:widowControl/>
              <w:spacing w:lineRule="auto" w:line="240" w:before="0" w:after="40"/>
              <w:jc w:val="start"/>
              <w:rPr>
                <w:rFonts w:ascii="Aptos" w:hAnsi="Aptos" w:eastAsia="ＭＳ 明朝"/>
                <w:b/>
                <w:color w:val="FFFFFF"/>
                <w:kern w:val="0"/>
                <w:sz w:val="15"/>
                <w:szCs w:val="22"/>
                <w:lang w:val="en-US" w:eastAsia="en-US" w:bidi="ar-SA"/>
              </w:rPr>
            </w:pPr>
            <w:r>
              <w:rPr>
                <w:rFonts w:eastAsia="ＭＳ 明朝"/>
                <w:b/>
                <w:color w:val="FFFFFF"/>
                <w:kern w:val="0"/>
                <w:sz w:val="15"/>
                <w:szCs w:val="22"/>
                <w:lang w:val="en-US" w:eastAsia="en-US" w:bidi="ar-SA"/>
              </w:rPr>
              <w:t>Minimum Functional Content</w:t>
            </w:r>
          </w:p>
        </w:tc>
        <w:tc>
          <w:tcPr>
            <w:tcW w:w="1800" w:type="dxa"/>
            <w:tcBorders>
              <w:top w:val="single" w:sz="4" w:space="0" w:color="000000"/>
              <w:start w:val="single" w:sz="4" w:space="0" w:color="000000"/>
              <w:bottom w:val="single" w:sz="4" w:space="0" w:color="000000"/>
              <w:end w:val="single" w:sz="4" w:space="0" w:color="000000"/>
            </w:tcBorders>
            <w:shd w:fill="0B1F33" w:val="clear"/>
            <w:vAlign w:val="center"/>
          </w:tcPr>
          <w:p>
            <w:pPr>
              <w:pStyle w:val="Normal"/>
              <w:widowControl/>
              <w:spacing w:lineRule="auto" w:line="240" w:before="0" w:after="40"/>
              <w:jc w:val="start"/>
              <w:rPr>
                <w:rFonts w:ascii="Aptos" w:hAnsi="Aptos" w:eastAsia="ＭＳ 明朝"/>
                <w:b/>
                <w:color w:val="FFFFFF"/>
                <w:kern w:val="0"/>
                <w:sz w:val="15"/>
                <w:szCs w:val="22"/>
                <w:lang w:val="en-US" w:eastAsia="en-US" w:bidi="ar-SA"/>
              </w:rPr>
            </w:pPr>
            <w:r>
              <w:rPr>
                <w:rFonts w:eastAsia="ＭＳ 明朝"/>
                <w:b/>
                <w:color w:val="FFFFFF"/>
                <w:kern w:val="0"/>
                <w:sz w:val="15"/>
                <w:szCs w:val="22"/>
                <w:lang w:val="en-US" w:eastAsia="en-US" w:bidi="ar-SA"/>
              </w:rPr>
              <w:t>Expected Source/Owner</w:t>
            </w:r>
          </w:p>
        </w:tc>
        <w:tc>
          <w:tcPr>
            <w:tcW w:w="864" w:type="dxa"/>
            <w:tcBorders>
              <w:top w:val="single" w:sz="4" w:space="0" w:color="000000"/>
              <w:start w:val="single" w:sz="4" w:space="0" w:color="000000"/>
              <w:bottom w:val="single" w:sz="4" w:space="0" w:color="000000"/>
              <w:end w:val="single" w:sz="4" w:space="0" w:color="000000"/>
            </w:tcBorders>
            <w:shd w:fill="0B1F33" w:val="clear"/>
            <w:vAlign w:val="center"/>
          </w:tcPr>
          <w:p>
            <w:pPr>
              <w:pStyle w:val="Normal"/>
              <w:widowControl/>
              <w:spacing w:lineRule="auto" w:line="240" w:before="0" w:after="40"/>
              <w:jc w:val="start"/>
              <w:rPr>
                <w:rFonts w:ascii="Aptos" w:hAnsi="Aptos" w:eastAsia="ＭＳ 明朝"/>
                <w:b/>
                <w:color w:val="FFFFFF"/>
                <w:kern w:val="0"/>
                <w:sz w:val="15"/>
                <w:szCs w:val="22"/>
                <w:lang w:val="en-US" w:eastAsia="en-US" w:bidi="ar-SA"/>
              </w:rPr>
            </w:pPr>
            <w:r>
              <w:rPr>
                <w:rFonts w:eastAsia="ＭＳ 明朝"/>
                <w:b/>
                <w:color w:val="FFFFFF"/>
                <w:kern w:val="0"/>
                <w:sz w:val="15"/>
                <w:szCs w:val="22"/>
                <w:lang w:val="en-US" w:eastAsia="en-US" w:bidi="ar-SA"/>
              </w:rPr>
              <w:t>Use</w:t>
            </w:r>
          </w:p>
        </w:tc>
      </w:tr>
      <w:tr>
        <w:trPr>
          <w:cantSplit/>
        </w:trPr>
        <w:tc>
          <w:tcPr>
            <w:tcW w:w="1799"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FERT Master</w:t>
            </w:r>
          </w:p>
        </w:tc>
        <w:tc>
          <w:tcPr>
            <w:tcW w:w="4897"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FERT code, description, vertical, material status, plant and source identifiers</w:t>
            </w:r>
          </w:p>
        </w:tc>
        <w:tc>
          <w:tcPr>
            <w:tcW w:w="1800"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IDM/ECC</w:t>
            </w:r>
          </w:p>
        </w:tc>
        <w:tc>
          <w:tcPr>
            <w:tcW w:w="864"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All themes</w:t>
            </w:r>
          </w:p>
        </w:tc>
      </w:tr>
      <w:tr>
        <w:trPr>
          <w:cantSplit/>
        </w:trPr>
        <w:tc>
          <w:tcPr>
            <w:tcW w:w="179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Planning Characteristic</w:t>
            </w:r>
          </w:p>
        </w:tc>
        <w:tc>
          <w:tcPr>
            <w:tcW w:w="489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Division, vertical, sub-vertical, MPG, GVW, UPIN, engine, wheelbase, tyre, fuel, application and vertical-specific attributes</w:t>
            </w:r>
          </w:p>
        </w:tc>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IDM/ECC</w:t>
            </w:r>
          </w:p>
        </w:tc>
        <w:tc>
          <w:tcPr>
            <w:tcW w:w="86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Theme 1/5</w:t>
            </w:r>
          </w:p>
        </w:tc>
      </w:tr>
      <w:tr>
        <w:trPr>
          <w:cantSplit/>
        </w:trPr>
        <w:tc>
          <w:tcPr>
            <w:tcW w:w="1799"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Characteristic Rule</w:t>
            </w:r>
          </w:p>
        </w:tc>
        <w:tc>
          <w:tcPr>
            <w:tcW w:w="4897"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Applicability, mandatory/conditional logic, allowed values, severity and effective dates</w:t>
            </w:r>
          </w:p>
        </w:tc>
        <w:tc>
          <w:tcPr>
            <w:tcW w:w="1800"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Governance configuration</w:t>
            </w:r>
          </w:p>
        </w:tc>
        <w:tc>
          <w:tcPr>
            <w:tcW w:w="864"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Theme 1</w:t>
            </w:r>
          </w:p>
        </w:tc>
      </w:tr>
      <w:tr>
        <w:trPr>
          <w:cantSplit/>
        </w:trPr>
        <w:tc>
          <w:tcPr>
            <w:tcW w:w="179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Validation Result</w:t>
            </w:r>
          </w:p>
        </w:tc>
        <w:tc>
          <w:tcPr>
            <w:tcW w:w="489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Rule, FERT, result, severity, message, run date, owner and status</w:t>
            </w:r>
          </w:p>
        </w:tc>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T5 governance</w:t>
            </w:r>
          </w:p>
        </w:tc>
        <w:tc>
          <w:tcPr>
            <w:tcW w:w="86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Theme 1</w:t>
            </w:r>
          </w:p>
        </w:tc>
      </w:tr>
      <w:tr>
        <w:trPr>
          <w:cantSplit/>
        </w:trPr>
        <w:tc>
          <w:tcPr>
            <w:tcW w:w="1799"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Planning Readiness</w:t>
            </w:r>
          </w:p>
        </w:tc>
        <w:tc>
          <w:tcPr>
            <w:tcW w:w="4897"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Characteristic, lineage, lifecycle, price and publication readiness statuses</w:t>
            </w:r>
          </w:p>
        </w:tc>
        <w:tc>
          <w:tcPr>
            <w:tcW w:w="1800"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T5 governance</w:t>
            </w:r>
          </w:p>
        </w:tc>
        <w:tc>
          <w:tcPr>
            <w:tcW w:w="864"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All themes</w:t>
            </w:r>
          </w:p>
        </w:tc>
      </w:tr>
      <w:tr>
        <w:trPr>
          <w:cantSplit/>
        </w:trPr>
        <w:tc>
          <w:tcPr>
            <w:tcW w:w="179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Product Hierarchy</w:t>
            </w:r>
          </w:p>
        </w:tc>
        <w:tc>
          <w:tcPr>
            <w:tcW w:w="489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Business unit, vertical, sub-vertical, family, MPG/model group and effective dates</w:t>
            </w:r>
          </w:p>
        </w:tc>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Business governance</w:t>
            </w:r>
          </w:p>
        </w:tc>
        <w:tc>
          <w:tcPr>
            <w:tcW w:w="86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Theme 5</w:t>
            </w:r>
          </w:p>
        </w:tc>
      </w:tr>
      <w:tr>
        <w:trPr>
          <w:cantSplit/>
        </w:trPr>
        <w:tc>
          <w:tcPr>
            <w:tcW w:w="1799"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Planning Family Membership</w:t>
            </w:r>
          </w:p>
        </w:tc>
        <w:tc>
          <w:tcPr>
            <w:tcW w:w="4897"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FERT, family, valid-from/to, reason, owner and approval</w:t>
            </w:r>
          </w:p>
        </w:tc>
        <w:tc>
          <w:tcPr>
            <w:tcW w:w="1800"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T5 governance</w:t>
            </w:r>
          </w:p>
        </w:tc>
        <w:tc>
          <w:tcPr>
            <w:tcW w:w="864"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Theme 5</w:t>
            </w:r>
          </w:p>
        </w:tc>
      </w:tr>
      <w:tr>
        <w:trPr>
          <w:cantSplit/>
        </w:trPr>
        <w:tc>
          <w:tcPr>
            <w:tcW w:w="179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FERT Lineage Relationship</w:t>
            </w:r>
          </w:p>
        </w:tc>
        <w:tc>
          <w:tcPr>
            <w:tcW w:w="489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Predecessor, successor, purpose, type, dates, reason, evidence and approval</w:t>
            </w:r>
          </w:p>
        </w:tc>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T5 governance</w:t>
            </w:r>
          </w:p>
        </w:tc>
        <w:tc>
          <w:tcPr>
            <w:tcW w:w="86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Theme 4</w:t>
            </w:r>
          </w:p>
        </w:tc>
      </w:tr>
      <w:tr>
        <w:trPr>
          <w:cantSplit/>
        </w:trPr>
        <w:tc>
          <w:tcPr>
            <w:tcW w:w="1799"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Candidate Recommendation</w:t>
            </w:r>
          </w:p>
        </w:tc>
        <w:tc>
          <w:tcPr>
            <w:tcW w:w="4897"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Candidate FERT, similarity score, matched/different attributes and history evidence</w:t>
            </w:r>
          </w:p>
        </w:tc>
        <w:tc>
          <w:tcPr>
            <w:tcW w:w="1800"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T5 intelligence</w:t>
            </w:r>
          </w:p>
        </w:tc>
        <w:tc>
          <w:tcPr>
            <w:tcW w:w="864"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Theme 4/5</w:t>
            </w:r>
          </w:p>
        </w:tc>
      </w:tr>
      <w:tr>
        <w:trPr>
          <w:cantSplit/>
        </w:trPr>
        <w:tc>
          <w:tcPr>
            <w:tcW w:w="179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Demand-History Contribution</w:t>
            </w:r>
          </w:p>
        </w:tc>
        <w:tc>
          <w:tcPr>
            <w:tcW w:w="489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Source FERT, target/group, historical period, transfer percentage and approval</w:t>
            </w:r>
          </w:p>
        </w:tc>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Planning/T5</w:t>
            </w:r>
          </w:p>
        </w:tc>
        <w:tc>
          <w:tcPr>
            <w:tcW w:w="86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Theme 4/5</w:t>
            </w:r>
          </w:p>
        </w:tc>
      </w:tr>
      <w:tr>
        <w:trPr>
          <w:cantSplit/>
        </w:trPr>
        <w:tc>
          <w:tcPr>
            <w:tcW w:w="1799"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Transition Profile</w:t>
            </w:r>
          </w:p>
        </w:tc>
        <w:tc>
          <w:tcPr>
            <w:tcW w:w="4897"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Old/new FERT, period, ramp percentages, dates, actual variance and milestone</w:t>
            </w:r>
          </w:p>
        </w:tc>
        <w:tc>
          <w:tcPr>
            <w:tcW w:w="1800"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Planning/T5</w:t>
            </w:r>
          </w:p>
        </w:tc>
        <w:tc>
          <w:tcPr>
            <w:tcW w:w="864"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Theme 4</w:t>
            </w:r>
          </w:p>
        </w:tc>
      </w:tr>
      <w:tr>
        <w:trPr>
          <w:cantSplit/>
        </w:trPr>
        <w:tc>
          <w:tcPr>
            <w:tcW w:w="179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Lifecycle Status</w:t>
            </w:r>
          </w:p>
        </w:tc>
        <w:tc>
          <w:tcPr>
            <w:tcW w:w="489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Status, effective dates, reason, allowed/prohibited transactions and approval</w:t>
            </w:r>
          </w:p>
        </w:tc>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T5 governance</w:t>
            </w:r>
          </w:p>
        </w:tc>
        <w:tc>
          <w:tcPr>
            <w:tcW w:w="86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Theme 2</w:t>
            </w:r>
          </w:p>
        </w:tc>
      </w:tr>
      <w:tr>
        <w:trPr>
          <w:cantSplit/>
        </w:trPr>
        <w:tc>
          <w:tcPr>
            <w:tcW w:w="1799"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Rationalization Candidate</w:t>
            </w:r>
          </w:p>
        </w:tc>
        <w:tc>
          <w:tcPr>
            <w:tcW w:w="4897"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Sales trend, order status, stock, inactivity, migration and recommendation</w:t>
            </w:r>
          </w:p>
        </w:tc>
        <w:tc>
          <w:tcPr>
            <w:tcW w:w="1800"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T5 governance</w:t>
            </w:r>
          </w:p>
        </w:tc>
        <w:tc>
          <w:tcPr>
            <w:tcW w:w="864"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Theme 2</w:t>
            </w:r>
          </w:p>
        </w:tc>
      </w:tr>
      <w:tr>
        <w:trPr>
          <w:cantSplit/>
        </w:trPr>
        <w:tc>
          <w:tcPr>
            <w:tcW w:w="179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Blocking Rule</w:t>
            </w:r>
          </w:p>
        </w:tc>
        <w:tc>
          <w:tcPr>
            <w:tcW w:w="489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Block type, date, affected channel/transaction, exception and release condition</w:t>
            </w:r>
          </w:p>
        </w:tc>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T5/ECC consumers</w:t>
            </w:r>
          </w:p>
        </w:tc>
        <w:tc>
          <w:tcPr>
            <w:tcW w:w="86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Theme 2</w:t>
            </w:r>
          </w:p>
        </w:tc>
      </w:tr>
      <w:tr>
        <w:trPr>
          <w:cantSplit/>
        </w:trPr>
        <w:tc>
          <w:tcPr>
            <w:tcW w:w="1799"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Inventory-Depletion Rule</w:t>
            </w:r>
          </w:p>
        </w:tc>
        <w:tc>
          <w:tcPr>
            <w:tcW w:w="4897"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Stock type, liquidation permission, open-order treatment and completion condition</w:t>
            </w:r>
          </w:p>
        </w:tc>
        <w:tc>
          <w:tcPr>
            <w:tcW w:w="1800"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PPC/T5</w:t>
            </w:r>
          </w:p>
        </w:tc>
        <w:tc>
          <w:tcPr>
            <w:tcW w:w="864"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Theme 2/4</w:t>
            </w:r>
          </w:p>
        </w:tc>
      </w:tr>
      <w:tr>
        <w:trPr>
          <w:cantSplit/>
        </w:trPr>
        <w:tc>
          <w:tcPr>
            <w:tcW w:w="179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Non-SOP Restriction</w:t>
            </w:r>
          </w:p>
        </w:tc>
        <w:tc>
          <w:tcPr>
            <w:tcW w:w="489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Approved quantity, consumed quantity, permitted transactions, validity and approver</w:t>
            </w:r>
          </w:p>
        </w:tc>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T5 governance</w:t>
            </w:r>
          </w:p>
        </w:tc>
        <w:tc>
          <w:tcPr>
            <w:tcW w:w="86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Theme 2</w:t>
            </w:r>
          </w:p>
        </w:tc>
      </w:tr>
      <w:tr>
        <w:trPr>
          <w:cantSplit/>
        </w:trPr>
        <w:tc>
          <w:tcPr>
            <w:tcW w:w="1799"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Price Readiness</w:t>
            </w:r>
          </w:p>
        </w:tc>
        <w:tc>
          <w:tcPr>
            <w:tcW w:w="4897"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Required price type, status, owner, effective date, validation and exception</w:t>
            </w:r>
          </w:p>
        </w:tc>
        <w:tc>
          <w:tcPr>
            <w:tcW w:w="1800"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Finance/ECC/T5</w:t>
            </w:r>
          </w:p>
        </w:tc>
        <w:tc>
          <w:tcPr>
            <w:tcW w:w="864"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Theme 3</w:t>
            </w:r>
          </w:p>
        </w:tc>
      </w:tr>
      <w:tr>
        <w:trPr>
          <w:cantSplit/>
        </w:trPr>
        <w:tc>
          <w:tcPr>
            <w:tcW w:w="179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Approval Record</w:t>
            </w:r>
          </w:p>
        </w:tc>
        <w:tc>
          <w:tcPr>
            <w:tcW w:w="489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Request, decision, approver, timestamp, comments and conditions</w:t>
            </w:r>
          </w:p>
        </w:tc>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T5 governance</w:t>
            </w:r>
          </w:p>
        </w:tc>
        <w:tc>
          <w:tcPr>
            <w:tcW w:w="86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All themes</w:t>
            </w:r>
          </w:p>
        </w:tc>
      </w:tr>
      <w:tr>
        <w:trPr>
          <w:cantSplit/>
        </w:trPr>
        <w:tc>
          <w:tcPr>
            <w:tcW w:w="1799"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Exception</w:t>
            </w:r>
          </w:p>
        </w:tc>
        <w:tc>
          <w:tcPr>
            <w:tcW w:w="4897"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Issue, severity, owner, due date, status, reason, expiry and escalation</w:t>
            </w:r>
          </w:p>
        </w:tc>
        <w:tc>
          <w:tcPr>
            <w:tcW w:w="1800"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T5 governance</w:t>
            </w:r>
          </w:p>
        </w:tc>
        <w:tc>
          <w:tcPr>
            <w:tcW w:w="864"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All themes</w:t>
            </w:r>
          </w:p>
        </w:tc>
      </w:tr>
      <w:tr>
        <w:trPr>
          <w:cantSplit/>
        </w:trPr>
        <w:tc>
          <w:tcPr>
            <w:tcW w:w="179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Notification</w:t>
            </w:r>
          </w:p>
        </w:tc>
        <w:tc>
          <w:tcPr>
            <w:tcW w:w="489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Event, recipient role, channel, timestamp, delivery and acknowledgement</w:t>
            </w:r>
          </w:p>
        </w:tc>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T5 governance</w:t>
            </w:r>
          </w:p>
        </w:tc>
        <w:tc>
          <w:tcPr>
            <w:tcW w:w="86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All themes</w:t>
            </w:r>
          </w:p>
        </w:tc>
      </w:tr>
      <w:tr>
        <w:trPr>
          <w:cantSplit/>
        </w:trPr>
        <w:tc>
          <w:tcPr>
            <w:tcW w:w="1799"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Audit Event</w:t>
            </w:r>
          </w:p>
        </w:tc>
        <w:tc>
          <w:tcPr>
            <w:tcW w:w="4897"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Entity, action, before/after value, user, time and source</w:t>
            </w:r>
          </w:p>
        </w:tc>
        <w:tc>
          <w:tcPr>
            <w:tcW w:w="1800"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T5 governance</w:t>
            </w:r>
          </w:p>
        </w:tc>
        <w:tc>
          <w:tcPr>
            <w:tcW w:w="864"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All themes</w:t>
            </w:r>
          </w:p>
        </w:tc>
      </w:tr>
    </w:tbl>
    <w:p>
      <w:pPr>
        <w:pStyle w:val="Normal"/>
        <w:widowControl/>
        <w:rPr/>
      </w:pPr>
      <w:r>
        <w:rPr/>
      </w:r>
      <w:r>
        <w:br w:type="page"/>
      </w:r>
    </w:p>
    <w:p>
      <w:pPr>
        <w:pStyle w:val="Heading1"/>
        <w:keepNext w:val="true"/>
        <w:widowControl/>
        <w:spacing w:before="0" w:after="80"/>
        <w:rPr/>
      </w:pPr>
      <w:r>
        <w:rPr/>
        <w:t>11. Validation, Audit and Governance Framework</w:t>
      </w:r>
    </w:p>
    <w:tbl>
      <w:tblPr>
        <w:tblW w:w="9360" w:type="dxa"/>
        <w:jc w:val="start"/>
        <w:tblInd w:w="-115" w:type="dxa"/>
        <w:tblLayout w:type="fixed"/>
        <w:tblCellMar>
          <w:top w:w="95" w:type="dxa"/>
          <w:start w:w="110" w:type="dxa"/>
          <w:bottom w:w="95" w:type="dxa"/>
          <w:end w:w="110" w:type="dxa"/>
        </w:tblCellMar>
      </w:tblPr>
      <w:tblGrid>
        <w:gridCol w:w="1224"/>
        <w:gridCol w:w="2880"/>
        <w:gridCol w:w="1872"/>
        <w:gridCol w:w="1584"/>
        <w:gridCol w:w="1800"/>
      </w:tblGrid>
      <w:tr>
        <w:trPr>
          <w:tblHeader w:val="true"/>
          <w:cantSplit/>
        </w:trPr>
        <w:tc>
          <w:tcPr>
            <w:tcW w:w="1224" w:type="dxa"/>
            <w:tcBorders>
              <w:top w:val="single" w:sz="4" w:space="0" w:color="000000"/>
              <w:start w:val="single" w:sz="4" w:space="0" w:color="000000"/>
              <w:bottom w:val="single" w:sz="4" w:space="0" w:color="000000"/>
              <w:end w:val="single" w:sz="4" w:space="0" w:color="000000"/>
            </w:tcBorders>
            <w:shd w:fill="0B1F33" w:val="clear"/>
            <w:vAlign w:val="center"/>
          </w:tcPr>
          <w:p>
            <w:pPr>
              <w:pStyle w:val="Normal"/>
              <w:widowControl/>
              <w:spacing w:lineRule="auto" w:line="240" w:before="0" w:after="4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Control Type</w:t>
            </w:r>
          </w:p>
        </w:tc>
        <w:tc>
          <w:tcPr>
            <w:tcW w:w="2880" w:type="dxa"/>
            <w:tcBorders>
              <w:top w:val="single" w:sz="4" w:space="0" w:color="000000"/>
              <w:start w:val="single" w:sz="4" w:space="0" w:color="000000"/>
              <w:bottom w:val="single" w:sz="4" w:space="0" w:color="000000"/>
              <w:end w:val="single" w:sz="4" w:space="0" w:color="000000"/>
            </w:tcBorders>
            <w:shd w:fill="0B1F33" w:val="clear"/>
            <w:vAlign w:val="center"/>
          </w:tcPr>
          <w:p>
            <w:pPr>
              <w:pStyle w:val="Normal"/>
              <w:widowControl/>
              <w:spacing w:lineRule="auto" w:line="240" w:before="0" w:after="4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Control</w:t>
            </w:r>
          </w:p>
        </w:tc>
        <w:tc>
          <w:tcPr>
            <w:tcW w:w="1872" w:type="dxa"/>
            <w:tcBorders>
              <w:top w:val="single" w:sz="4" w:space="0" w:color="000000"/>
              <w:start w:val="single" w:sz="4" w:space="0" w:color="000000"/>
              <w:bottom w:val="single" w:sz="4" w:space="0" w:color="000000"/>
              <w:end w:val="single" w:sz="4" w:space="0" w:color="000000"/>
            </w:tcBorders>
            <w:shd w:fill="0B1F33" w:val="clear"/>
            <w:vAlign w:val="center"/>
          </w:tcPr>
          <w:p>
            <w:pPr>
              <w:pStyle w:val="Normal"/>
              <w:widowControl/>
              <w:spacing w:lineRule="auto" w:line="240" w:before="0" w:after="4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When Applied</w:t>
            </w:r>
          </w:p>
        </w:tc>
        <w:tc>
          <w:tcPr>
            <w:tcW w:w="1584" w:type="dxa"/>
            <w:tcBorders>
              <w:top w:val="single" w:sz="4" w:space="0" w:color="000000"/>
              <w:start w:val="single" w:sz="4" w:space="0" w:color="000000"/>
              <w:bottom w:val="single" w:sz="4" w:space="0" w:color="000000"/>
              <w:end w:val="single" w:sz="4" w:space="0" w:color="000000"/>
            </w:tcBorders>
            <w:shd w:fill="0B1F33" w:val="clear"/>
            <w:vAlign w:val="center"/>
          </w:tcPr>
          <w:p>
            <w:pPr>
              <w:pStyle w:val="Normal"/>
              <w:widowControl/>
              <w:spacing w:lineRule="auto" w:line="240" w:before="0" w:after="4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Owner</w:t>
            </w:r>
          </w:p>
        </w:tc>
        <w:tc>
          <w:tcPr>
            <w:tcW w:w="1800" w:type="dxa"/>
            <w:tcBorders>
              <w:top w:val="single" w:sz="4" w:space="0" w:color="000000"/>
              <w:start w:val="single" w:sz="4" w:space="0" w:color="000000"/>
              <w:bottom w:val="single" w:sz="4" w:space="0" w:color="000000"/>
              <w:end w:val="single" w:sz="4" w:space="0" w:color="000000"/>
            </w:tcBorders>
            <w:shd w:fill="0B1F33" w:val="clear"/>
            <w:vAlign w:val="center"/>
          </w:tcPr>
          <w:p>
            <w:pPr>
              <w:pStyle w:val="Normal"/>
              <w:widowControl/>
              <w:spacing w:lineRule="auto" w:line="240" w:before="0" w:after="4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Required Outcome</w:t>
            </w:r>
          </w:p>
        </w:tc>
      </w:tr>
      <w:tr>
        <w:trPr>
          <w:cantSplit/>
        </w:trPr>
        <w:tc>
          <w:tcPr>
            <w:tcW w:w="1224"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Preventive</w:t>
            </w:r>
          </w:p>
        </w:tc>
        <w:tc>
          <w:tcPr>
            <w:tcW w:w="2880"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Mandatory characteristic and hierarchy checks</w:t>
            </w:r>
          </w:p>
        </w:tc>
        <w:tc>
          <w:tcPr>
            <w:tcW w:w="1872"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Before planning readiness</w:t>
            </w:r>
          </w:p>
        </w:tc>
        <w:tc>
          <w:tcPr>
            <w:tcW w:w="1584"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MDM/Product Design</w:t>
            </w:r>
          </w:p>
        </w:tc>
        <w:tc>
          <w:tcPr>
            <w:tcW w:w="1800"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Invalid records do not enter planning.</w:t>
            </w:r>
          </w:p>
        </w:tc>
      </w:tr>
      <w:tr>
        <w:trPr>
          <w:cantSplit/>
        </w:trPr>
        <w:tc>
          <w:tcPr>
            <w:tcW w:w="122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Preventive</w:t>
            </w:r>
          </w:p>
        </w:tc>
        <w:tc>
          <w:tcPr>
            <w:tcW w:w="288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Lineage or explicit no-predecessor decision</w:t>
            </w:r>
          </w:p>
        </w:tc>
        <w:tc>
          <w:tcPr>
            <w:tcW w:w="187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Before mapping approval</w:t>
            </w:r>
          </w:p>
        </w:tc>
        <w:tc>
          <w:tcPr>
            <w:tcW w:w="158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PSP/Marketing</w:t>
            </w:r>
          </w:p>
        </w:tc>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Every new/replacement FERT has a business decision.</w:t>
            </w:r>
          </w:p>
        </w:tc>
      </w:tr>
      <w:tr>
        <w:trPr>
          <w:cantSplit/>
        </w:trPr>
        <w:tc>
          <w:tcPr>
            <w:tcW w:w="1224"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Preventive</w:t>
            </w:r>
          </w:p>
        </w:tc>
        <w:tc>
          <w:tcPr>
            <w:tcW w:w="2880"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Transition percentage equals 100%</w:t>
            </w:r>
          </w:p>
        </w:tc>
        <w:tc>
          <w:tcPr>
            <w:tcW w:w="1872"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Before publication</w:t>
            </w:r>
          </w:p>
        </w:tc>
        <w:tc>
          <w:tcPr>
            <w:tcW w:w="1584"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Demand Planning</w:t>
            </w:r>
          </w:p>
        </w:tc>
        <w:tc>
          <w:tcPr>
            <w:tcW w:w="1800"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No double planning or missing allocation.</w:t>
            </w:r>
          </w:p>
        </w:tc>
      </w:tr>
      <w:tr>
        <w:trPr>
          <w:cantSplit/>
        </w:trPr>
        <w:tc>
          <w:tcPr>
            <w:tcW w:w="122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Preventive</w:t>
            </w:r>
          </w:p>
        </w:tc>
        <w:tc>
          <w:tcPr>
            <w:tcW w:w="288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Non-SOP quantity and transaction limit</w:t>
            </w:r>
          </w:p>
        </w:tc>
        <w:tc>
          <w:tcPr>
            <w:tcW w:w="187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At planning/transaction request</w:t>
            </w:r>
          </w:p>
        </w:tc>
        <w:tc>
          <w:tcPr>
            <w:tcW w:w="158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PSP/PPC</w:t>
            </w:r>
          </w:p>
        </w:tc>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Restricted FERT cannot be overused.</w:t>
            </w:r>
          </w:p>
        </w:tc>
      </w:tr>
      <w:tr>
        <w:trPr>
          <w:cantSplit/>
        </w:trPr>
        <w:tc>
          <w:tcPr>
            <w:tcW w:w="1224"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Preventive</w:t>
            </w:r>
          </w:p>
        </w:tc>
        <w:tc>
          <w:tcPr>
            <w:tcW w:w="2880"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Price-readiness check</w:t>
            </w:r>
          </w:p>
        </w:tc>
        <w:tc>
          <w:tcPr>
            <w:tcW w:w="1872"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Before STO/RGP or dependent transaction</w:t>
            </w:r>
          </w:p>
        </w:tc>
        <w:tc>
          <w:tcPr>
            <w:tcW w:w="1584"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Finance/Pricing</w:t>
            </w:r>
          </w:p>
        </w:tc>
        <w:tc>
          <w:tcPr>
            <w:tcW w:w="1800"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Missing mandatory price is detected before failure.</w:t>
            </w:r>
          </w:p>
        </w:tc>
      </w:tr>
      <w:tr>
        <w:trPr>
          <w:cantSplit/>
        </w:trPr>
        <w:tc>
          <w:tcPr>
            <w:tcW w:w="122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Detective</w:t>
            </w:r>
          </w:p>
        </w:tc>
        <w:tc>
          <w:tcPr>
            <w:tcW w:w="288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Source-to-consumer reconciliation</w:t>
            </w:r>
          </w:p>
        </w:tc>
        <w:tc>
          <w:tcPr>
            <w:tcW w:w="187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After publication and scheduled audit</w:t>
            </w:r>
          </w:p>
        </w:tc>
        <w:tc>
          <w:tcPr>
            <w:tcW w:w="158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MDM/IT</w:t>
            </w:r>
          </w:p>
        </w:tc>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Mismatch is assigned and corrected.</w:t>
            </w:r>
          </w:p>
        </w:tc>
      </w:tr>
      <w:tr>
        <w:trPr>
          <w:cantSplit/>
        </w:trPr>
        <w:tc>
          <w:tcPr>
            <w:tcW w:w="1224"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Detective</w:t>
            </w:r>
          </w:p>
        </w:tc>
        <w:tc>
          <w:tcPr>
            <w:tcW w:w="2880"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Rationalization and inactive-FERT scan</w:t>
            </w:r>
          </w:p>
        </w:tc>
        <w:tc>
          <w:tcPr>
            <w:tcW w:w="1872"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Quarterly with semi-annual review</w:t>
            </w:r>
          </w:p>
        </w:tc>
        <w:tc>
          <w:tcPr>
            <w:tcW w:w="1584"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PSP/MDM</w:t>
            </w:r>
          </w:p>
        </w:tc>
        <w:tc>
          <w:tcPr>
            <w:tcW w:w="1800"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Candidates are reviewed consistently.</w:t>
            </w:r>
          </w:p>
        </w:tc>
      </w:tr>
      <w:tr>
        <w:trPr>
          <w:cantSplit/>
        </w:trPr>
        <w:tc>
          <w:tcPr>
            <w:tcW w:w="122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Detective</w:t>
            </w:r>
          </w:p>
        </w:tc>
        <w:tc>
          <w:tcPr>
            <w:tcW w:w="288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Actual transition versus approved ramp</w:t>
            </w:r>
          </w:p>
        </w:tc>
        <w:tc>
          <w:tcPr>
            <w:tcW w:w="187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Each planning cycle</w:t>
            </w:r>
          </w:p>
        </w:tc>
        <w:tc>
          <w:tcPr>
            <w:tcW w:w="158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Planning/PPC</w:t>
            </w:r>
          </w:p>
        </w:tc>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Material variance is investigated.</w:t>
            </w:r>
          </w:p>
        </w:tc>
      </w:tr>
      <w:tr>
        <w:trPr>
          <w:cantSplit/>
        </w:trPr>
        <w:tc>
          <w:tcPr>
            <w:tcW w:w="1224"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Audit</w:t>
            </w:r>
          </w:p>
        </w:tc>
        <w:tc>
          <w:tcPr>
            <w:tcW w:w="2880"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Approval and override history</w:t>
            </w:r>
          </w:p>
        </w:tc>
        <w:tc>
          <w:tcPr>
            <w:tcW w:w="1872"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Every decision</w:t>
            </w:r>
          </w:p>
        </w:tc>
        <w:tc>
          <w:tcPr>
            <w:tcW w:w="1584"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Governance Owner</w:t>
            </w:r>
          </w:p>
        </w:tc>
        <w:tc>
          <w:tcPr>
            <w:tcW w:w="1800"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Who, what, when and why are traceable.</w:t>
            </w:r>
          </w:p>
        </w:tc>
      </w:tr>
      <w:tr>
        <w:trPr>
          <w:cantSplit/>
        </w:trPr>
        <w:tc>
          <w:tcPr>
            <w:tcW w:w="122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Governance</w:t>
            </w:r>
          </w:p>
        </w:tc>
        <w:tc>
          <w:tcPr>
            <w:tcW w:w="288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Exception ageing and escalation</w:t>
            </w:r>
          </w:p>
        </w:tc>
        <w:tc>
          <w:tcPr>
            <w:tcW w:w="187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Daily/weekly</w:t>
            </w:r>
          </w:p>
        </w:tc>
        <w:tc>
          <w:tcPr>
            <w:tcW w:w="158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MDM/S&amp;OP Lead</w:t>
            </w:r>
          </w:p>
        </w:tc>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Overdue high-impact issues receive intervention.</w:t>
            </w:r>
          </w:p>
        </w:tc>
      </w:tr>
    </w:tbl>
    <w:p>
      <w:pPr>
        <w:pStyle w:val="Normal"/>
        <w:widowControl/>
        <w:spacing w:before="0" w:after="40"/>
        <w:rPr/>
      </w:pPr>
      <w:r>
        <w:rPr/>
      </w:r>
    </w:p>
    <w:p>
      <w:pPr>
        <w:pStyle w:val="Heading2"/>
        <w:keepNext w:val="true"/>
        <w:widowControl/>
        <w:rPr/>
      </w:pPr>
      <w:r>
        <w:rPr/>
        <w:t>11.1 Governance Cadence</w:t>
      </w:r>
    </w:p>
    <w:tbl>
      <w:tblPr>
        <w:tblW w:w="9360" w:type="dxa"/>
        <w:jc w:val="start"/>
        <w:tblInd w:w="-115" w:type="dxa"/>
        <w:tblLayout w:type="fixed"/>
        <w:tblCellMar>
          <w:top w:w="95" w:type="dxa"/>
          <w:start w:w="110" w:type="dxa"/>
          <w:bottom w:w="95" w:type="dxa"/>
          <w:end w:w="110" w:type="dxa"/>
        </w:tblCellMar>
      </w:tblPr>
      <w:tblGrid>
        <w:gridCol w:w="1152"/>
        <w:gridCol w:w="2231"/>
        <w:gridCol w:w="3888"/>
        <w:gridCol w:w="2089"/>
      </w:tblGrid>
      <w:tr>
        <w:trPr>
          <w:tblHeader w:val="true"/>
          <w:cantSplit/>
        </w:trPr>
        <w:tc>
          <w:tcPr>
            <w:tcW w:w="1152" w:type="dxa"/>
            <w:tcBorders>
              <w:top w:val="single" w:sz="4" w:space="0" w:color="000000"/>
              <w:start w:val="single" w:sz="4" w:space="0" w:color="000000"/>
              <w:bottom w:val="single" w:sz="4" w:space="0" w:color="000000"/>
              <w:end w:val="single" w:sz="4" w:space="0" w:color="000000"/>
            </w:tcBorders>
            <w:shd w:fill="0B1F33" w:val="clear"/>
            <w:vAlign w:val="center"/>
          </w:tcPr>
          <w:p>
            <w:pPr>
              <w:pStyle w:val="Normal"/>
              <w:widowControl/>
              <w:spacing w:lineRule="auto" w:line="240" w:before="0" w:after="4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Cadence</w:t>
            </w:r>
          </w:p>
        </w:tc>
        <w:tc>
          <w:tcPr>
            <w:tcW w:w="2231" w:type="dxa"/>
            <w:tcBorders>
              <w:top w:val="single" w:sz="4" w:space="0" w:color="000000"/>
              <w:start w:val="single" w:sz="4" w:space="0" w:color="000000"/>
              <w:bottom w:val="single" w:sz="4" w:space="0" w:color="000000"/>
              <w:end w:val="single" w:sz="4" w:space="0" w:color="000000"/>
            </w:tcBorders>
            <w:shd w:fill="0B1F33" w:val="clear"/>
            <w:vAlign w:val="center"/>
          </w:tcPr>
          <w:p>
            <w:pPr>
              <w:pStyle w:val="Normal"/>
              <w:widowControl/>
              <w:spacing w:lineRule="auto" w:line="240" w:before="0" w:after="4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Forum</w:t>
            </w:r>
          </w:p>
        </w:tc>
        <w:tc>
          <w:tcPr>
            <w:tcW w:w="3888" w:type="dxa"/>
            <w:tcBorders>
              <w:top w:val="single" w:sz="4" w:space="0" w:color="000000"/>
              <w:start w:val="single" w:sz="4" w:space="0" w:color="000000"/>
              <w:bottom w:val="single" w:sz="4" w:space="0" w:color="000000"/>
              <w:end w:val="single" w:sz="4" w:space="0" w:color="000000"/>
            </w:tcBorders>
            <w:shd w:fill="0B1F33" w:val="clear"/>
            <w:vAlign w:val="center"/>
          </w:tcPr>
          <w:p>
            <w:pPr>
              <w:pStyle w:val="Normal"/>
              <w:widowControl/>
              <w:spacing w:lineRule="auto" w:line="240" w:before="0" w:after="4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Inputs</w:t>
            </w:r>
          </w:p>
        </w:tc>
        <w:tc>
          <w:tcPr>
            <w:tcW w:w="2089" w:type="dxa"/>
            <w:tcBorders>
              <w:top w:val="single" w:sz="4" w:space="0" w:color="000000"/>
              <w:start w:val="single" w:sz="4" w:space="0" w:color="000000"/>
              <w:bottom w:val="single" w:sz="4" w:space="0" w:color="000000"/>
              <w:end w:val="single" w:sz="4" w:space="0" w:color="000000"/>
            </w:tcBorders>
            <w:shd w:fill="0B1F33" w:val="clear"/>
            <w:vAlign w:val="center"/>
          </w:tcPr>
          <w:p>
            <w:pPr>
              <w:pStyle w:val="Normal"/>
              <w:widowControl/>
              <w:spacing w:lineRule="auto" w:line="240" w:before="0" w:after="4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Outputs</w:t>
            </w:r>
          </w:p>
        </w:tc>
      </w:tr>
      <w:tr>
        <w:trPr>
          <w:cantSplit/>
        </w:trPr>
        <w:tc>
          <w:tcPr>
            <w:tcW w:w="1152"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Daily</w:t>
            </w:r>
          </w:p>
        </w:tc>
        <w:tc>
          <w:tcPr>
            <w:tcW w:w="2231"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Critical exception triage</w:t>
            </w:r>
          </w:p>
        </w:tc>
        <w:tc>
          <w:tcPr>
            <w:tcW w:w="3888"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New critical defects, interface failures and prohibited-use attempts</w:t>
            </w:r>
          </w:p>
        </w:tc>
        <w:tc>
          <w:tcPr>
            <w:tcW w:w="2089"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Owner assignment and containment</w:t>
            </w:r>
          </w:p>
        </w:tc>
      </w:tr>
      <w:tr>
        <w:trPr>
          <w:cantSplit/>
        </w:trPr>
        <w:tc>
          <w:tcPr>
            <w:tcW w:w="115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Weekly</w:t>
            </w:r>
          </w:p>
        </w:tc>
        <w:tc>
          <w:tcPr>
            <w:tcW w:w="22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Operational MDM review</w:t>
            </w:r>
          </w:p>
        </w:tc>
        <w:tc>
          <w:tcPr>
            <w:tcW w:w="388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Backlog ageing, approvals, price readiness and mapping status</w:t>
            </w:r>
          </w:p>
        </w:tc>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Escalations and closure dates</w:t>
            </w:r>
          </w:p>
        </w:tc>
      </w:tr>
      <w:tr>
        <w:trPr>
          <w:cantSplit/>
        </w:trPr>
        <w:tc>
          <w:tcPr>
            <w:tcW w:w="1152"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Monthly</w:t>
            </w:r>
          </w:p>
        </w:tc>
        <w:tc>
          <w:tcPr>
            <w:tcW w:w="2231"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S&amp;OP readiness review</w:t>
            </w:r>
          </w:p>
        </w:tc>
        <w:tc>
          <w:tcPr>
            <w:tcW w:w="3888"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Lifecycle, lineage, transition and next-cycle planning risks</w:t>
            </w:r>
          </w:p>
        </w:tc>
        <w:tc>
          <w:tcPr>
            <w:tcW w:w="2089"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Go/no-go and approved exceptions</w:t>
            </w:r>
          </w:p>
        </w:tc>
      </w:tr>
      <w:tr>
        <w:trPr>
          <w:cantSplit/>
        </w:trPr>
        <w:tc>
          <w:tcPr>
            <w:tcW w:w="115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Quarterly</w:t>
            </w:r>
          </w:p>
        </w:tc>
        <w:tc>
          <w:tcPr>
            <w:tcW w:w="223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Policy and rationalization review</w:t>
            </w:r>
          </w:p>
        </w:tc>
        <w:tc>
          <w:tcPr>
            <w:tcW w:w="388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Rule performance, inactive FERTs and ownership gaps</w:t>
            </w:r>
          </w:p>
        </w:tc>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Policy/rule changes and rationalization decisions</w:t>
            </w:r>
          </w:p>
        </w:tc>
      </w:tr>
      <w:tr>
        <w:trPr>
          <w:cantSplit/>
        </w:trPr>
        <w:tc>
          <w:tcPr>
            <w:tcW w:w="1152"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Semi-annual</w:t>
            </w:r>
          </w:p>
        </w:tc>
        <w:tc>
          <w:tcPr>
            <w:tcW w:w="2231"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FERT retirement review</w:t>
            </w:r>
          </w:p>
        </w:tc>
        <w:tc>
          <w:tcPr>
            <w:tcW w:w="3888"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No-demand FERTs, stock ageing, duplicates and obsolete candidates</w:t>
            </w:r>
          </w:p>
        </w:tc>
        <w:tc>
          <w:tcPr>
            <w:tcW w:w="2089"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Block, liquidate or retire decisions</w:t>
            </w:r>
          </w:p>
        </w:tc>
      </w:tr>
    </w:tbl>
    <w:p>
      <w:pPr>
        <w:pStyle w:val="Normal"/>
        <w:widowControl/>
        <w:rPr/>
      </w:pPr>
      <w:r>
        <w:rPr/>
      </w:r>
      <w:r>
        <w:br w:type="page"/>
      </w:r>
    </w:p>
    <w:p>
      <w:pPr>
        <w:pStyle w:val="Heading1"/>
        <w:keepNext w:val="true"/>
        <w:widowControl/>
        <w:spacing w:before="0" w:after="80"/>
        <w:rPr/>
      </w:pPr>
      <w:r>
        <w:rPr/>
        <w:t>12. Open Questions and Required Business Inputs</w:t>
      </w:r>
    </w:p>
    <w:tbl>
      <w:tblPr>
        <w:tblW w:w="9359" w:type="dxa"/>
        <w:jc w:val="start"/>
        <w:tblInd w:w="-115" w:type="dxa"/>
        <w:tblLayout w:type="fixed"/>
        <w:tblCellMar>
          <w:top w:w="95" w:type="dxa"/>
          <w:start w:w="110" w:type="dxa"/>
          <w:bottom w:w="95" w:type="dxa"/>
          <w:end w:w="110" w:type="dxa"/>
        </w:tblCellMar>
      </w:tblPr>
      <w:tblGrid>
        <w:gridCol w:w="791"/>
        <w:gridCol w:w="3240"/>
        <w:gridCol w:w="1944"/>
        <w:gridCol w:w="2881"/>
        <w:gridCol w:w="503"/>
      </w:tblGrid>
      <w:tr>
        <w:trPr>
          <w:tblHeader w:val="true"/>
          <w:cantSplit/>
        </w:trPr>
        <w:tc>
          <w:tcPr>
            <w:tcW w:w="791" w:type="dxa"/>
            <w:tcBorders>
              <w:top w:val="single" w:sz="4" w:space="0" w:color="000000"/>
              <w:start w:val="single" w:sz="4" w:space="0" w:color="000000"/>
              <w:bottom w:val="single" w:sz="4" w:space="0" w:color="000000"/>
              <w:end w:val="single" w:sz="4" w:space="0" w:color="000000"/>
            </w:tcBorders>
            <w:shd w:fill="0B1F33" w:val="clear"/>
            <w:vAlign w:val="center"/>
          </w:tcPr>
          <w:p>
            <w:pPr>
              <w:pStyle w:val="Normal"/>
              <w:widowControl/>
              <w:spacing w:lineRule="auto" w:line="240" w:before="0" w:after="40"/>
              <w:jc w:val="start"/>
              <w:rPr>
                <w:rFonts w:ascii="Aptos" w:hAnsi="Aptos" w:eastAsia="ＭＳ 明朝"/>
                <w:b/>
                <w:color w:val="FFFFFF"/>
                <w:kern w:val="0"/>
                <w:sz w:val="15"/>
                <w:szCs w:val="22"/>
                <w:lang w:val="en-US" w:eastAsia="en-US" w:bidi="ar-SA"/>
              </w:rPr>
            </w:pPr>
            <w:r>
              <w:rPr>
                <w:rFonts w:eastAsia="ＭＳ 明朝"/>
                <w:b/>
                <w:color w:val="FFFFFF"/>
                <w:kern w:val="0"/>
                <w:sz w:val="15"/>
                <w:szCs w:val="22"/>
                <w:lang w:val="en-US" w:eastAsia="en-US" w:bidi="ar-SA"/>
              </w:rPr>
              <w:t>ID</w:t>
            </w:r>
          </w:p>
        </w:tc>
        <w:tc>
          <w:tcPr>
            <w:tcW w:w="3240" w:type="dxa"/>
            <w:tcBorders>
              <w:top w:val="single" w:sz="4" w:space="0" w:color="000000"/>
              <w:start w:val="single" w:sz="4" w:space="0" w:color="000000"/>
              <w:bottom w:val="single" w:sz="4" w:space="0" w:color="000000"/>
              <w:end w:val="single" w:sz="4" w:space="0" w:color="000000"/>
            </w:tcBorders>
            <w:shd w:fill="0B1F33" w:val="clear"/>
            <w:vAlign w:val="center"/>
          </w:tcPr>
          <w:p>
            <w:pPr>
              <w:pStyle w:val="Normal"/>
              <w:widowControl/>
              <w:spacing w:lineRule="auto" w:line="240" w:before="0" w:after="40"/>
              <w:jc w:val="start"/>
              <w:rPr>
                <w:rFonts w:ascii="Aptos" w:hAnsi="Aptos" w:eastAsia="ＭＳ 明朝"/>
                <w:b/>
                <w:color w:val="FFFFFF"/>
                <w:kern w:val="0"/>
                <w:sz w:val="15"/>
                <w:szCs w:val="22"/>
                <w:lang w:val="en-US" w:eastAsia="en-US" w:bidi="ar-SA"/>
              </w:rPr>
            </w:pPr>
            <w:r>
              <w:rPr>
                <w:rFonts w:eastAsia="ＭＳ 明朝"/>
                <w:b/>
                <w:color w:val="FFFFFF"/>
                <w:kern w:val="0"/>
                <w:sz w:val="15"/>
                <w:szCs w:val="22"/>
                <w:lang w:val="en-US" w:eastAsia="en-US" w:bidi="ar-SA"/>
              </w:rPr>
              <w:t>Open Question</w:t>
            </w:r>
          </w:p>
        </w:tc>
        <w:tc>
          <w:tcPr>
            <w:tcW w:w="1944" w:type="dxa"/>
            <w:tcBorders>
              <w:top w:val="single" w:sz="4" w:space="0" w:color="000000"/>
              <w:start w:val="single" w:sz="4" w:space="0" w:color="000000"/>
              <w:bottom w:val="single" w:sz="4" w:space="0" w:color="000000"/>
              <w:end w:val="single" w:sz="4" w:space="0" w:color="000000"/>
            </w:tcBorders>
            <w:shd w:fill="0B1F33" w:val="clear"/>
            <w:vAlign w:val="center"/>
          </w:tcPr>
          <w:p>
            <w:pPr>
              <w:pStyle w:val="Normal"/>
              <w:widowControl/>
              <w:spacing w:lineRule="auto" w:line="240" w:before="0" w:after="40"/>
              <w:jc w:val="start"/>
              <w:rPr>
                <w:rFonts w:ascii="Aptos" w:hAnsi="Aptos" w:eastAsia="ＭＳ 明朝"/>
                <w:b/>
                <w:color w:val="FFFFFF"/>
                <w:kern w:val="0"/>
                <w:sz w:val="15"/>
                <w:szCs w:val="22"/>
                <w:lang w:val="en-US" w:eastAsia="en-US" w:bidi="ar-SA"/>
              </w:rPr>
            </w:pPr>
            <w:r>
              <w:rPr>
                <w:rFonts w:eastAsia="ＭＳ 明朝"/>
                <w:b/>
                <w:color w:val="FFFFFF"/>
                <w:kern w:val="0"/>
                <w:sz w:val="15"/>
                <w:szCs w:val="22"/>
                <w:lang w:val="en-US" w:eastAsia="en-US" w:bidi="ar-SA"/>
              </w:rPr>
              <w:t>Required Respondent</w:t>
            </w:r>
          </w:p>
        </w:tc>
        <w:tc>
          <w:tcPr>
            <w:tcW w:w="2881" w:type="dxa"/>
            <w:tcBorders>
              <w:top w:val="single" w:sz="4" w:space="0" w:color="000000"/>
              <w:start w:val="single" w:sz="4" w:space="0" w:color="000000"/>
              <w:bottom w:val="single" w:sz="4" w:space="0" w:color="000000"/>
              <w:end w:val="single" w:sz="4" w:space="0" w:color="000000"/>
            </w:tcBorders>
            <w:shd w:fill="0B1F33" w:val="clear"/>
            <w:vAlign w:val="center"/>
          </w:tcPr>
          <w:p>
            <w:pPr>
              <w:pStyle w:val="Normal"/>
              <w:widowControl/>
              <w:spacing w:lineRule="auto" w:line="240" w:before="0" w:after="40"/>
              <w:jc w:val="start"/>
              <w:rPr>
                <w:rFonts w:ascii="Aptos" w:hAnsi="Aptos" w:eastAsia="ＭＳ 明朝"/>
                <w:b/>
                <w:color w:val="FFFFFF"/>
                <w:kern w:val="0"/>
                <w:sz w:val="15"/>
                <w:szCs w:val="22"/>
                <w:lang w:val="en-US" w:eastAsia="en-US" w:bidi="ar-SA"/>
              </w:rPr>
            </w:pPr>
            <w:r>
              <w:rPr>
                <w:rFonts w:eastAsia="ＭＳ 明朝"/>
                <w:b/>
                <w:color w:val="FFFFFF"/>
                <w:kern w:val="0"/>
                <w:sz w:val="15"/>
                <w:szCs w:val="22"/>
                <w:lang w:val="en-US" w:eastAsia="en-US" w:bidi="ar-SA"/>
              </w:rPr>
              <w:t>Why the Answer Is Needed</w:t>
            </w:r>
          </w:p>
        </w:tc>
        <w:tc>
          <w:tcPr>
            <w:tcW w:w="503" w:type="dxa"/>
            <w:tcBorders>
              <w:top w:val="single" w:sz="4" w:space="0" w:color="000000"/>
              <w:start w:val="single" w:sz="4" w:space="0" w:color="000000"/>
              <w:bottom w:val="single" w:sz="4" w:space="0" w:color="000000"/>
              <w:end w:val="single" w:sz="4" w:space="0" w:color="000000"/>
            </w:tcBorders>
            <w:shd w:fill="0B1F33" w:val="clear"/>
            <w:vAlign w:val="center"/>
          </w:tcPr>
          <w:p>
            <w:pPr>
              <w:pStyle w:val="Normal"/>
              <w:widowControl/>
              <w:spacing w:lineRule="auto" w:line="240" w:before="0" w:after="40"/>
              <w:jc w:val="start"/>
              <w:rPr>
                <w:rFonts w:ascii="Aptos" w:hAnsi="Aptos" w:eastAsia="ＭＳ 明朝"/>
                <w:b/>
                <w:color w:val="FFFFFF"/>
                <w:kern w:val="0"/>
                <w:sz w:val="15"/>
                <w:szCs w:val="22"/>
                <w:lang w:val="en-US" w:eastAsia="en-US" w:bidi="ar-SA"/>
              </w:rPr>
            </w:pPr>
            <w:r>
              <w:rPr>
                <w:rFonts w:eastAsia="ＭＳ 明朝"/>
                <w:b/>
                <w:color w:val="FFFFFF"/>
                <w:kern w:val="0"/>
                <w:sz w:val="15"/>
                <w:szCs w:val="22"/>
                <w:lang w:val="en-US" w:eastAsia="en-US" w:bidi="ar-SA"/>
              </w:rPr>
              <w:t>Theme</w:t>
            </w:r>
          </w:p>
        </w:tc>
      </w:tr>
      <w:tr>
        <w:trPr>
          <w:cantSplit/>
        </w:trPr>
        <w:tc>
          <w:tcPr>
            <w:tcW w:w="791"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OQ-01</w:t>
            </w:r>
          </w:p>
        </w:tc>
        <w:tc>
          <w:tcPr>
            <w:tcW w:w="3240"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What exact conditions make a FERT eligible for rationalization?</w:t>
            </w:r>
          </w:p>
        </w:tc>
        <w:tc>
          <w:tcPr>
            <w:tcW w:w="1944"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PSP, Marketing, Planning</w:t>
            </w:r>
          </w:p>
        </w:tc>
        <w:tc>
          <w:tcPr>
            <w:tcW w:w="2881"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Required to configure sales, orders, stock, migration and inactivity criteria.</w:t>
            </w:r>
          </w:p>
        </w:tc>
        <w:tc>
          <w:tcPr>
            <w:tcW w:w="503"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Theme 2</w:t>
            </w:r>
          </w:p>
        </w:tc>
      </w:tr>
      <w:tr>
        <w:trPr>
          <w:cantSplit/>
        </w:trPr>
        <w:tc>
          <w:tcPr>
            <w:tcW w:w="79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OQ-02</w:t>
            </w:r>
          </w:p>
        </w:tc>
        <w:tc>
          <w:tcPr>
            <w:tcW w:w="324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When should a blocked FERT disappear from the indent sheet?</w:t>
            </w:r>
          </w:p>
        </w:tc>
        <w:tc>
          <w:tcPr>
            <w:tcW w:w="194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PSP, Sales Planning</w:t>
            </w:r>
          </w:p>
        </w:tc>
        <w:tc>
          <w:tcPr>
            <w:tcW w:w="288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Required to separate commercial blocking from inventory liquidation.</w:t>
            </w:r>
          </w:p>
        </w:tc>
        <w:tc>
          <w:tcPr>
            <w:tcW w:w="5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Theme 2</w:t>
            </w:r>
          </w:p>
        </w:tc>
      </w:tr>
      <w:tr>
        <w:trPr>
          <w:cantSplit/>
        </w:trPr>
        <w:tc>
          <w:tcPr>
            <w:tcW w:w="791"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OQ-03</w:t>
            </w:r>
          </w:p>
        </w:tc>
        <w:tc>
          <w:tcPr>
            <w:tcW w:w="3240"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What transactions and quantity limits are allowed for non-SOP FERTs?</w:t>
            </w:r>
          </w:p>
        </w:tc>
        <w:tc>
          <w:tcPr>
            <w:tcW w:w="1944"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PSP, PPC, Marketing</w:t>
            </w:r>
          </w:p>
        </w:tc>
        <w:tc>
          <w:tcPr>
            <w:tcW w:w="2881"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Required to configure restricted-use controls.</w:t>
            </w:r>
          </w:p>
        </w:tc>
        <w:tc>
          <w:tcPr>
            <w:tcW w:w="503"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Theme 2</w:t>
            </w:r>
          </w:p>
        </w:tc>
      </w:tr>
      <w:tr>
        <w:trPr>
          <w:cantSplit/>
        </w:trPr>
        <w:tc>
          <w:tcPr>
            <w:tcW w:w="79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OQ-04</w:t>
            </w:r>
          </w:p>
        </w:tc>
        <w:tc>
          <w:tcPr>
            <w:tcW w:w="324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Does 'Non SAP FERT' in the MOM mean 'Non-SOP FERT'?</w:t>
            </w:r>
          </w:p>
        </w:tc>
        <w:tc>
          <w:tcPr>
            <w:tcW w:w="194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Rajkumar Jain</w:t>
            </w:r>
          </w:p>
        </w:tc>
        <w:tc>
          <w:tcPr>
            <w:tcW w:w="288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Required to confirm the official terminology and scope.</w:t>
            </w:r>
          </w:p>
        </w:tc>
        <w:tc>
          <w:tcPr>
            <w:tcW w:w="5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Theme 2</w:t>
            </w:r>
          </w:p>
        </w:tc>
      </w:tr>
      <w:tr>
        <w:trPr>
          <w:cantSplit/>
        </w:trPr>
        <w:tc>
          <w:tcPr>
            <w:tcW w:w="791"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OQ-05</w:t>
            </w:r>
          </w:p>
        </w:tc>
        <w:tc>
          <w:tcPr>
            <w:tcW w:w="3240"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Who owns mandatory price creation, validation and final approval?</w:t>
            </w:r>
          </w:p>
        </w:tc>
        <w:tc>
          <w:tcPr>
            <w:tcW w:w="1944"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Finance/Pricing, Marketing</w:t>
            </w:r>
          </w:p>
        </w:tc>
        <w:tc>
          <w:tcPr>
            <w:tcW w:w="2881"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Required to complete the price-readiness workflow and SLA.</w:t>
            </w:r>
          </w:p>
        </w:tc>
        <w:tc>
          <w:tcPr>
            <w:tcW w:w="503"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Theme 3</w:t>
            </w:r>
          </w:p>
        </w:tc>
      </w:tr>
      <w:tr>
        <w:trPr>
          <w:cantSplit/>
        </w:trPr>
        <w:tc>
          <w:tcPr>
            <w:tcW w:w="79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OQ-06</w:t>
            </w:r>
          </w:p>
        </w:tc>
        <w:tc>
          <w:tcPr>
            <w:tcW w:w="324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Which transactions require which price type and by when?</w:t>
            </w:r>
          </w:p>
        </w:tc>
        <w:tc>
          <w:tcPr>
            <w:tcW w:w="194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Finance/Pricing, SAP team</w:t>
            </w:r>
          </w:p>
        </w:tc>
        <w:tc>
          <w:tcPr>
            <w:tcW w:w="288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Required to define blocking validation and effective-date rules.</w:t>
            </w:r>
          </w:p>
        </w:tc>
        <w:tc>
          <w:tcPr>
            <w:tcW w:w="5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Theme 3</w:t>
            </w:r>
          </w:p>
        </w:tc>
      </w:tr>
      <w:tr>
        <w:trPr>
          <w:cantSplit/>
        </w:trPr>
        <w:tc>
          <w:tcPr>
            <w:tcW w:w="791"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OQ-07</w:t>
            </w:r>
          </w:p>
        </w:tc>
        <w:tc>
          <w:tcPr>
            <w:tcW w:w="3240"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How is the true planning predecessor selected when the creation reference differs?</w:t>
            </w:r>
          </w:p>
        </w:tc>
        <w:tc>
          <w:tcPr>
            <w:tcW w:w="1944"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PSP, Marketing</w:t>
            </w:r>
          </w:p>
        </w:tc>
        <w:tc>
          <w:tcPr>
            <w:tcW w:w="2881"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Required to configure lineage decision rules.</w:t>
            </w:r>
          </w:p>
        </w:tc>
        <w:tc>
          <w:tcPr>
            <w:tcW w:w="503"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Theme 4</w:t>
            </w:r>
          </w:p>
        </w:tc>
      </w:tr>
      <w:tr>
        <w:trPr>
          <w:cantSplit/>
        </w:trPr>
        <w:tc>
          <w:tcPr>
            <w:tcW w:w="79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OQ-08</w:t>
            </w:r>
          </w:p>
        </w:tc>
        <w:tc>
          <w:tcPr>
            <w:tcW w:w="324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How are migration, parallel continuation and genuinely new products distinguished?</w:t>
            </w:r>
          </w:p>
        </w:tc>
        <w:tc>
          <w:tcPr>
            <w:tcW w:w="194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PSP, Marketing</w:t>
            </w:r>
          </w:p>
        </w:tc>
        <w:tc>
          <w:tcPr>
            <w:tcW w:w="288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Required to assign relationship types consistently.</w:t>
            </w:r>
          </w:p>
        </w:tc>
        <w:tc>
          <w:tcPr>
            <w:tcW w:w="5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Theme 4</w:t>
            </w:r>
          </w:p>
        </w:tc>
      </w:tr>
      <w:tr>
        <w:trPr>
          <w:cantSplit/>
        </w:trPr>
        <w:tc>
          <w:tcPr>
            <w:tcW w:w="791"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OQ-09</w:t>
            </w:r>
          </w:p>
        </w:tc>
        <w:tc>
          <w:tcPr>
            <w:tcW w:w="3240"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How are demand-history transfer percentages and ramp duration decided?</w:t>
            </w:r>
          </w:p>
        </w:tc>
        <w:tc>
          <w:tcPr>
            <w:tcW w:w="1944"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Demand Planning, PPC, Marketing</w:t>
            </w:r>
          </w:p>
        </w:tc>
        <w:tc>
          <w:tcPr>
            <w:tcW w:w="2881"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Required to configure transition and history-transfer rules.</w:t>
            </w:r>
          </w:p>
        </w:tc>
        <w:tc>
          <w:tcPr>
            <w:tcW w:w="503"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Theme 4</w:t>
            </w:r>
          </w:p>
        </w:tc>
      </w:tr>
      <w:tr>
        <w:trPr>
          <w:cantSplit/>
        </w:trPr>
        <w:tc>
          <w:tcPr>
            <w:tcW w:w="79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OQ-10</w:t>
            </w:r>
          </w:p>
        </w:tc>
        <w:tc>
          <w:tcPr>
            <w:tcW w:w="324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Which stock and open commitments must be checked before ramp-down or retirement?</w:t>
            </w:r>
          </w:p>
        </w:tc>
        <w:tc>
          <w:tcPr>
            <w:tcW w:w="194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PPC, Sales, Planning</w:t>
            </w:r>
          </w:p>
        </w:tc>
        <w:tc>
          <w:tcPr>
            <w:tcW w:w="288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Required to protect execution while blocking new demand.</w:t>
            </w:r>
          </w:p>
        </w:tc>
        <w:tc>
          <w:tcPr>
            <w:tcW w:w="5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Theme 2/4</w:t>
            </w:r>
          </w:p>
        </w:tc>
      </w:tr>
      <w:tr>
        <w:trPr>
          <w:cantSplit/>
        </w:trPr>
        <w:tc>
          <w:tcPr>
            <w:tcW w:w="791"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OQ-11</w:t>
            </w:r>
          </w:p>
        </w:tc>
        <w:tc>
          <w:tcPr>
            <w:tcW w:w="3240"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What characteristic priority and tolerance apply by vehicle vertical?</w:t>
            </w:r>
          </w:p>
        </w:tc>
        <w:tc>
          <w:tcPr>
            <w:tcW w:w="1944"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PSP, Marketing, Product Design</w:t>
            </w:r>
          </w:p>
        </w:tc>
        <w:tc>
          <w:tcPr>
            <w:tcW w:w="2881"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Required for candidate recommendation and grouping.</w:t>
            </w:r>
          </w:p>
        </w:tc>
        <w:tc>
          <w:tcPr>
            <w:tcW w:w="503"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Theme 1/5</w:t>
            </w:r>
          </w:p>
        </w:tc>
      </w:tr>
      <w:tr>
        <w:trPr>
          <w:cantSplit/>
        </w:trPr>
        <w:tc>
          <w:tcPr>
            <w:tcW w:w="79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OQ-12</w:t>
            </w:r>
          </w:p>
        </w:tc>
        <w:tc>
          <w:tcPr>
            <w:tcW w:w="324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How do truck and bus planning-family rules differ?</w:t>
            </w:r>
          </w:p>
        </w:tc>
        <w:tc>
          <w:tcPr>
            <w:tcW w:w="194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PSP, Marketing</w:t>
            </w:r>
          </w:p>
        </w:tc>
        <w:tc>
          <w:tcPr>
            <w:tcW w:w="288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Required to avoid one unsuitable matching hierarchy.</w:t>
            </w:r>
          </w:p>
        </w:tc>
        <w:tc>
          <w:tcPr>
            <w:tcW w:w="5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Theme 5</w:t>
            </w:r>
          </w:p>
        </w:tc>
      </w:tr>
      <w:tr>
        <w:trPr>
          <w:cantSplit/>
        </w:trPr>
        <w:tc>
          <w:tcPr>
            <w:tcW w:w="791"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OQ-13</w:t>
            </w:r>
          </w:p>
        </w:tc>
        <w:tc>
          <w:tcPr>
            <w:tcW w:w="3240"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What are the Runner, Repeater and Stranger thresholds and review frequency?</w:t>
            </w:r>
          </w:p>
        </w:tc>
        <w:tc>
          <w:tcPr>
            <w:tcW w:w="1944"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Demand Planning, PSP</w:t>
            </w:r>
          </w:p>
        </w:tc>
        <w:tc>
          <w:tcPr>
            <w:tcW w:w="2881"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Required to govern classification and publication.</w:t>
            </w:r>
          </w:p>
        </w:tc>
        <w:tc>
          <w:tcPr>
            <w:tcW w:w="503"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Theme 1/5</w:t>
            </w:r>
          </w:p>
        </w:tc>
      </w:tr>
      <w:tr>
        <w:trPr>
          <w:cantSplit/>
        </w:trPr>
        <w:tc>
          <w:tcPr>
            <w:tcW w:w="79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OQ-14</w:t>
            </w:r>
          </w:p>
        </w:tc>
        <w:tc>
          <w:tcPr>
            <w:tcW w:w="324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Which IDM/ECC checks already exist and which errors still pass through?</w:t>
            </w:r>
          </w:p>
        </w:tc>
        <w:tc>
          <w:tcPr>
            <w:tcW w:w="194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Product Design, MDM, IT</w:t>
            </w:r>
          </w:p>
        </w:tc>
        <w:tc>
          <w:tcPr>
            <w:tcW w:w="288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Required to avoid duplicate controls and define intervention points.</w:t>
            </w:r>
          </w:p>
        </w:tc>
        <w:tc>
          <w:tcPr>
            <w:tcW w:w="50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Theme 1</w:t>
            </w:r>
          </w:p>
        </w:tc>
      </w:tr>
      <w:tr>
        <w:trPr>
          <w:cantSplit/>
        </w:trPr>
        <w:tc>
          <w:tcPr>
            <w:tcW w:w="791"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OQ-15</w:t>
            </w:r>
          </w:p>
        </w:tc>
        <w:tc>
          <w:tcPr>
            <w:tcW w:w="3240"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Who gives final approval for lineage, rationalization and high-impact exceptions?</w:t>
            </w:r>
          </w:p>
        </w:tc>
        <w:tc>
          <w:tcPr>
            <w:tcW w:w="1944"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Rajkumar, S&amp;OP Leads</w:t>
            </w:r>
          </w:p>
        </w:tc>
        <w:tc>
          <w:tcPr>
            <w:tcW w:w="2881"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Required for role design and sign-off.</w:t>
            </w:r>
          </w:p>
        </w:tc>
        <w:tc>
          <w:tcPr>
            <w:tcW w:w="503"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5"/>
                <w:szCs w:val="22"/>
                <w:lang w:val="en-US" w:eastAsia="en-US" w:bidi="ar-SA"/>
              </w:rPr>
            </w:pPr>
            <w:r>
              <w:rPr>
                <w:rFonts w:eastAsia="ＭＳ 明朝"/>
                <w:kern w:val="0"/>
                <w:sz w:val="15"/>
                <w:szCs w:val="22"/>
                <w:lang w:val="en-US" w:eastAsia="en-US" w:bidi="ar-SA"/>
              </w:rPr>
              <w:t>All</w:t>
            </w:r>
          </w:p>
        </w:tc>
      </w:tr>
    </w:tbl>
    <w:p>
      <w:pPr>
        <w:pStyle w:val="Normal"/>
        <w:widowControl/>
        <w:spacing w:before="0" w:after="40"/>
        <w:rPr/>
      </w:pPr>
      <w:r>
        <w:rPr/>
      </w:r>
    </w:p>
    <w:p>
      <w:pPr>
        <w:pStyle w:val="Heading2"/>
        <w:keepNext w:val="true"/>
        <w:widowControl/>
        <w:rPr/>
      </w:pPr>
      <w:r>
        <w:rPr/>
        <w:t>12.1 Recommended Workshop Evidence</w:t>
      </w:r>
    </w:p>
    <w:p>
      <w:pPr>
        <w:pStyle w:val="ListBullet"/>
        <w:widowControl/>
        <w:numPr>
          <w:ilvl w:val="0"/>
          <w:numId w:val="2"/>
        </w:numPr>
        <w:spacing w:before="0" w:after="40"/>
        <w:contextualSpacing/>
        <w:rPr/>
      </w:pPr>
      <w:r>
        <w:rPr/>
        <w:t>Three to five actual new-FERT examples covering migration, parallel, ramp and genuinely new products.</w:t>
      </w:r>
    </w:p>
    <w:p>
      <w:pPr>
        <w:pStyle w:val="ListBullet"/>
        <w:widowControl/>
        <w:numPr>
          <w:ilvl w:val="0"/>
          <w:numId w:val="2"/>
        </w:numPr>
        <w:spacing w:before="0" w:after="40"/>
        <w:contextualSpacing/>
        <w:rPr/>
      </w:pPr>
      <w:r>
        <w:rPr/>
        <w:t>The predecessor considered, characteristics used and reason for selection for each example.</w:t>
      </w:r>
    </w:p>
    <w:p>
      <w:pPr>
        <w:pStyle w:val="ListBullet"/>
        <w:widowControl/>
        <w:numPr>
          <w:ilvl w:val="0"/>
          <w:numId w:val="2"/>
        </w:numPr>
        <w:spacing w:before="0" w:after="40"/>
        <w:contextualSpacing/>
        <w:rPr/>
      </w:pPr>
      <w:r>
        <w:rPr/>
        <w:t>Actual demand-history treatment, transfer percentage, coexistence duration and rework experienced.</w:t>
      </w:r>
    </w:p>
    <w:p>
      <w:pPr>
        <w:pStyle w:val="ListBullet"/>
        <w:widowControl/>
        <w:numPr>
          <w:ilvl w:val="0"/>
          <w:numId w:val="2"/>
        </w:numPr>
        <w:spacing w:before="0" w:after="40"/>
        <w:contextualSpacing/>
        <w:rPr/>
      </w:pPr>
      <w:r>
        <w:rPr/>
        <w:t>Examples of blocked and non-SOP FERTs, including stock, orders, indents and transaction restrictions.</w:t>
      </w:r>
    </w:p>
    <w:p>
      <w:pPr>
        <w:pStyle w:val="ListBullet"/>
        <w:widowControl/>
        <w:numPr>
          <w:ilvl w:val="0"/>
          <w:numId w:val="2"/>
        </w:numPr>
        <w:spacing w:before="0" w:after="40"/>
        <w:contextualSpacing/>
        <w:rPr/>
      </w:pPr>
      <w:r>
        <w:rPr/>
        <w:t>One NPI case where missing price blocked STO, RGP or another internal transaction.</w:t>
      </w:r>
    </w:p>
    <w:p>
      <w:pPr>
        <w:pStyle w:val="Normal"/>
        <w:widowControl/>
        <w:rPr/>
      </w:pPr>
      <w:r>
        <w:rPr/>
      </w:r>
      <w:r>
        <w:br w:type="page"/>
      </w:r>
    </w:p>
    <w:p>
      <w:pPr>
        <w:pStyle w:val="Heading1"/>
        <w:keepNext w:val="true"/>
        <w:widowControl/>
        <w:spacing w:before="0" w:after="80"/>
        <w:rPr/>
      </w:pPr>
      <w:r>
        <w:rPr/>
        <w:t>13. Review, Acceptance and Sign-Off</w:t>
      </w:r>
    </w:p>
    <w:tbl>
      <w:tblPr>
        <w:tblW w:w="9360" w:type="dxa"/>
        <w:jc w:val="start"/>
        <w:tblInd w:w="-115" w:type="dxa"/>
        <w:tblLayout w:type="fixed"/>
        <w:tblCellMar>
          <w:top w:w="95" w:type="dxa"/>
          <w:start w:w="110" w:type="dxa"/>
          <w:bottom w:w="95" w:type="dxa"/>
          <w:end w:w="110" w:type="dxa"/>
        </w:tblCellMar>
      </w:tblPr>
      <w:tblGrid>
        <w:gridCol w:w="1944"/>
        <w:gridCol w:w="4824"/>
        <w:gridCol w:w="1944"/>
        <w:gridCol w:w="648"/>
      </w:tblGrid>
      <w:tr>
        <w:trPr>
          <w:tblHeader w:val="true"/>
          <w:cantSplit/>
        </w:trPr>
        <w:tc>
          <w:tcPr>
            <w:tcW w:w="1944" w:type="dxa"/>
            <w:tcBorders>
              <w:top w:val="single" w:sz="4" w:space="0" w:color="000000"/>
              <w:start w:val="single" w:sz="4" w:space="0" w:color="000000"/>
              <w:bottom w:val="single" w:sz="4" w:space="0" w:color="000000"/>
              <w:end w:val="single" w:sz="4" w:space="0" w:color="000000"/>
            </w:tcBorders>
            <w:shd w:fill="0B1F33" w:val="clear"/>
            <w:vAlign w:val="center"/>
          </w:tcPr>
          <w:p>
            <w:pPr>
              <w:pStyle w:val="Normal"/>
              <w:widowControl/>
              <w:spacing w:lineRule="auto" w:line="240" w:before="0" w:after="4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Review Area</w:t>
            </w:r>
          </w:p>
        </w:tc>
        <w:tc>
          <w:tcPr>
            <w:tcW w:w="4824" w:type="dxa"/>
            <w:tcBorders>
              <w:top w:val="single" w:sz="4" w:space="0" w:color="000000"/>
              <w:start w:val="single" w:sz="4" w:space="0" w:color="000000"/>
              <w:bottom w:val="single" w:sz="4" w:space="0" w:color="000000"/>
              <w:end w:val="single" w:sz="4" w:space="0" w:color="000000"/>
            </w:tcBorders>
            <w:shd w:fill="0B1F33" w:val="clear"/>
            <w:vAlign w:val="center"/>
          </w:tcPr>
          <w:p>
            <w:pPr>
              <w:pStyle w:val="Normal"/>
              <w:widowControl/>
              <w:spacing w:lineRule="auto" w:line="240" w:before="0" w:after="4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Acceptance Requirement</w:t>
            </w:r>
          </w:p>
        </w:tc>
        <w:tc>
          <w:tcPr>
            <w:tcW w:w="1944" w:type="dxa"/>
            <w:tcBorders>
              <w:top w:val="single" w:sz="4" w:space="0" w:color="000000"/>
              <w:start w:val="single" w:sz="4" w:space="0" w:color="000000"/>
              <w:bottom w:val="single" w:sz="4" w:space="0" w:color="000000"/>
              <w:end w:val="single" w:sz="4" w:space="0" w:color="000000"/>
            </w:tcBorders>
            <w:shd w:fill="0B1F33" w:val="clear"/>
            <w:vAlign w:val="center"/>
          </w:tcPr>
          <w:p>
            <w:pPr>
              <w:pStyle w:val="Normal"/>
              <w:widowControl/>
              <w:spacing w:lineRule="auto" w:line="240" w:before="0" w:after="4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Reviewer</w:t>
            </w:r>
          </w:p>
        </w:tc>
        <w:tc>
          <w:tcPr>
            <w:tcW w:w="648" w:type="dxa"/>
            <w:tcBorders>
              <w:top w:val="single" w:sz="4" w:space="0" w:color="000000"/>
              <w:start w:val="single" w:sz="4" w:space="0" w:color="000000"/>
              <w:bottom w:val="single" w:sz="4" w:space="0" w:color="000000"/>
              <w:end w:val="single" w:sz="4" w:space="0" w:color="000000"/>
            </w:tcBorders>
            <w:shd w:fill="0B1F33" w:val="clear"/>
            <w:vAlign w:val="center"/>
          </w:tcPr>
          <w:p>
            <w:pPr>
              <w:pStyle w:val="Normal"/>
              <w:widowControl/>
              <w:spacing w:lineRule="auto" w:line="240" w:before="0" w:after="40"/>
              <w:jc w:val="start"/>
              <w:rPr>
                <w:rFonts w:ascii="Aptos" w:hAnsi="Aptos" w:eastAsia="ＭＳ 明朝"/>
                <w:b/>
                <w:color w:val="FFFFFF"/>
                <w:kern w:val="0"/>
                <w:sz w:val="16"/>
                <w:szCs w:val="22"/>
                <w:lang w:val="en-US" w:eastAsia="en-US" w:bidi="ar-SA"/>
              </w:rPr>
            </w:pPr>
            <w:r>
              <w:rPr>
                <w:rFonts w:eastAsia="ＭＳ 明朝"/>
                <w:b/>
                <w:color w:val="FFFFFF"/>
                <w:kern w:val="0"/>
                <w:sz w:val="16"/>
                <w:szCs w:val="22"/>
                <w:lang w:val="en-US" w:eastAsia="en-US" w:bidi="ar-SA"/>
              </w:rPr>
              <w:t>Status</w:t>
            </w:r>
          </w:p>
        </w:tc>
      </w:tr>
      <w:tr>
        <w:trPr>
          <w:cantSplit/>
        </w:trPr>
        <w:tc>
          <w:tcPr>
            <w:tcW w:w="1944"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Business scope</w:t>
            </w:r>
          </w:p>
        </w:tc>
        <w:tc>
          <w:tcPr>
            <w:tcW w:w="4824"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Five solution themes and 17-issue catalogue treatment accepted</w:t>
            </w:r>
          </w:p>
        </w:tc>
        <w:tc>
          <w:tcPr>
            <w:tcW w:w="1944"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Hemanth / Rajkumar / S&amp;OP Leads</w:t>
            </w:r>
          </w:p>
        </w:tc>
        <w:tc>
          <w:tcPr>
            <w:tcW w:w="648"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Pending</w:t>
            </w:r>
          </w:p>
        </w:tc>
      </w:tr>
      <w:tr>
        <w:trPr>
          <w:cantSplit/>
        </w:trPr>
        <w:tc>
          <w:tcPr>
            <w:tcW w:w="194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Master-data quality</w:t>
            </w:r>
          </w:p>
        </w:tc>
        <w:tc>
          <w:tcPr>
            <w:tcW w:w="482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Fields, existing checks, gaps, owners and blocking behavior validated</w:t>
            </w:r>
          </w:p>
        </w:tc>
        <w:tc>
          <w:tcPr>
            <w:tcW w:w="194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MDM / Product Design / IT</w:t>
            </w:r>
          </w:p>
        </w:tc>
        <w:tc>
          <w:tcPr>
            <w:tcW w:w="64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Pending</w:t>
            </w:r>
          </w:p>
        </w:tc>
      </w:tr>
      <w:tr>
        <w:trPr>
          <w:cantSplit/>
        </w:trPr>
        <w:tc>
          <w:tcPr>
            <w:tcW w:w="1944"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Rationalization and lifecycle</w:t>
            </w:r>
          </w:p>
        </w:tc>
        <w:tc>
          <w:tcPr>
            <w:tcW w:w="4824"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Criteria, block types, non-SOP controls and retirement workflow validated</w:t>
            </w:r>
          </w:p>
        </w:tc>
        <w:tc>
          <w:tcPr>
            <w:tcW w:w="1944"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PSP / Marketing / PPC</w:t>
            </w:r>
          </w:p>
        </w:tc>
        <w:tc>
          <w:tcPr>
            <w:tcW w:w="648"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Pending</w:t>
            </w:r>
          </w:p>
        </w:tc>
      </w:tr>
      <w:tr>
        <w:trPr>
          <w:cantSplit/>
        </w:trPr>
        <w:tc>
          <w:tcPr>
            <w:tcW w:w="194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Price readiness</w:t>
            </w:r>
          </w:p>
        </w:tc>
        <w:tc>
          <w:tcPr>
            <w:tcW w:w="482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Scope, owner, required prices, SLA and exception handling validated</w:t>
            </w:r>
          </w:p>
        </w:tc>
        <w:tc>
          <w:tcPr>
            <w:tcW w:w="194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Finance/Pricing / Marketing / SAP</w:t>
            </w:r>
          </w:p>
        </w:tc>
        <w:tc>
          <w:tcPr>
            <w:tcW w:w="64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Pending</w:t>
            </w:r>
          </w:p>
        </w:tc>
      </w:tr>
      <w:tr>
        <w:trPr>
          <w:cantSplit/>
        </w:trPr>
        <w:tc>
          <w:tcPr>
            <w:tcW w:w="1944"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Lineage and transition</w:t>
            </w:r>
          </w:p>
        </w:tc>
        <w:tc>
          <w:tcPr>
            <w:tcW w:w="4824"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Relationship types, predecessor logic, history transfer and ramp rules validated</w:t>
            </w:r>
          </w:p>
        </w:tc>
        <w:tc>
          <w:tcPr>
            <w:tcW w:w="1944"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PSP / Marketing / Planning / PPC</w:t>
            </w:r>
          </w:p>
        </w:tc>
        <w:tc>
          <w:tcPr>
            <w:tcW w:w="648"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Pending</w:t>
            </w:r>
          </w:p>
        </w:tc>
      </w:tr>
      <w:tr>
        <w:trPr>
          <w:cantSplit/>
        </w:trPr>
        <w:tc>
          <w:tcPr>
            <w:tcW w:w="194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Grouping</w:t>
            </w:r>
          </w:p>
        </w:tc>
        <w:tc>
          <w:tcPr>
            <w:tcW w:w="482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Truck/bus hierarchy and characteristic priority validated</w:t>
            </w:r>
          </w:p>
        </w:tc>
        <w:tc>
          <w:tcPr>
            <w:tcW w:w="194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PSP / Marketing / Planning</w:t>
            </w:r>
          </w:p>
        </w:tc>
        <w:tc>
          <w:tcPr>
            <w:tcW w:w="64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Pending</w:t>
            </w:r>
          </w:p>
        </w:tc>
      </w:tr>
      <w:tr>
        <w:trPr>
          <w:cantSplit/>
        </w:trPr>
        <w:tc>
          <w:tcPr>
            <w:tcW w:w="1944"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UX and workflows</w:t>
            </w:r>
          </w:p>
        </w:tc>
        <w:tc>
          <w:tcPr>
            <w:tcW w:w="4824"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Persona journey, screens, decisions, approvals and exception paths accepted</w:t>
            </w:r>
          </w:p>
        </w:tc>
        <w:tc>
          <w:tcPr>
            <w:tcW w:w="1944"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Business Users / S&amp;OP Leads</w:t>
            </w:r>
          </w:p>
        </w:tc>
        <w:tc>
          <w:tcPr>
            <w:tcW w:w="648"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Pending</w:t>
            </w:r>
          </w:p>
        </w:tc>
      </w:tr>
      <w:tr>
        <w:trPr>
          <w:cantSplit/>
        </w:trPr>
        <w:tc>
          <w:tcPr>
            <w:tcW w:w="194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User stories</w:t>
            </w:r>
          </w:p>
        </w:tc>
        <w:tc>
          <w:tcPr>
            <w:tcW w:w="482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Stories trace to themes, UX, workflows and acceptance outcomes</w:t>
            </w:r>
          </w:p>
        </w:tc>
        <w:tc>
          <w:tcPr>
            <w:tcW w:w="194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T5 Owner / Business Reviewers</w:t>
            </w:r>
          </w:p>
        </w:tc>
        <w:tc>
          <w:tcPr>
            <w:tcW w:w="64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Pending</w:t>
            </w:r>
          </w:p>
        </w:tc>
      </w:tr>
      <w:tr>
        <w:trPr>
          <w:cantSplit/>
        </w:trPr>
        <w:tc>
          <w:tcPr>
            <w:tcW w:w="1944"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Data entities</w:t>
            </w:r>
          </w:p>
        </w:tc>
        <w:tc>
          <w:tcPr>
            <w:tcW w:w="4824"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Functional entity list complete; technical design ownership confirmed</w:t>
            </w:r>
          </w:p>
        </w:tc>
        <w:tc>
          <w:tcPr>
            <w:tcW w:w="1944"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T5 Owner / IT / Data Engineering</w:t>
            </w:r>
          </w:p>
        </w:tc>
        <w:tc>
          <w:tcPr>
            <w:tcW w:w="648" w:type="dxa"/>
            <w:tcBorders>
              <w:top w:val="single" w:sz="4" w:space="0" w:color="000000"/>
              <w:start w:val="single" w:sz="4" w:space="0" w:color="000000"/>
              <w:bottom w:val="single" w:sz="4" w:space="0" w:color="000000"/>
              <w:end w:val="single" w:sz="4" w:space="0" w:color="000000"/>
            </w:tcBorders>
            <w:shd w:fill="EAF2F8" w:val="clear"/>
            <w:vAlign w:val="center"/>
          </w:tcPr>
          <w:p>
            <w:pPr>
              <w:pStyle w:val="Normal"/>
              <w:widowControl/>
              <w:spacing w:lineRule="auto" w:line="240" w:before="0" w:after="40"/>
              <w:jc w:val="start"/>
              <w:rPr>
                <w:rFonts w:ascii="Aptos" w:hAnsi="Aptos" w:eastAsia="ＭＳ 明朝"/>
                <w:kern w:val="0"/>
                <w:sz w:val="16"/>
                <w:szCs w:val="22"/>
                <w:lang w:val="en-US" w:eastAsia="en-US" w:bidi="ar-SA"/>
              </w:rPr>
            </w:pPr>
            <w:r>
              <w:rPr>
                <w:rFonts w:eastAsia="ＭＳ 明朝"/>
                <w:kern w:val="0"/>
                <w:sz w:val="16"/>
                <w:szCs w:val="22"/>
                <w:lang w:val="en-US" w:eastAsia="en-US" w:bidi="ar-SA"/>
              </w:rPr>
              <w:t>Pending</w:t>
            </w:r>
          </w:p>
        </w:tc>
      </w:tr>
    </w:tbl>
    <w:p>
      <w:pPr>
        <w:pStyle w:val="Normal"/>
        <w:widowControl/>
        <w:spacing w:before="0" w:after="40"/>
        <w:rPr/>
      </w:pPr>
      <w:r>
        <w:rPr/>
      </w:r>
    </w:p>
    <w:tbl>
      <w:tblPr>
        <w:tblW w:w="10656" w:type="dxa"/>
        <w:jc w:val="start"/>
        <w:tblInd w:w="-145" w:type="dxa"/>
        <w:tblLayout w:type="fixed"/>
        <w:tblCellMar>
          <w:top w:w="120" w:type="dxa"/>
          <w:start w:w="140" w:type="dxa"/>
          <w:bottom w:w="120" w:type="dxa"/>
          <w:end w:w="140" w:type="dxa"/>
        </w:tblCellMar>
      </w:tblPr>
      <w:tblGrid>
        <w:gridCol w:w="10656"/>
      </w:tblGrid>
      <w:tr>
        <w:trPr/>
        <w:tc>
          <w:tcPr>
            <w:tcW w:w="10656" w:type="dxa"/>
            <w:tcBorders>
              <w:top w:val="single" w:sz="4" w:space="0" w:color="000000"/>
              <w:start w:val="single" w:sz="4" w:space="0" w:color="000000"/>
              <w:bottom w:val="single" w:sz="4" w:space="0" w:color="000000"/>
              <w:end w:val="single" w:sz="4" w:space="0" w:color="000000"/>
            </w:tcBorders>
            <w:shd w:fill="FFF2CC" w:val="clear"/>
          </w:tcPr>
          <w:p>
            <w:pPr>
              <w:pStyle w:val="Normal"/>
              <w:widowControl/>
              <w:spacing w:lineRule="auto" w:line="240" w:before="0" w:after="80"/>
              <w:jc w:val="start"/>
              <w:rPr>
                <w:rFonts w:eastAsia="ＭＳ 明朝"/>
                <w:kern w:val="0"/>
                <w:szCs w:val="22"/>
                <w:lang w:val="en-US" w:eastAsia="en-US" w:bidi="ar-SA"/>
              </w:rPr>
            </w:pPr>
            <w:r>
              <w:rPr>
                <w:rFonts w:eastAsia="ＭＳ 明朝"/>
                <w:b/>
                <w:color w:val="1F4E78"/>
                <w:kern w:val="0"/>
                <w:szCs w:val="22"/>
                <w:lang w:val="en-US" w:eastAsia="en-US" w:bidi="ar-SA"/>
              </w:rPr>
              <w:t>Final design statement</w:t>
              <w:br/>
            </w:r>
            <w:r>
              <w:rPr>
                <w:rFonts w:eastAsia="ＭＳ 明朝"/>
                <w:color w:val="212121"/>
                <w:kern w:val="0"/>
                <w:szCs w:val="22"/>
                <w:lang w:val="en-US" w:eastAsia="en-US" w:bidi="ar-SA"/>
              </w:rPr>
              <w:t>The T5 solution establishes controlled planning governance around the FERT lifecycle without replacing IDM or ECC ownership. It ensures that FERTs entering S&amp;OP are complete, correctly grouped, linked to relevant history, governed through approved transitions, protected from inappropriate use and supported by traceable cross-functional decisions.</w:t>
            </w:r>
          </w:p>
        </w:tc>
      </w:tr>
    </w:tbl>
    <w:p>
      <w:pPr>
        <w:pStyle w:val="Normal"/>
        <w:widowControl/>
        <w:spacing w:before="0" w:after="40"/>
        <w:rPr/>
      </w:pPr>
      <w:r>
        <w:rPr/>
      </w:r>
    </w:p>
    <w:sectPr>
      <w:headerReference w:type="default" r:id="rId2"/>
      <w:footerReference w:type="default" r:id="rId3"/>
      <w:type w:val="nextPage"/>
      <w:pgSz w:w="12240" w:h="15840"/>
      <w:pgMar w:left="792" w:right="792" w:gutter="0" w:header="720" w:top="792" w:footer="720" w:bottom="792"/>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ptos">
    <w:charset w:val="01"/>
    <w:family w:val="swiss"/>
    <w:pitch w:val="variable"/>
  </w:font>
  <w:font w:name="Calibri">
    <w:charset w:val="01"/>
    <w:family w:val="swiss"/>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color w:val="5A6570"/>
        <w:sz w:val="14"/>
      </w:rPr>
    </w:pPr>
    <w:r>
      <w:rPr>
        <w:color w:val="5A6570"/>
        <w:sz w:val="14"/>
      </w:rPr>
      <w:t>VECV S&amp;OP Transformation  ·  v10.0 Completed FSD  ·  Pending Business Validation and Sign-off</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color w:val="5A6570"/>
        <w:sz w:val="15"/>
      </w:rPr>
    </w:pPr>
    <w:r>
      <w:rPr>
        <w:color w:val="5A6570"/>
        <w:sz w:val="15"/>
      </w:rPr>
      <w:t>VECVplan  ·  MDM &amp; FERT Governance  ·  Functional Solution Design  ·  Confidential</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DejaVu Sans"/>
        <w:sz w:val="22"/>
        <w:szCs w:val="22"/>
        <w:lang w:val="en-US" w:eastAsia="en-US" w:bidi="ar-SA"/>
      </w:rPr>
    </w:rPrDefault>
    <w:pPrDefault>
      <w:pPr>
        <w:suppressAutoHyphens w:val="true"/>
      </w:pPr>
    </w:pPrDefault>
  </w:docDefaults>
  <w:style w:type="paragraph" w:styleId="Normal">
    <w:name w:val="Normal"/>
    <w:qFormat/>
    <w:pPr>
      <w:widowControl/>
      <w:kinsoku w:val="true"/>
      <w:overflowPunct w:val="true"/>
      <w:autoSpaceDE w:val="true"/>
      <w:bidi w:val="0"/>
      <w:spacing w:lineRule="auto" w:line="276" w:before="0" w:after="80"/>
      <w:jc w:val="start"/>
    </w:pPr>
    <w:rPr>
      <w:rFonts w:ascii="Aptos" w:hAnsi="Aptos" w:eastAsia="ＭＳ 明朝"/>
      <w:color w:val="auto"/>
      <w:kern w:val="0"/>
      <w:sz w:val="18"/>
      <w:szCs w:val="22"/>
      <w:lang w:val="en-US" w:eastAsia="en-US" w:bidi="ar-SA"/>
    </w:rPr>
  </w:style>
  <w:style w:type="paragraph" w:styleId="Heading1">
    <w:name w:val="heading 1"/>
    <w:basedOn w:val="Normal"/>
    <w:next w:val="Normal"/>
    <w:link w:val="Heading1Char"/>
    <w:qFormat/>
    <w:pPr>
      <w:keepNext w:val="true"/>
      <w:keepLines/>
      <w:numPr>
        <w:ilvl w:val="0"/>
        <w:numId w:val="0"/>
      </w:numPr>
      <w:spacing w:before="200" w:after="80"/>
      <w:outlineLvl w:val="0"/>
    </w:pPr>
    <w:rPr>
      <w:rFonts w:ascii="Calibri" w:hAnsi="Calibri" w:eastAsia="ＭＳ ゴシック" w:cs="DejaVu Sans"/>
      <w:b/>
      <w:bCs/>
      <w:color w:val="0C1E2D"/>
      <w:sz w:val="36"/>
      <w:szCs w:val="28"/>
    </w:rPr>
  </w:style>
  <w:style w:type="paragraph" w:styleId="Heading2">
    <w:name w:val="heading 2"/>
    <w:basedOn w:val="Normal"/>
    <w:next w:val="Normal"/>
    <w:link w:val="Heading2Char"/>
    <w:qFormat/>
    <w:pPr>
      <w:keepNext w:val="true"/>
      <w:keepLines/>
      <w:numPr>
        <w:ilvl w:val="0"/>
        <w:numId w:val="0"/>
      </w:numPr>
      <w:spacing w:before="200" w:after="80"/>
      <w:outlineLvl w:val="1"/>
    </w:pPr>
    <w:rPr>
      <w:rFonts w:ascii="Calibri" w:hAnsi="Calibri" w:eastAsia="ＭＳ ゴシック" w:cs="DejaVu Sans"/>
      <w:b/>
      <w:bCs/>
      <w:color w:val="1F5A88"/>
      <w:sz w:val="28"/>
      <w:szCs w:val="26"/>
    </w:rPr>
  </w:style>
  <w:style w:type="paragraph" w:styleId="Heading3">
    <w:name w:val="heading 3"/>
    <w:basedOn w:val="Normal"/>
    <w:next w:val="Normal"/>
    <w:link w:val="Heading3Char"/>
    <w:qFormat/>
    <w:pPr>
      <w:keepNext w:val="true"/>
      <w:keepLines/>
      <w:numPr>
        <w:ilvl w:val="0"/>
        <w:numId w:val="0"/>
      </w:numPr>
      <w:spacing w:before="120" w:after="80"/>
      <w:outlineLvl w:val="2"/>
    </w:pPr>
    <w:rPr>
      <w:rFonts w:ascii="Calibri" w:hAnsi="Calibri" w:eastAsia="ＭＳ ゴシック" w:cs="DejaVu Sans"/>
      <w:b/>
      <w:bCs/>
      <w:color w:val="1F5A88"/>
      <w:sz w:val="23"/>
    </w:rPr>
  </w:style>
  <w:style w:type="paragraph" w:styleId="Heading4">
    <w:name w:val="heading 4"/>
    <w:basedOn w:val="Normal"/>
    <w:next w:val="Normal"/>
    <w:link w:val="Heading4Char"/>
    <w:qFormat/>
    <w:pPr>
      <w:keepNext w:val="true"/>
      <w:keepLines/>
      <w:numPr>
        <w:ilvl w:val="0"/>
        <w:numId w:val="0"/>
      </w:numPr>
      <w:spacing w:before="120" w:after="80"/>
      <w:outlineLvl w:val="3"/>
    </w:pPr>
    <w:rPr>
      <w:rFonts w:ascii="Calibri" w:hAnsi="Calibri" w:eastAsia="ＭＳ ゴシック" w:cs="DejaVu Sans"/>
      <w:b/>
      <w:bCs/>
      <w:i/>
      <w:iCs/>
      <w:color w:val="5A6570"/>
      <w:sz w:val="21"/>
    </w:rPr>
  </w:style>
  <w:style w:type="paragraph" w:styleId="Heading5">
    <w:name w:val="heading 5"/>
    <w:basedOn w:val="Normal"/>
    <w:next w:val="Normal"/>
    <w:link w:val="Heading5Char"/>
    <w:qFormat/>
    <w:pPr>
      <w:keepNext w:val="true"/>
      <w:keepLines/>
      <w:numPr>
        <w:ilvl w:val="0"/>
        <w:numId w:val="0"/>
      </w:numPr>
      <w:spacing w:before="200" w:after="0"/>
      <w:outlineLvl w:val="4"/>
    </w:pPr>
    <w:rPr>
      <w:rFonts w:ascii="Calibri" w:hAnsi="Calibri" w:eastAsia="ＭＳ ゴシック" w:cs="DejaVu Sans"/>
      <w:color w:themeColor="accent1" w:themeShade="7f" w:val="243F60"/>
    </w:rPr>
  </w:style>
  <w:style w:type="paragraph" w:styleId="Heading6">
    <w:name w:val="heading 6"/>
    <w:basedOn w:val="Normal"/>
    <w:next w:val="Normal"/>
    <w:link w:val="Heading6Char"/>
    <w:qFormat/>
    <w:pPr>
      <w:keepNext w:val="true"/>
      <w:keepLines/>
      <w:numPr>
        <w:ilvl w:val="0"/>
        <w:numId w:val="0"/>
      </w:numPr>
      <w:spacing w:before="200" w:after="0"/>
      <w:outlineLvl w:val="5"/>
    </w:pPr>
    <w:rPr>
      <w:rFonts w:ascii="Calibri" w:hAnsi="Calibri" w:eastAsia="ＭＳ ゴシック" w:cs="DejaVu Sans"/>
      <w:i/>
      <w:iCs/>
      <w:color w:themeColor="accent1" w:themeShade="7f" w:val="243F60"/>
    </w:rPr>
  </w:style>
  <w:style w:type="paragraph" w:styleId="Heading7">
    <w:name w:val="heading 7"/>
    <w:basedOn w:val="Normal"/>
    <w:next w:val="Normal"/>
    <w:link w:val="Heading7Char"/>
    <w:qFormat/>
    <w:pPr>
      <w:keepNext w:val="true"/>
      <w:keepLines/>
      <w:numPr>
        <w:ilvl w:val="0"/>
        <w:numId w:val="0"/>
      </w:numPr>
      <w:spacing w:before="200" w:after="0"/>
      <w:outlineLvl w:val="6"/>
    </w:pPr>
    <w:rPr>
      <w:rFonts w:ascii="Calibri" w:hAnsi="Calibri" w:eastAsia="ＭＳ ゴシック" w:cs="DejaVu Sans"/>
      <w:i/>
      <w:iCs/>
      <w:color w:themeColor="dark1" w:themeTint="bf" w:val="404040"/>
    </w:rPr>
  </w:style>
  <w:style w:type="paragraph" w:styleId="Heading8">
    <w:name w:val="heading 8"/>
    <w:basedOn w:val="Normal"/>
    <w:next w:val="Normal"/>
    <w:link w:val="Heading8Char"/>
    <w:qFormat/>
    <w:pPr>
      <w:keepNext w:val="true"/>
      <w:keepLines/>
      <w:numPr>
        <w:ilvl w:val="0"/>
        <w:numId w:val="0"/>
      </w:numPr>
      <w:spacing w:before="200" w:after="0"/>
      <w:outlineLvl w:val="7"/>
    </w:pPr>
    <w:rPr>
      <w:rFonts w:ascii="Calibri" w:hAnsi="Calibri" w:eastAsia="ＭＳ ゴシック" w:cs="DejaVu Sans"/>
      <w:color w:themeColor="accent1" w:val="4F81BD"/>
      <w:sz w:val="20"/>
      <w:szCs w:val="20"/>
    </w:rPr>
  </w:style>
  <w:style w:type="paragraph" w:styleId="Heading9">
    <w:name w:val="heading 9"/>
    <w:basedOn w:val="Normal"/>
    <w:next w:val="Normal"/>
    <w:link w:val="Heading9Char"/>
    <w:qFormat/>
    <w:pPr>
      <w:keepNext w:val="true"/>
      <w:keepLines/>
      <w:numPr>
        <w:ilvl w:val="0"/>
        <w:numId w:val="0"/>
      </w:numPr>
      <w:spacing w:before="200" w:after="0"/>
      <w:outlineLvl w:val="8"/>
    </w:pPr>
    <w:rPr>
      <w:rFonts w:ascii="Calibri" w:hAnsi="Calibri" w:eastAsia="ＭＳ ゴシック" w:cs="DejaVu Sans"/>
      <w:i/>
      <w:iCs/>
      <w:color w:themeColor="dark1" w:themeTint="bf" w:val="404040"/>
      <w:sz w:val="20"/>
      <w:szCs w:val="20"/>
    </w:rPr>
  </w:style>
  <w:style w:type="character" w:styleId="DefaultParagraphFont">
    <w:name w:val="Default Paragraph Font"/>
    <w:qFormat/>
    <w:rPr/>
  </w:style>
  <w:style w:type="character" w:styleId="HeaderChar">
    <w:name w:val="Header Char"/>
    <w:basedOn w:val="DefaultParagraphFont"/>
    <w:link w:val="Header"/>
    <w:qFormat/>
    <w:rPr/>
  </w:style>
  <w:style w:type="character" w:styleId="FooterChar">
    <w:name w:val="Footer Char"/>
    <w:basedOn w:val="DefaultParagraphFont"/>
    <w:link w:val="Footer"/>
    <w:qFormat/>
    <w:rPr/>
  </w:style>
  <w:style w:type="character" w:styleId="Heading1Char">
    <w:name w:val="Heading 1 Char"/>
    <w:basedOn w:val="DefaultParagraphFont"/>
    <w:link w:val="Heading1"/>
    <w:qFormat/>
    <w:rPr>
      <w:rFonts w:ascii="Calibri" w:hAnsi="Calibri" w:eastAsia="ＭＳ ゴシック" w:cs="DejaVu Sans"/>
      <w:b/>
      <w:bCs/>
      <w:color w:themeColor="accent1" w:themeShade="bf" w:val="365F91"/>
      <w:sz w:val="28"/>
      <w:szCs w:val="28"/>
    </w:rPr>
  </w:style>
  <w:style w:type="character" w:styleId="Heading2Char">
    <w:name w:val="Heading 2 Char"/>
    <w:basedOn w:val="DefaultParagraphFont"/>
    <w:link w:val="Heading2"/>
    <w:qFormat/>
    <w:rPr>
      <w:rFonts w:ascii="Calibri" w:hAnsi="Calibri" w:eastAsia="ＭＳ ゴシック" w:cs="DejaVu Sans"/>
      <w:b/>
      <w:bCs/>
      <w:color w:themeColor="accent1" w:val="4F81BD"/>
      <w:sz w:val="26"/>
      <w:szCs w:val="26"/>
    </w:rPr>
  </w:style>
  <w:style w:type="character" w:styleId="Heading3Char">
    <w:name w:val="Heading 3 Char"/>
    <w:basedOn w:val="DefaultParagraphFont"/>
    <w:link w:val="Heading3"/>
    <w:qFormat/>
    <w:rPr>
      <w:rFonts w:ascii="Calibri" w:hAnsi="Calibri" w:eastAsia="ＭＳ ゴシック" w:cs="DejaVu Sans"/>
      <w:b/>
      <w:bCs/>
      <w:color w:themeColor="accent1" w:val="4F81BD"/>
    </w:rPr>
  </w:style>
  <w:style w:type="character" w:styleId="TitleChar">
    <w:name w:val="Title Char"/>
    <w:basedOn w:val="DefaultParagraphFont"/>
    <w:link w:val="Title"/>
    <w:qFormat/>
    <w:rPr>
      <w:rFonts w:ascii="Calibri" w:hAnsi="Calibri" w:eastAsia="ＭＳ ゴシック" w:cs="DejaVu Sans"/>
      <w:color w:themeColor="dark2" w:themeShade="bf" w:val="17365D"/>
      <w:spacing w:val="5"/>
      <w:kern w:val="2"/>
      <w:sz w:val="52"/>
      <w:szCs w:val="52"/>
    </w:rPr>
  </w:style>
  <w:style w:type="character" w:styleId="SubtitleChar">
    <w:name w:val="Subtitle Char"/>
    <w:basedOn w:val="DefaultParagraphFont"/>
    <w:link w:val="Subtitle"/>
    <w:qFormat/>
    <w:rPr>
      <w:rFonts w:ascii="Calibri" w:hAnsi="Calibri" w:eastAsia="ＭＳ ゴシック" w:cs="DejaVu Sans"/>
      <w:i/>
      <w:iCs/>
      <w:color w:themeColor="accent1" w:val="4F81BD"/>
      <w:spacing w:val="15"/>
      <w:sz w:val="24"/>
      <w:szCs w:val="24"/>
    </w:rPr>
  </w:style>
  <w:style w:type="character" w:styleId="BodyTextChar">
    <w:name w:val="Body Text Char"/>
    <w:basedOn w:val="DefaultParagraphFont"/>
    <w:qFormat/>
    <w:rPr/>
  </w:style>
  <w:style w:type="character" w:styleId="BodyText2Char">
    <w:name w:val="Body Text 2 Char"/>
    <w:basedOn w:val="DefaultParagraphFont"/>
    <w:link w:val="BodyText2"/>
    <w:qFormat/>
    <w:rPr/>
  </w:style>
  <w:style w:type="character" w:styleId="BodyText3Char">
    <w:name w:val="Body Text 3 Char"/>
    <w:basedOn w:val="DefaultParagraphFont"/>
    <w:link w:val="BodyText3"/>
    <w:qFormat/>
    <w:rPr>
      <w:sz w:val="16"/>
      <w:szCs w:val="16"/>
    </w:rPr>
  </w:style>
  <w:style w:type="character" w:styleId="MacroTextChar">
    <w:name w:val="Macro Text Char"/>
    <w:basedOn w:val="DefaultParagraphFont"/>
    <w:link w:val="MacroText"/>
    <w:qFormat/>
    <w:rPr>
      <w:rFonts w:ascii="Courier" w:hAnsi="Courier"/>
      <w:sz w:val="20"/>
      <w:szCs w:val="20"/>
    </w:rPr>
  </w:style>
  <w:style w:type="character" w:styleId="QuoteChar">
    <w:name w:val="Quote Char"/>
    <w:basedOn w:val="DefaultParagraphFont"/>
    <w:link w:val="Quote"/>
    <w:qFormat/>
    <w:rPr>
      <w:i/>
      <w:iCs/>
      <w:color w:themeColor="dark1" w:val="000000"/>
    </w:rPr>
  </w:style>
  <w:style w:type="character" w:styleId="Heading4Char">
    <w:name w:val="Heading 4 Char"/>
    <w:basedOn w:val="DefaultParagraphFont"/>
    <w:link w:val="Heading4"/>
    <w:qFormat/>
    <w:rPr>
      <w:rFonts w:ascii="Calibri" w:hAnsi="Calibri" w:eastAsia="ＭＳ ゴシック" w:cs="DejaVu Sans"/>
      <w:b/>
      <w:bCs/>
      <w:i/>
      <w:iCs/>
      <w:color w:themeColor="accent1" w:val="4F81BD"/>
    </w:rPr>
  </w:style>
  <w:style w:type="character" w:styleId="Heading5Char">
    <w:name w:val="Heading 5 Char"/>
    <w:basedOn w:val="DefaultParagraphFont"/>
    <w:link w:val="Heading5"/>
    <w:qFormat/>
    <w:rPr>
      <w:rFonts w:ascii="Calibri" w:hAnsi="Calibri" w:eastAsia="ＭＳ ゴシック" w:cs="DejaVu Sans"/>
      <w:color w:themeColor="accent1" w:themeShade="7f" w:val="243F60"/>
    </w:rPr>
  </w:style>
  <w:style w:type="character" w:styleId="Heading6Char">
    <w:name w:val="Heading 6 Char"/>
    <w:basedOn w:val="DefaultParagraphFont"/>
    <w:link w:val="Heading6"/>
    <w:qFormat/>
    <w:rPr>
      <w:rFonts w:ascii="Calibri" w:hAnsi="Calibri" w:eastAsia="ＭＳ ゴシック" w:cs="DejaVu Sans"/>
      <w:i/>
      <w:iCs/>
      <w:color w:themeColor="accent1" w:themeShade="7f" w:val="243F60"/>
    </w:rPr>
  </w:style>
  <w:style w:type="character" w:styleId="Heading7Char">
    <w:name w:val="Heading 7 Char"/>
    <w:basedOn w:val="DefaultParagraphFont"/>
    <w:link w:val="Heading7"/>
    <w:qFormat/>
    <w:rPr>
      <w:rFonts w:ascii="Calibri" w:hAnsi="Calibri" w:eastAsia="ＭＳ ゴシック" w:cs="DejaVu Sans"/>
      <w:i/>
      <w:iCs/>
      <w:color w:themeColor="dark1" w:themeTint="bf" w:val="404040"/>
    </w:rPr>
  </w:style>
  <w:style w:type="character" w:styleId="Heading8Char">
    <w:name w:val="Heading 8 Char"/>
    <w:basedOn w:val="DefaultParagraphFont"/>
    <w:link w:val="Heading8"/>
    <w:qFormat/>
    <w:rPr>
      <w:rFonts w:ascii="Calibri" w:hAnsi="Calibri" w:eastAsia="ＭＳ ゴシック" w:cs="DejaVu Sans"/>
      <w:color w:themeColor="accent1" w:val="4F81BD"/>
      <w:sz w:val="20"/>
      <w:szCs w:val="20"/>
    </w:rPr>
  </w:style>
  <w:style w:type="character" w:styleId="Heading9Char">
    <w:name w:val="Heading 9 Char"/>
    <w:basedOn w:val="DefaultParagraphFont"/>
    <w:link w:val="Heading9"/>
    <w:qFormat/>
    <w:rPr>
      <w:rFonts w:ascii="Calibri" w:hAnsi="Calibri" w:eastAsia="ＭＳ ゴシック" w:cs="DejaVu Sans"/>
      <w:i/>
      <w:iCs/>
      <w:color w:themeColor="dark1" w:themeTint="bf" w:val="404040"/>
      <w:sz w:val="20"/>
      <w:szCs w:val="20"/>
    </w:rPr>
  </w:style>
  <w:style w:type="character" w:styleId="Strong">
    <w:name w:val="Strong"/>
    <w:basedOn w:val="DefaultParagraphFont"/>
    <w:qFormat/>
    <w:rPr>
      <w:b/>
      <w:bCs/>
    </w:rPr>
  </w:style>
  <w:style w:type="character" w:styleId="Emphasis">
    <w:name w:val="Emphasis"/>
    <w:basedOn w:val="DefaultParagraphFont"/>
    <w:qFormat/>
    <w:rPr>
      <w:i/>
      <w:iCs/>
    </w:rPr>
  </w:style>
  <w:style w:type="character" w:styleId="IntenseQuoteChar">
    <w:name w:val="Intense Quote Char"/>
    <w:basedOn w:val="DefaultParagraphFont"/>
    <w:link w:val="IntenseQuote"/>
    <w:qFormat/>
    <w:rPr>
      <w:b/>
      <w:bCs/>
      <w:i/>
      <w:iCs/>
      <w:color w:themeColor="accent1" w:val="4F81BD"/>
    </w:rPr>
  </w:style>
  <w:style w:type="character" w:styleId="SubtleEmphasis">
    <w:name w:val="Subtle Emphasis"/>
    <w:basedOn w:val="DefaultParagraphFont"/>
    <w:qFormat/>
    <w:rPr>
      <w:i/>
      <w:iCs/>
      <w:color w:themeColor="dark1" w:themeTint="7f" w:val="808080"/>
    </w:rPr>
  </w:style>
  <w:style w:type="character" w:styleId="IntenseEmphasis">
    <w:name w:val="Intense Emphasis"/>
    <w:basedOn w:val="DefaultParagraphFont"/>
    <w:qFormat/>
    <w:rPr>
      <w:b/>
      <w:bCs/>
      <w:i/>
      <w:iCs/>
      <w:color w:themeColor="accent1" w:val="4F81BD"/>
    </w:rPr>
  </w:style>
  <w:style w:type="character" w:styleId="SubtleReference">
    <w:name w:val="Subtle Reference"/>
    <w:basedOn w:val="DefaultParagraphFont"/>
    <w:qFormat/>
    <w:rPr>
      <w:smallCaps/>
      <w:color w:themeColor="accent2" w:val="C0504D"/>
      <w:u w:val="single"/>
    </w:rPr>
  </w:style>
  <w:style w:type="character" w:styleId="IntenseReference">
    <w:name w:val="Intense Reference"/>
    <w:basedOn w:val="DefaultParagraphFont"/>
    <w:qFormat/>
    <w:rPr>
      <w:b/>
      <w:bCs/>
      <w:smallCaps/>
      <w:color w:themeColor="accent2" w:val="C0504D"/>
      <w:spacing w:val="5"/>
      <w:u w:val="single"/>
    </w:rPr>
  </w:style>
  <w:style w:type="character" w:styleId="BookTitle">
    <w:name w:val="Book Title"/>
    <w:basedOn w:val="DefaultParagraphFont"/>
    <w:qFormat/>
    <w:rPr>
      <w:b/>
      <w:bCs/>
      <w:smallCaps/>
      <w:spacing w:val="5"/>
    </w:rPr>
  </w:style>
  <w:style w:type="character" w:styleId="CommentReference">
    <w:name w:val="Comment Reference"/>
    <w:basedOn w:val="DefaultParagraphFont"/>
    <w:qFormat/>
    <w:rPr>
      <w:sz w:val="16"/>
      <w:szCs w:val="16"/>
    </w:rPr>
  </w:style>
  <w:style w:type="character" w:styleId="CommentTextChar">
    <w:name w:val="Comment Text Char"/>
    <w:basedOn w:val="DefaultParagraphFont"/>
    <w:link w:val="CommentText"/>
    <w:qFormat/>
    <w:rPr>
      <w:rFonts w:ascii="Aptos" w:hAnsi="Aptos"/>
      <w:sz w:val="20"/>
      <w:szCs w:val="20"/>
    </w:rPr>
  </w:style>
  <w:style w:type="character" w:styleId="CommentSubjectChar">
    <w:name w:val="Comment Subject Char"/>
    <w:basedOn w:val="CommentTextChar"/>
    <w:link w:val="CommentSubject"/>
    <w:qFormat/>
    <w:rPr>
      <w:rFonts w:ascii="Aptos" w:hAnsi="Aptos"/>
      <w:b/>
      <w:bCs/>
      <w:sz w:val="20"/>
      <w:szCs w:val="20"/>
    </w:rPr>
  </w:style>
  <w:style w:type="paragraph" w:styleId="Heading">
    <w:name w:val="Heading"/>
    <w:basedOn w:val="Normal"/>
    <w:next w:val="BodyText"/>
    <w:qFormat/>
    <w:pPr>
      <w:keepNext w:val="true"/>
      <w:spacing w:before="240" w:after="120"/>
    </w:pPr>
    <w:rPr>
      <w:rFonts w:ascii="Liberation Sans" w:hAnsi="Liberation Sans" w:eastAsia="Noto Sans" w:cs="Noto Sans"/>
      <w:sz w:val="28"/>
      <w:szCs w:val="28"/>
    </w:rPr>
  </w:style>
  <w:style w:type="paragraph" w:styleId="BodyText">
    <w:name w:val="Body Text"/>
    <w:basedOn w:val="Normal"/>
    <w:link w:val="BodyTextChar"/>
    <w:pPr>
      <w:spacing w:before="0" w:after="120"/>
    </w:pPr>
    <w:rPr/>
  </w:style>
  <w:style w:type="paragraph" w:styleId="List">
    <w:name w:val="List"/>
    <w:basedOn w:val="Normal"/>
    <w:pPr>
      <w:spacing w:before="0" w:after="80"/>
      <w:ind w:hanging="360" w:start="360"/>
      <w:contextualSpacing/>
    </w:pPr>
    <w:rPr/>
  </w:style>
  <w:style w:type="paragraph" w:styleId="Caption">
    <w:name w:val="caption"/>
    <w:basedOn w:val="Normal"/>
    <w:next w:val="Normal"/>
    <w:qFormat/>
    <w:pPr>
      <w:spacing w:lineRule="auto" w:line="240"/>
    </w:pPr>
    <w:rPr>
      <w:b/>
      <w:bCs/>
      <w:color w:themeColor="accent1" w:val="4F81BD"/>
      <w:szCs w:val="18"/>
    </w:rPr>
  </w:style>
  <w:style w:type="paragraph" w:styleId="Index">
    <w:name w:val="Index"/>
    <w:basedOn w:val="Normal"/>
    <w:qFormat/>
    <w:pPr>
      <w:suppressLineNumbers/>
    </w:pPr>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680" w:leader="none"/>
        <w:tab w:val="right" w:pos="9360" w:leader="none"/>
      </w:tabs>
      <w:spacing w:lineRule="auto" w:line="240" w:before="0" w:after="0"/>
    </w:pPr>
    <w:rPr/>
  </w:style>
  <w:style w:type="paragraph" w:styleId="Footer">
    <w:name w:val="footer"/>
    <w:basedOn w:val="Normal"/>
    <w:link w:val="FooterChar"/>
    <w:pPr>
      <w:tabs>
        <w:tab w:val="clear" w:pos="720"/>
        <w:tab w:val="center" w:pos="4680" w:leader="none"/>
        <w:tab w:val="right" w:pos="9360" w:leader="none"/>
      </w:tabs>
      <w:spacing w:lineRule="auto" w:line="240" w:before="0" w:after="0"/>
    </w:pPr>
    <w:rPr/>
  </w:style>
  <w:style w:type="paragraph" w:styleId="NoSpacing">
    <w:name w:val="No Spacing"/>
    <w:qFormat/>
    <w:pPr>
      <w:widowControl/>
      <w:kinsoku w:val="true"/>
      <w:overflowPunct w:val="true"/>
      <w:autoSpaceDE w:val="true"/>
      <w:bidi w:val="0"/>
      <w:spacing w:lineRule="auto" w:line="240" w:before="0" w:after="0"/>
      <w:jc w:val="start"/>
    </w:pPr>
    <w:rPr>
      <w:rFonts w:ascii="Cambria" w:hAnsi="Cambria" w:eastAsia="ＭＳ 明朝"/>
      <w:color w:val="auto"/>
      <w:kern w:val="0"/>
      <w:sz w:val="22"/>
      <w:szCs w:val="22"/>
      <w:lang w:val="en-US" w:eastAsia="en-US" w:bidi="ar-SA"/>
    </w:rPr>
  </w:style>
  <w:style w:type="paragraph" w:styleId="Title">
    <w:name w:val="Title"/>
    <w:basedOn w:val="Normal"/>
    <w:next w:val="Normal"/>
    <w:link w:val="TitleChar"/>
    <w:qFormat/>
    <w:pPr>
      <w:pBdr>
        <w:bottom w:val="single" w:sz="8" w:space="4" w:color="4F81BD"/>
      </w:pBdr>
      <w:spacing w:lineRule="auto" w:line="240" w:before="0" w:after="300"/>
      <w:contextualSpacing/>
    </w:pPr>
    <w:rPr>
      <w:rFonts w:ascii="Calibri" w:hAnsi="Calibri" w:eastAsia="ＭＳ ゴシック" w:cs="DejaVu Sans"/>
      <w:color w:themeColor="dark2" w:themeShade="bf" w:val="17365D"/>
      <w:spacing w:val="5"/>
      <w:kern w:val="2"/>
      <w:sz w:val="52"/>
      <w:szCs w:val="52"/>
    </w:rPr>
  </w:style>
  <w:style w:type="paragraph" w:styleId="Subtitle">
    <w:name w:val="Subtitle"/>
    <w:basedOn w:val="Normal"/>
    <w:next w:val="Normal"/>
    <w:link w:val="SubtitleChar"/>
    <w:qFormat/>
    <w:pPr/>
    <w:rPr>
      <w:rFonts w:ascii="Calibri" w:hAnsi="Calibri" w:eastAsia="ＭＳ ゴシック" w:cs="DejaVu Sans"/>
      <w:i/>
      <w:iCs/>
      <w:color w:themeColor="accent1" w:val="4F81BD"/>
      <w:spacing w:val="15"/>
      <w:sz w:val="24"/>
      <w:szCs w:val="24"/>
    </w:rPr>
  </w:style>
  <w:style w:type="paragraph" w:styleId="ListParagraph">
    <w:name w:val="List Paragraph"/>
    <w:basedOn w:val="Normal"/>
    <w:qFormat/>
    <w:pPr>
      <w:spacing w:before="0" w:after="80"/>
      <w:ind w:start="720"/>
      <w:contextualSpacing/>
    </w:pPr>
    <w:rPr/>
  </w:style>
  <w:style w:type="paragraph" w:styleId="BodyText2">
    <w:name w:val="Body Text 2"/>
    <w:basedOn w:val="Normal"/>
    <w:link w:val="BodyText2Char"/>
    <w:qFormat/>
    <w:pPr>
      <w:spacing w:lineRule="auto" w:line="480" w:before="0" w:after="120"/>
    </w:pPr>
    <w:rPr/>
  </w:style>
  <w:style w:type="paragraph" w:styleId="BodyText3">
    <w:name w:val="Body Text 3"/>
    <w:basedOn w:val="Normal"/>
    <w:link w:val="BodyText3Char"/>
    <w:qFormat/>
    <w:pPr>
      <w:spacing w:before="0" w:after="120"/>
    </w:pPr>
    <w:rPr>
      <w:sz w:val="16"/>
      <w:szCs w:val="16"/>
    </w:rPr>
  </w:style>
  <w:style w:type="paragraph" w:styleId="List2">
    <w:name w:val="List 2"/>
    <w:basedOn w:val="Normal"/>
    <w:qFormat/>
    <w:pPr>
      <w:spacing w:before="0" w:after="80"/>
      <w:ind w:hanging="360" w:start="720"/>
      <w:contextualSpacing/>
    </w:pPr>
    <w:rPr/>
  </w:style>
  <w:style w:type="paragraph" w:styleId="List3">
    <w:name w:val="List 3"/>
    <w:basedOn w:val="Normal"/>
    <w:qFormat/>
    <w:pPr>
      <w:spacing w:before="0" w:after="80"/>
      <w:ind w:hanging="360" w:start="1080"/>
      <w:contextualSpacing/>
    </w:pPr>
    <w:rPr/>
  </w:style>
  <w:style w:type="paragraph" w:styleId="ListBullet">
    <w:name w:val="List Bullet"/>
    <w:basedOn w:val="Normal"/>
    <w:pPr>
      <w:numPr>
        <w:ilvl w:val="0"/>
        <w:numId w:val="2"/>
      </w:numPr>
      <w:spacing w:before="0" w:after="80"/>
      <w:contextualSpacing/>
    </w:pPr>
    <w:rPr/>
  </w:style>
  <w:style w:type="paragraph" w:styleId="ListBullet2">
    <w:name w:val="List Bullet 2"/>
    <w:basedOn w:val="Normal"/>
    <w:pPr>
      <w:numPr>
        <w:ilvl w:val="0"/>
        <w:numId w:val="3"/>
      </w:numPr>
      <w:spacing w:before="0" w:after="80"/>
      <w:contextualSpacing/>
    </w:pPr>
    <w:rPr/>
  </w:style>
  <w:style w:type="paragraph" w:styleId="ListBullet3">
    <w:name w:val="List Bullet 3"/>
    <w:basedOn w:val="Normal"/>
    <w:pPr>
      <w:numPr>
        <w:ilvl w:val="0"/>
        <w:numId w:val="4"/>
      </w:numPr>
      <w:spacing w:before="0" w:after="80"/>
      <w:contextualSpacing/>
    </w:pPr>
    <w:rPr/>
  </w:style>
  <w:style w:type="paragraph" w:styleId="ListNumber">
    <w:name w:val="List Number"/>
    <w:basedOn w:val="Normal"/>
    <w:pPr>
      <w:numPr>
        <w:ilvl w:val="0"/>
        <w:numId w:val="5"/>
      </w:numPr>
      <w:spacing w:before="0" w:after="80"/>
      <w:contextualSpacing/>
    </w:pPr>
    <w:rPr/>
  </w:style>
  <w:style w:type="paragraph" w:styleId="ListNumber2">
    <w:name w:val="List Number 2"/>
    <w:basedOn w:val="Normal"/>
    <w:pPr>
      <w:numPr>
        <w:ilvl w:val="0"/>
        <w:numId w:val="6"/>
      </w:numPr>
      <w:spacing w:before="0" w:after="80"/>
      <w:contextualSpacing/>
    </w:pPr>
    <w:rPr/>
  </w:style>
  <w:style w:type="paragraph" w:styleId="ListNumber3">
    <w:name w:val="List Number 3"/>
    <w:basedOn w:val="Normal"/>
    <w:pPr>
      <w:numPr>
        <w:ilvl w:val="0"/>
        <w:numId w:val="7"/>
      </w:numPr>
      <w:spacing w:before="0" w:after="80"/>
      <w:contextualSpacing/>
    </w:pPr>
    <w:rPr/>
  </w:style>
  <w:style w:type="paragraph" w:styleId="ListContinue">
    <w:name w:val="List Continue"/>
    <w:basedOn w:val="Normal"/>
    <w:pPr>
      <w:spacing w:before="0" w:after="120"/>
      <w:ind w:start="360"/>
      <w:contextualSpacing/>
    </w:pPr>
    <w:rPr/>
  </w:style>
  <w:style w:type="paragraph" w:styleId="ListContinue2">
    <w:name w:val="List Continue 2"/>
    <w:basedOn w:val="Normal"/>
    <w:pPr>
      <w:spacing w:before="0" w:after="120"/>
      <w:ind w:start="720"/>
      <w:contextualSpacing/>
    </w:pPr>
    <w:rPr/>
  </w:style>
  <w:style w:type="paragraph" w:styleId="ListContinue3">
    <w:name w:val="List Continue 3"/>
    <w:basedOn w:val="Normal"/>
    <w:pPr>
      <w:spacing w:before="0" w:after="120"/>
      <w:ind w:start="1080"/>
      <w:contextualSpacing/>
    </w:pPr>
    <w:rPr/>
  </w:style>
  <w:style w:type="paragraph" w:styleId="MacroText">
    <w:name w:val="macro"/>
    <w:link w:val="MacroTextChar"/>
    <w:qFormat/>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kinsoku w:val="true"/>
      <w:overflowPunct w:val="true"/>
      <w:autoSpaceDE w:val="true"/>
      <w:bidi w:val="0"/>
      <w:spacing w:lineRule="auto" w:line="276" w:before="0" w:after="200"/>
      <w:jc w:val="start"/>
    </w:pPr>
    <w:rPr>
      <w:rFonts w:ascii="Courier" w:hAnsi="Courier" w:eastAsia="ＭＳ 明朝"/>
      <w:color w:val="auto"/>
      <w:kern w:val="0"/>
      <w:sz w:val="20"/>
      <w:szCs w:val="20"/>
      <w:lang w:val="en-US" w:eastAsia="en-US" w:bidi="ar-SA"/>
    </w:rPr>
  </w:style>
  <w:style w:type="paragraph" w:styleId="Quote">
    <w:name w:val="Quote"/>
    <w:basedOn w:val="Normal"/>
    <w:next w:val="Normal"/>
    <w:link w:val="QuoteChar"/>
    <w:qFormat/>
    <w:pPr/>
    <w:rPr>
      <w:i/>
      <w:iCs/>
      <w:color w:themeColor="dark1" w:val="000000"/>
    </w:rPr>
  </w:style>
  <w:style w:type="paragraph" w:styleId="IntenseQuote">
    <w:name w:val="Intense Quote"/>
    <w:basedOn w:val="Normal"/>
    <w:next w:val="Normal"/>
    <w:link w:val="IntenseQuoteChar"/>
    <w:qFormat/>
    <w:pPr>
      <w:pBdr>
        <w:bottom w:val="single" w:sz="4" w:space="4" w:color="4F81BD"/>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qFormat/>
    <w:pPr>
      <w:outlineLvl w:val="9"/>
    </w:pPr>
    <w:rPr/>
  </w:style>
  <w:style w:type="paragraph" w:styleId="TitleX">
    <w:name w:val="TitleX"/>
    <w:qFormat/>
    <w:pPr>
      <w:widowControl/>
      <w:kinsoku w:val="true"/>
      <w:overflowPunct w:val="true"/>
      <w:autoSpaceDE w:val="true"/>
      <w:bidi w:val="0"/>
      <w:spacing w:lineRule="auto" w:line="276" w:before="0" w:after="80"/>
      <w:jc w:val="start"/>
    </w:pPr>
    <w:rPr>
      <w:rFonts w:ascii="Aptos" w:hAnsi="Aptos" w:eastAsia="ＭＳ 明朝"/>
      <w:b/>
      <w:color w:val="0C1E2D"/>
      <w:kern w:val="0"/>
      <w:sz w:val="54"/>
      <w:szCs w:val="22"/>
      <w:lang w:val="en-US" w:eastAsia="en-US" w:bidi="ar-SA"/>
    </w:rPr>
  </w:style>
  <w:style w:type="paragraph" w:styleId="SubtitleX">
    <w:name w:val="SubtitleX"/>
    <w:qFormat/>
    <w:pPr>
      <w:widowControl/>
      <w:kinsoku w:val="true"/>
      <w:overflowPunct w:val="true"/>
      <w:autoSpaceDE w:val="true"/>
      <w:bidi w:val="0"/>
      <w:spacing w:lineRule="auto" w:line="276" w:before="0" w:after="80"/>
      <w:jc w:val="start"/>
    </w:pPr>
    <w:rPr>
      <w:rFonts w:ascii="Aptos" w:hAnsi="Aptos" w:eastAsia="ＭＳ 明朝"/>
      <w:b/>
      <w:color w:val="1F5A88"/>
      <w:kern w:val="0"/>
      <w:sz w:val="30"/>
      <w:szCs w:val="22"/>
      <w:lang w:val="en-US" w:eastAsia="en-US" w:bidi="ar-SA"/>
    </w:rPr>
  </w:style>
  <w:style w:type="paragraph" w:styleId="SmallX">
    <w:name w:val="SmallX"/>
    <w:qFormat/>
    <w:pPr>
      <w:widowControl/>
      <w:kinsoku w:val="true"/>
      <w:overflowPunct w:val="true"/>
      <w:autoSpaceDE w:val="true"/>
      <w:bidi w:val="0"/>
      <w:spacing w:lineRule="auto" w:line="276" w:before="0" w:after="80"/>
      <w:jc w:val="start"/>
    </w:pPr>
    <w:rPr>
      <w:rFonts w:ascii="Aptos" w:hAnsi="Aptos" w:eastAsia="ＭＳ 明朝"/>
      <w:color w:val="5A6570"/>
      <w:kern w:val="0"/>
      <w:sz w:val="16"/>
      <w:szCs w:val="22"/>
      <w:lang w:val="en-US" w:eastAsia="en-US" w:bidi="ar-SA"/>
    </w:rPr>
  </w:style>
  <w:style w:type="paragraph" w:styleId="CalloutX">
    <w:name w:val="CalloutX"/>
    <w:qFormat/>
    <w:pPr>
      <w:widowControl/>
      <w:kinsoku w:val="true"/>
      <w:overflowPunct w:val="true"/>
      <w:autoSpaceDE w:val="true"/>
      <w:bidi w:val="0"/>
      <w:spacing w:lineRule="auto" w:line="276" w:before="0" w:after="80"/>
      <w:jc w:val="start"/>
    </w:pPr>
    <w:rPr>
      <w:rFonts w:ascii="Aptos" w:hAnsi="Aptos" w:eastAsia="ＭＳ 明朝"/>
      <w:b/>
      <w:color w:val="0C1E2D"/>
      <w:kern w:val="0"/>
      <w:sz w:val="20"/>
      <w:szCs w:val="22"/>
      <w:lang w:val="en-US" w:eastAsia="en-US" w:bidi="ar-SA"/>
    </w:rPr>
  </w:style>
  <w:style w:type="paragraph" w:styleId="CommentText">
    <w:name w:val="Comment Text"/>
    <w:basedOn w:val="Normal"/>
    <w:link w:val="CommentTextChar"/>
    <w:qFormat/>
    <w:pPr>
      <w:spacing w:lineRule="auto" w:line="240"/>
    </w:pPr>
    <w:rPr>
      <w:sz w:val="20"/>
      <w:szCs w:val="20"/>
    </w:rPr>
  </w:style>
  <w:style w:type="paragraph" w:styleId="CommentSubject">
    <w:name w:val="Comment Subject"/>
    <w:basedOn w:val="CommentText"/>
    <w:next w:val="CommentText"/>
    <w:link w:val="CommentSubjectChar"/>
    <w:qFormat/>
    <w:pPr/>
    <w:rPr>
      <w:b/>
      <w:bCs/>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er" Target="footer1.xml"/><Relationship Id="rId7" Type="http://schemas.openxmlformats.org/officeDocument/2006/relationships/theme" Target="theme/theme1.xml"/><Relationship Id="rId2" Type="http://schemas.openxmlformats.org/officeDocument/2006/relationships/header" Target="header1.xml"/><Relationship Id="rId1" Type="http://schemas.openxmlformats.org/officeDocument/2006/relationships/styles" Target="styles.xml"/><Relationship Id="rId6" Type="http://schemas.openxmlformats.org/officeDocument/2006/relationships/settings" Target="settings.xml"/><Relationship Id="rId5" Type="http://schemas.openxmlformats.org/officeDocument/2006/relationships/fontTable" Target="fontTable.xml"/><Relationship Id="rId10" Type="http://schemas.openxmlformats.org/officeDocument/2006/relationships/customXml" Target="../customXml/item3.xml"/><Relationship Id="rId4" Type="http://schemas.openxmlformats.org/officeDocument/2006/relationships/numbering" Target="numbering.xml"/><Relationship Id="rId9" Type="http://schemas.openxmlformats.org/officeDocument/2006/relationships/customXml" Target="../customXml/item2.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15D1156AF89E94CB4E0E819A4FFFAAD" ma:contentTypeVersion="10" ma:contentTypeDescription="Create a new document." ma:contentTypeScope="" ma:versionID="61872c4fbe53fcdd153f909cd790dd28">
  <xsd:schema xmlns:xsd="http://www.w3.org/2001/XMLSchema" xmlns:xs="http://www.w3.org/2001/XMLSchema" xmlns:p="http://schemas.microsoft.com/office/2006/metadata/properties" xmlns:ns2="57566b0b-71de-458e-9f2e-9e8b3d616881" targetNamespace="http://schemas.microsoft.com/office/2006/metadata/properties" ma:root="true" ma:fieldsID="11e0f8d1eec925045bf0dcf8a49d40ae" ns2:_="">
    <xsd:import namespace="57566b0b-71de-458e-9f2e-9e8b3d61688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566b0b-71de-458e-9f2e-9e8b3d6168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e324c80-68f0-4eca-84bf-9f08e60561c0"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7566b0b-71de-458e-9f2e-9e8b3d616881">
      <Terms xmlns="http://schemas.microsoft.com/office/infopath/2007/PartnerControls"/>
    </lcf76f155ced4ddcb4097134ff3c332f>
    <MediaLengthInSeconds xmlns="57566b0b-71de-458e-9f2e-9e8b3d616881" xsi:nil="true"/>
  </documentManagement>
</p:properties>
</file>

<file path=customXml/itemProps1.xml><?xml version="1.0" encoding="utf-8"?>
<ds:datastoreItem xmlns:ds="http://schemas.openxmlformats.org/officeDocument/2006/customXml" ds:itemID="{AE380917-99B5-441E-873F-8AFBC5F49AD8}"/>
</file>

<file path=customXml/itemProps2.xml><?xml version="1.0" encoding="utf-8"?>
<ds:datastoreItem xmlns:ds="http://schemas.openxmlformats.org/officeDocument/2006/customXml" ds:itemID="{4584576E-2BA9-4BAE-A85A-4E80A8E357EE}"/>
</file>

<file path=customXml/itemProps3.xml><?xml version="1.0" encoding="utf-8"?>
<ds:datastoreItem xmlns:ds="http://schemas.openxmlformats.org/officeDocument/2006/customXml" ds:itemID="{CCC67272-EFE4-4683-B7D2-F3073D69DF50}"/>
</file>

<file path=docProps/app.xml><?xml version="1.0" encoding="utf-8"?>
<Properties xmlns="http://schemas.openxmlformats.org/officeDocument/2006/extended-properties" xmlns:vt="http://schemas.openxmlformats.org/officeDocument/2006/docPropsVTypes">
  <Template>Normal.dotm</Template>
  <TotalTime>0</TotalTime>
  <Application>LibreOfficeDev/26.8.0.0.alpha0$Linux_X86_64 LibreOffice_project/2c87e51eeaa2b413ff4ae097b2705eea1995d8e5</Application>
  <AppVersion>15.0000</AppVersion>
  <Pages>22</Pages>
  <Words>5930</Words>
  <Characters>38734</Characters>
  <CharactersWithSpaces>43564</CharactersWithSpaces>
  <Paragraphs>1048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VECV MDM and FERT Governance Functional Solution Design - Deep-Dive Integrated</dc:title>
  <dc:subject>Detailed current challenges and solution design for FERT governance and MDM</dc:subject>
  <dc:creator>VECV S&amp;OP MDM / FERT Governance Workstream</dc:creator>
  <cp:keywords>VECV S&amp;OP MDM FERT Governance Functional Solution Design</cp:keywords>
  <dc:description>generated by python-docx</dc:description>
  <cp:lastModifiedBy>chauhans.aditya</cp:lastModifiedBy>
  <cp:revision>5</cp:revision>
  <dcterms:created xsi:type="dcterms:W3CDTF">2026-07-14T18:50:00Z</dcterms:created>
  <dcterms:modified xsi:type="dcterms:W3CDTF">2026-07-15T03:41:00Z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0x010100915D1156AF89E94CB4E0E819A4FFFAAD</vt:lpwstr>
  </property>
  <property fmtid="{D5CDD505-2E9C-101B-9397-08002B2CF9AE}" pid="3" name="MediaServiceImageTags">
    <vt:lpwstr/>
  </property>
  <property fmtid="{D5CDD505-2E9C-101B-9397-08002B2CF9AE}" pid="4" name="Order">
    <vt:r8>24700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