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6" Type="http://schemas.microsoft.com/office/2020/02/relationships/classificationlabels" Target="docMetadata/LabelInfo.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D3FBEB" w14:textId="77777777" w:rsidR="002E1600" w:rsidRDefault="00705E80">
      <w:pPr>
        <w:pStyle w:val="Title"/>
      </w:pPr>
      <w:r>
        <w:t>VECV S&amp;OP Transformation</w:t>
      </w:r>
    </w:p>
    <w:p w14:paraId="638FA45D" w14:textId="77777777" w:rsidR="002E1600" w:rsidRDefault="00705E80">
      <w:r>
        <w:rPr>
          <w:b/>
          <w:color w:val="0B2545"/>
          <w:sz w:val="36"/>
        </w:rPr>
        <w:t>EDD Supply Planning Workbench</w:t>
      </w:r>
    </w:p>
    <w:p w14:paraId="421CB26D" w14:textId="77777777" w:rsidR="002E1600" w:rsidRDefault="00705E80">
      <w:r>
        <w:rPr>
          <w:i/>
          <w:color w:val="5A6E82"/>
          <w:sz w:val="22"/>
        </w:rPr>
        <w:t>Functional Specification Design Document Phase 0</w:t>
      </w:r>
    </w:p>
    <w:p w14:paraId="672A6659" w14:textId="77777777" w:rsidR="002E1600" w:rsidRDefault="002E1600"/>
    <w:tbl>
      <w:tblPr>
        <w:tblStyle w:val="TableGrid"/>
        <w:tblW w:w="0" w:type="auto"/>
        <w:jc w:val="center"/>
        <w:tblLook w:val="04A0" w:firstRow="1" w:lastRow="0" w:firstColumn="1" w:lastColumn="0" w:noHBand="0" w:noVBand="1"/>
      </w:tblPr>
      <w:tblGrid>
        <w:gridCol w:w="3024"/>
        <w:gridCol w:w="6912"/>
      </w:tblGrid>
      <w:tr w:rsidR="002E1600" w14:paraId="183492C7" w14:textId="77777777">
        <w:trPr>
          <w:jc w:val="center"/>
        </w:trPr>
        <w:tc>
          <w:tcPr>
            <w:tcW w:w="3024" w:type="dxa"/>
            <w:tcBorders>
              <w:top w:val="single" w:sz="4" w:space="0" w:color="D9E2EC"/>
              <w:left w:val="single" w:sz="4" w:space="0" w:color="D9E2EC"/>
              <w:bottom w:val="single" w:sz="4" w:space="0" w:color="D9E2EC"/>
              <w:right w:val="single" w:sz="4" w:space="0" w:color="D9E2EC"/>
            </w:tcBorders>
            <w:shd w:val="clear" w:color="auto" w:fill="0B2545"/>
            <w:vAlign w:val="center"/>
          </w:tcPr>
          <w:p w14:paraId="02EE4ABC" w14:textId="77777777" w:rsidR="002E1600" w:rsidRDefault="00705E80">
            <w:r>
              <w:rPr>
                <w:b/>
                <w:color w:val="FFFFFF"/>
                <w:sz w:val="18"/>
              </w:rPr>
              <w:t>Document property</w:t>
            </w:r>
          </w:p>
        </w:tc>
        <w:tc>
          <w:tcPr>
            <w:tcW w:w="6912" w:type="dxa"/>
            <w:tcBorders>
              <w:top w:val="single" w:sz="4" w:space="0" w:color="D9E2EC"/>
              <w:left w:val="single" w:sz="4" w:space="0" w:color="D9E2EC"/>
              <w:bottom w:val="single" w:sz="4" w:space="0" w:color="D9E2EC"/>
              <w:right w:val="single" w:sz="4" w:space="0" w:color="D9E2EC"/>
            </w:tcBorders>
            <w:shd w:val="clear" w:color="auto" w:fill="0B2545"/>
            <w:vAlign w:val="center"/>
          </w:tcPr>
          <w:p w14:paraId="6D3D45CB" w14:textId="77777777" w:rsidR="002E1600" w:rsidRDefault="00705E80">
            <w:r>
              <w:rPr>
                <w:b/>
                <w:color w:val="FFFFFF"/>
                <w:sz w:val="18"/>
              </w:rPr>
              <w:t>Value</w:t>
            </w:r>
          </w:p>
        </w:tc>
      </w:tr>
      <w:tr w:rsidR="002E1600" w14:paraId="1006F388" w14:textId="77777777">
        <w:trPr>
          <w:jc w:val="center"/>
        </w:trPr>
        <w:tc>
          <w:tcPr>
            <w:tcW w:w="3024" w:type="dxa"/>
            <w:tcBorders>
              <w:top w:val="single" w:sz="4" w:space="0" w:color="D9E2EC"/>
              <w:left w:val="single" w:sz="4" w:space="0" w:color="D9E2EC"/>
              <w:bottom w:val="single" w:sz="4" w:space="0" w:color="D9E2EC"/>
              <w:right w:val="single" w:sz="4" w:space="0" w:color="D9E2EC"/>
            </w:tcBorders>
            <w:vAlign w:val="center"/>
          </w:tcPr>
          <w:p w14:paraId="7AF3C9F3" w14:textId="77777777" w:rsidR="002E1600" w:rsidRDefault="00705E80">
            <w:r>
              <w:rPr>
                <w:sz w:val="18"/>
              </w:rPr>
              <w:t>Document title</w:t>
            </w:r>
          </w:p>
        </w:tc>
        <w:tc>
          <w:tcPr>
            <w:tcW w:w="6912" w:type="dxa"/>
            <w:tcBorders>
              <w:top w:val="single" w:sz="4" w:space="0" w:color="D9E2EC"/>
              <w:left w:val="single" w:sz="4" w:space="0" w:color="D9E2EC"/>
              <w:bottom w:val="single" w:sz="4" w:space="0" w:color="D9E2EC"/>
              <w:right w:val="single" w:sz="4" w:space="0" w:color="D9E2EC"/>
            </w:tcBorders>
            <w:vAlign w:val="center"/>
          </w:tcPr>
          <w:p w14:paraId="268063E6" w14:textId="77777777" w:rsidR="002E1600" w:rsidRDefault="00705E80">
            <w:r>
              <w:rPr>
                <w:sz w:val="18"/>
              </w:rPr>
              <w:t>EDD Supply Planning Workbench Functional Specification Design</w:t>
            </w:r>
          </w:p>
        </w:tc>
      </w:tr>
      <w:tr w:rsidR="002E1600" w14:paraId="7806E7AF" w14:textId="77777777">
        <w:trPr>
          <w:jc w:val="center"/>
        </w:trPr>
        <w:tc>
          <w:tcPr>
            <w:tcW w:w="3024" w:type="dxa"/>
            <w:tcBorders>
              <w:top w:val="single" w:sz="4" w:space="0" w:color="D9E2EC"/>
              <w:left w:val="single" w:sz="4" w:space="0" w:color="D9E2EC"/>
              <w:bottom w:val="single" w:sz="4" w:space="0" w:color="D9E2EC"/>
              <w:right w:val="single" w:sz="4" w:space="0" w:color="D9E2EC"/>
            </w:tcBorders>
            <w:shd w:val="clear" w:color="auto" w:fill="F6F9FC"/>
            <w:vAlign w:val="center"/>
          </w:tcPr>
          <w:p w14:paraId="6B814A1E" w14:textId="77777777" w:rsidR="002E1600" w:rsidRDefault="00705E80">
            <w:r>
              <w:rPr>
                <w:sz w:val="18"/>
              </w:rPr>
              <w:t>Version</w:t>
            </w:r>
          </w:p>
        </w:tc>
        <w:tc>
          <w:tcPr>
            <w:tcW w:w="6912" w:type="dxa"/>
            <w:tcBorders>
              <w:top w:val="single" w:sz="4" w:space="0" w:color="D9E2EC"/>
              <w:left w:val="single" w:sz="4" w:space="0" w:color="D9E2EC"/>
              <w:bottom w:val="single" w:sz="4" w:space="0" w:color="D9E2EC"/>
              <w:right w:val="single" w:sz="4" w:space="0" w:color="D9E2EC"/>
            </w:tcBorders>
            <w:shd w:val="clear" w:color="auto" w:fill="F6F9FC"/>
            <w:vAlign w:val="center"/>
          </w:tcPr>
          <w:p w14:paraId="4B3AA50C" w14:textId="77777777" w:rsidR="002E1600" w:rsidRDefault="00705E80">
            <w:r>
              <w:rPr>
                <w:sz w:val="18"/>
              </w:rPr>
              <w:t>1.0</w:t>
            </w:r>
          </w:p>
        </w:tc>
      </w:tr>
      <w:tr w:rsidR="002E1600" w14:paraId="0C61DAE5" w14:textId="77777777">
        <w:trPr>
          <w:jc w:val="center"/>
        </w:trPr>
        <w:tc>
          <w:tcPr>
            <w:tcW w:w="3024" w:type="dxa"/>
            <w:tcBorders>
              <w:top w:val="single" w:sz="4" w:space="0" w:color="D9E2EC"/>
              <w:left w:val="single" w:sz="4" w:space="0" w:color="D9E2EC"/>
              <w:bottom w:val="single" w:sz="4" w:space="0" w:color="D9E2EC"/>
              <w:right w:val="single" w:sz="4" w:space="0" w:color="D9E2EC"/>
            </w:tcBorders>
            <w:vAlign w:val="center"/>
          </w:tcPr>
          <w:p w14:paraId="1B9FBFDD" w14:textId="77777777" w:rsidR="002E1600" w:rsidRDefault="00705E80">
            <w:r>
              <w:rPr>
                <w:sz w:val="18"/>
              </w:rPr>
              <w:t>Status</w:t>
            </w:r>
          </w:p>
        </w:tc>
        <w:tc>
          <w:tcPr>
            <w:tcW w:w="6912" w:type="dxa"/>
            <w:tcBorders>
              <w:top w:val="single" w:sz="4" w:space="0" w:color="D9E2EC"/>
              <w:left w:val="single" w:sz="4" w:space="0" w:color="D9E2EC"/>
              <w:bottom w:val="single" w:sz="4" w:space="0" w:color="D9E2EC"/>
              <w:right w:val="single" w:sz="4" w:space="0" w:color="D9E2EC"/>
            </w:tcBorders>
            <w:vAlign w:val="center"/>
          </w:tcPr>
          <w:p w14:paraId="6055B072" w14:textId="77777777" w:rsidR="002E1600" w:rsidRDefault="00705E80">
            <w:r>
              <w:rPr>
                <w:sz w:val="18"/>
              </w:rPr>
              <w:t>Prototype specification</w:t>
            </w:r>
          </w:p>
        </w:tc>
      </w:tr>
      <w:tr w:rsidR="002E1600" w14:paraId="4070FF58" w14:textId="77777777">
        <w:trPr>
          <w:jc w:val="center"/>
        </w:trPr>
        <w:tc>
          <w:tcPr>
            <w:tcW w:w="3024" w:type="dxa"/>
            <w:tcBorders>
              <w:top w:val="single" w:sz="4" w:space="0" w:color="D9E2EC"/>
              <w:left w:val="single" w:sz="4" w:space="0" w:color="D9E2EC"/>
              <w:bottom w:val="single" w:sz="4" w:space="0" w:color="D9E2EC"/>
              <w:right w:val="single" w:sz="4" w:space="0" w:color="D9E2EC"/>
            </w:tcBorders>
            <w:shd w:val="clear" w:color="auto" w:fill="F6F9FC"/>
            <w:vAlign w:val="center"/>
          </w:tcPr>
          <w:p w14:paraId="445F857B" w14:textId="77777777" w:rsidR="002E1600" w:rsidRDefault="00705E80">
            <w:r>
              <w:rPr>
                <w:sz w:val="18"/>
              </w:rPr>
              <w:t>Business owner</w:t>
            </w:r>
          </w:p>
        </w:tc>
        <w:tc>
          <w:tcPr>
            <w:tcW w:w="6912" w:type="dxa"/>
            <w:tcBorders>
              <w:top w:val="single" w:sz="4" w:space="0" w:color="D9E2EC"/>
              <w:left w:val="single" w:sz="4" w:space="0" w:color="D9E2EC"/>
              <w:bottom w:val="single" w:sz="4" w:space="0" w:color="D9E2EC"/>
              <w:right w:val="single" w:sz="4" w:space="0" w:color="D9E2EC"/>
            </w:tcBorders>
            <w:shd w:val="clear" w:color="auto" w:fill="F6F9FC"/>
            <w:vAlign w:val="center"/>
          </w:tcPr>
          <w:p w14:paraId="0C069469" w14:textId="77777777" w:rsidR="002E1600" w:rsidRDefault="00705E80">
            <w:r>
              <w:rPr>
                <w:sz w:val="18"/>
              </w:rPr>
              <w:t>PPC Supply Planning</w:t>
            </w:r>
          </w:p>
        </w:tc>
      </w:tr>
      <w:tr w:rsidR="002E1600" w14:paraId="068311DE" w14:textId="77777777">
        <w:trPr>
          <w:jc w:val="center"/>
        </w:trPr>
        <w:tc>
          <w:tcPr>
            <w:tcW w:w="3024" w:type="dxa"/>
            <w:tcBorders>
              <w:top w:val="single" w:sz="4" w:space="0" w:color="D9E2EC"/>
              <w:left w:val="single" w:sz="4" w:space="0" w:color="D9E2EC"/>
              <w:bottom w:val="single" w:sz="4" w:space="0" w:color="D9E2EC"/>
              <w:right w:val="single" w:sz="4" w:space="0" w:color="D9E2EC"/>
            </w:tcBorders>
            <w:vAlign w:val="center"/>
          </w:tcPr>
          <w:p w14:paraId="6B3D0D7B" w14:textId="77777777" w:rsidR="002E1600" w:rsidRDefault="00705E80">
            <w:r>
              <w:rPr>
                <w:sz w:val="18"/>
              </w:rPr>
              <w:t>Primary users</w:t>
            </w:r>
          </w:p>
        </w:tc>
        <w:tc>
          <w:tcPr>
            <w:tcW w:w="6912" w:type="dxa"/>
            <w:tcBorders>
              <w:top w:val="single" w:sz="4" w:space="0" w:color="D9E2EC"/>
              <w:left w:val="single" w:sz="4" w:space="0" w:color="D9E2EC"/>
              <w:bottom w:val="single" w:sz="4" w:space="0" w:color="D9E2EC"/>
              <w:right w:val="single" w:sz="4" w:space="0" w:color="D9E2EC"/>
            </w:tcBorders>
            <w:vAlign w:val="center"/>
          </w:tcPr>
          <w:p w14:paraId="01AA4B2E" w14:textId="77777777" w:rsidR="002E1600" w:rsidRDefault="00705E80">
            <w:r>
              <w:rPr>
                <w:sz w:val="18"/>
              </w:rPr>
              <w:t>PPC planners and supply planning reviewers</w:t>
            </w:r>
          </w:p>
        </w:tc>
      </w:tr>
      <w:tr w:rsidR="002E1600" w14:paraId="74DF2221" w14:textId="77777777">
        <w:trPr>
          <w:jc w:val="center"/>
        </w:trPr>
        <w:tc>
          <w:tcPr>
            <w:tcW w:w="3024" w:type="dxa"/>
            <w:tcBorders>
              <w:top w:val="single" w:sz="4" w:space="0" w:color="D9E2EC"/>
              <w:left w:val="single" w:sz="4" w:space="0" w:color="D9E2EC"/>
              <w:bottom w:val="single" w:sz="4" w:space="0" w:color="D9E2EC"/>
              <w:right w:val="single" w:sz="4" w:space="0" w:color="D9E2EC"/>
            </w:tcBorders>
            <w:shd w:val="clear" w:color="auto" w:fill="F6F9FC"/>
            <w:vAlign w:val="center"/>
          </w:tcPr>
          <w:p w14:paraId="6780EB2F" w14:textId="77777777" w:rsidR="002E1600" w:rsidRDefault="00705E80">
            <w:r>
              <w:rPr>
                <w:sz w:val="18"/>
              </w:rPr>
              <w:t>Delivery format</w:t>
            </w:r>
          </w:p>
        </w:tc>
        <w:tc>
          <w:tcPr>
            <w:tcW w:w="6912" w:type="dxa"/>
            <w:tcBorders>
              <w:top w:val="single" w:sz="4" w:space="0" w:color="D9E2EC"/>
              <w:left w:val="single" w:sz="4" w:space="0" w:color="D9E2EC"/>
              <w:bottom w:val="single" w:sz="4" w:space="0" w:color="D9E2EC"/>
              <w:right w:val="single" w:sz="4" w:space="0" w:color="D9E2EC"/>
            </w:tcBorders>
            <w:shd w:val="clear" w:color="auto" w:fill="F6F9FC"/>
            <w:vAlign w:val="center"/>
          </w:tcPr>
          <w:p w14:paraId="5AC84AE3" w14:textId="77777777" w:rsidR="002E1600" w:rsidRDefault="00705E80">
            <w:r>
              <w:rPr>
                <w:sz w:val="18"/>
              </w:rPr>
              <w:t>Standalone browser-based HTML workbench</w:t>
            </w:r>
          </w:p>
        </w:tc>
      </w:tr>
    </w:tbl>
    <w:p w14:paraId="0A37501D" w14:textId="77777777" w:rsidR="002E1600" w:rsidRDefault="002E1600">
      <w:pPr>
        <w:spacing w:after="40"/>
      </w:pPr>
    </w:p>
    <w:p w14:paraId="2F19114F" w14:textId="77777777" w:rsidR="002E1600" w:rsidRDefault="00705E80">
      <w:pPr>
        <w:spacing w:after="100" w:line="259" w:lineRule="auto"/>
      </w:pPr>
      <w:r>
        <w:t>This FSD defines the Phase 0 behavior of the EDD Supply Planning Workbench. It preserves the spreadsheet planning views in an interactive page, supports two independent planning cycles, and calculates supply reconciliation locally in the browser.</w:t>
      </w:r>
    </w:p>
    <w:p w14:paraId="22ECFEBF" w14:textId="77777777" w:rsidR="002E1600" w:rsidRDefault="00705E80">
      <w:pPr>
        <w:pStyle w:val="Heading1"/>
        <w:spacing w:before="240" w:after="100"/>
      </w:pPr>
      <w:r>
        <w:t>1 Overall Objective</w:t>
      </w:r>
    </w:p>
    <w:p w14:paraId="63E57AA5" w14:textId="77777777" w:rsidR="002E1600" w:rsidRDefault="00705E80">
      <w:pPr>
        <w:spacing w:after="100" w:line="259" w:lineRule="auto"/>
      </w:pPr>
      <w:r>
        <w:t>The workbench gives PPC planners one consolidated place to review demand, record supply, maintain day-wise EDD, review material rollout, and identify gaps across all applicable verticals and sub verticals.</w:t>
      </w:r>
    </w:p>
    <w:p w14:paraId="1E4DB9BE" w14:textId="77777777" w:rsidR="002E1600" w:rsidRDefault="00705E80">
      <w:pPr>
        <w:pStyle w:val="ListBullet"/>
        <w:spacing w:after="40"/>
      </w:pPr>
      <w:r>
        <w:t>Retain the operational layout of the reference supply planning workbook.</w:t>
      </w:r>
    </w:p>
    <w:p w14:paraId="58BDD3B3" w14:textId="77777777" w:rsidR="002E1600" w:rsidRDefault="00705E80">
      <w:pPr>
        <w:pStyle w:val="ListBullet"/>
        <w:spacing w:after="40"/>
      </w:pPr>
      <w:r>
        <w:t>Keep demand read-only and let planners maintain supply-related values.</w:t>
      </w:r>
    </w:p>
    <w:p w14:paraId="1E336737" w14:textId="77777777" w:rsidR="002E1600" w:rsidRDefault="00705E80">
      <w:pPr>
        <w:pStyle w:val="ListBullet"/>
        <w:spacing w:after="40"/>
      </w:pPr>
      <w:r>
        <w:t>Derive week-wise EDD from the day-wise EDD schedule.</w:t>
      </w:r>
    </w:p>
    <w:p w14:paraId="443D9CD3" w14:textId="77777777" w:rsidR="002E1600" w:rsidRDefault="00705E80">
      <w:pPr>
        <w:pStyle w:val="ListBullet"/>
        <w:spacing w:after="40"/>
      </w:pPr>
      <w:r>
        <w:t>Provide separate, independently maintained S&amp;OP1A and S&amp;OP1B cycles.</w:t>
      </w:r>
    </w:p>
    <w:p w14:paraId="60E35B46" w14:textId="77777777" w:rsidR="002E1600" w:rsidRDefault="00705E80">
      <w:pPr>
        <w:pStyle w:val="ListBullet"/>
        <w:spacing w:after="40"/>
      </w:pPr>
      <w:r>
        <w:t>Allow local Excel-based refresh without a backend service.</w:t>
      </w:r>
    </w:p>
    <w:p w14:paraId="0896908B" w14:textId="77777777" w:rsidR="002E1600" w:rsidRDefault="00705E80">
      <w:pPr>
        <w:pStyle w:val="Heading1"/>
        <w:spacing w:before="240" w:after="100"/>
      </w:pPr>
      <w:r>
        <w:t>2 Scope Phase 0</w:t>
      </w:r>
    </w:p>
    <w:tbl>
      <w:tblPr>
        <w:tblStyle w:val="TableGrid"/>
        <w:tblW w:w="0" w:type="auto"/>
        <w:jc w:val="center"/>
        <w:tblLook w:val="04A0" w:firstRow="1" w:lastRow="0" w:firstColumn="1" w:lastColumn="0" w:noHBand="0" w:noVBand="1"/>
      </w:tblPr>
      <w:tblGrid>
        <w:gridCol w:w="4896"/>
        <w:gridCol w:w="4896"/>
      </w:tblGrid>
      <w:tr w:rsidR="002E1600" w14:paraId="0EA011EC" w14:textId="77777777">
        <w:trPr>
          <w:jc w:val="center"/>
        </w:trPr>
        <w:tc>
          <w:tcPr>
            <w:tcW w:w="4896" w:type="dxa"/>
            <w:tcBorders>
              <w:top w:val="single" w:sz="4" w:space="0" w:color="D9E2EC"/>
              <w:left w:val="single" w:sz="4" w:space="0" w:color="D9E2EC"/>
              <w:bottom w:val="single" w:sz="4" w:space="0" w:color="D9E2EC"/>
              <w:right w:val="single" w:sz="4" w:space="0" w:color="D9E2EC"/>
            </w:tcBorders>
            <w:shd w:val="clear" w:color="auto" w:fill="0B2545"/>
            <w:vAlign w:val="center"/>
          </w:tcPr>
          <w:p w14:paraId="35E0F18A" w14:textId="77777777" w:rsidR="002E1600" w:rsidRDefault="00705E80">
            <w:r>
              <w:rPr>
                <w:b/>
                <w:color w:val="FFFFFF"/>
                <w:sz w:val="18"/>
              </w:rPr>
              <w:t>Included</w:t>
            </w:r>
          </w:p>
        </w:tc>
        <w:tc>
          <w:tcPr>
            <w:tcW w:w="4896" w:type="dxa"/>
            <w:tcBorders>
              <w:top w:val="single" w:sz="4" w:space="0" w:color="D9E2EC"/>
              <w:left w:val="single" w:sz="4" w:space="0" w:color="D9E2EC"/>
              <w:bottom w:val="single" w:sz="4" w:space="0" w:color="D9E2EC"/>
              <w:right w:val="single" w:sz="4" w:space="0" w:color="D9E2EC"/>
            </w:tcBorders>
            <w:shd w:val="clear" w:color="auto" w:fill="0B2545"/>
            <w:vAlign w:val="center"/>
          </w:tcPr>
          <w:p w14:paraId="2EFCB9A3" w14:textId="77777777" w:rsidR="002E1600" w:rsidRDefault="00705E80">
            <w:r>
              <w:rPr>
                <w:b/>
                <w:color w:val="FFFFFF"/>
                <w:sz w:val="18"/>
              </w:rPr>
              <w:t>Not included</w:t>
            </w:r>
          </w:p>
        </w:tc>
      </w:tr>
      <w:tr w:rsidR="002E1600" w14:paraId="78259AA5" w14:textId="77777777">
        <w:trPr>
          <w:jc w:val="center"/>
        </w:trPr>
        <w:tc>
          <w:tcPr>
            <w:tcW w:w="4896" w:type="dxa"/>
            <w:tcBorders>
              <w:top w:val="single" w:sz="4" w:space="0" w:color="D9E2EC"/>
              <w:left w:val="single" w:sz="4" w:space="0" w:color="D9E2EC"/>
              <w:bottom w:val="single" w:sz="4" w:space="0" w:color="D9E2EC"/>
              <w:right w:val="single" w:sz="4" w:space="0" w:color="D9E2EC"/>
            </w:tcBorders>
            <w:vAlign w:val="center"/>
          </w:tcPr>
          <w:p w14:paraId="087C0630" w14:textId="77777777" w:rsidR="002E1600" w:rsidRDefault="00705E80">
            <w:r>
              <w:rPr>
                <w:sz w:val="18"/>
              </w:rPr>
              <w:t>Final Supply Plan View, Day-wise Combined OK Tag, Summary, and Material Rollout pages.</w:t>
            </w:r>
          </w:p>
        </w:tc>
        <w:tc>
          <w:tcPr>
            <w:tcW w:w="4896" w:type="dxa"/>
            <w:tcBorders>
              <w:top w:val="single" w:sz="4" w:space="0" w:color="D9E2EC"/>
              <w:left w:val="single" w:sz="4" w:space="0" w:color="D9E2EC"/>
              <w:bottom w:val="single" w:sz="4" w:space="0" w:color="D9E2EC"/>
              <w:right w:val="single" w:sz="4" w:space="0" w:color="D9E2EC"/>
            </w:tcBorders>
            <w:vAlign w:val="center"/>
          </w:tcPr>
          <w:p w14:paraId="2DFD5961" w14:textId="77777777" w:rsidR="002E1600" w:rsidRDefault="00705E80">
            <w:r>
              <w:rPr>
                <w:sz w:val="18"/>
              </w:rPr>
              <w:t>Workflow approval, user administration, central audit trail, or server persistence.</w:t>
            </w:r>
          </w:p>
        </w:tc>
      </w:tr>
      <w:tr w:rsidR="002E1600" w14:paraId="4A7B9438" w14:textId="77777777">
        <w:trPr>
          <w:jc w:val="center"/>
        </w:trPr>
        <w:tc>
          <w:tcPr>
            <w:tcW w:w="4896" w:type="dxa"/>
            <w:tcBorders>
              <w:top w:val="single" w:sz="4" w:space="0" w:color="D9E2EC"/>
              <w:left w:val="single" w:sz="4" w:space="0" w:color="D9E2EC"/>
              <w:bottom w:val="single" w:sz="4" w:space="0" w:color="D9E2EC"/>
              <w:right w:val="single" w:sz="4" w:space="0" w:color="D9E2EC"/>
            </w:tcBorders>
            <w:shd w:val="clear" w:color="auto" w:fill="F6F9FC"/>
            <w:vAlign w:val="center"/>
          </w:tcPr>
          <w:p w14:paraId="6DDF9682" w14:textId="77777777" w:rsidR="002E1600" w:rsidRDefault="00705E80">
            <w:r>
              <w:rPr>
                <w:sz w:val="18"/>
              </w:rPr>
              <w:t>Cycle selection for S&amp;OP1A and S&amp;OP1B with separate in-browser datasets.</w:t>
            </w:r>
          </w:p>
        </w:tc>
        <w:tc>
          <w:tcPr>
            <w:tcW w:w="4896" w:type="dxa"/>
            <w:tcBorders>
              <w:top w:val="single" w:sz="4" w:space="0" w:color="D9E2EC"/>
              <w:left w:val="single" w:sz="4" w:space="0" w:color="D9E2EC"/>
              <w:bottom w:val="single" w:sz="4" w:space="0" w:color="D9E2EC"/>
              <w:right w:val="single" w:sz="4" w:space="0" w:color="D9E2EC"/>
            </w:tcBorders>
            <w:shd w:val="clear" w:color="auto" w:fill="F6F9FC"/>
            <w:vAlign w:val="center"/>
          </w:tcPr>
          <w:p w14:paraId="652E01A5" w14:textId="77777777" w:rsidR="002E1600" w:rsidRDefault="00705E80">
            <w:r>
              <w:rPr>
                <w:sz w:val="18"/>
              </w:rPr>
              <w:t>ERP integration, automatic production scheduling, or external notifications.</w:t>
            </w:r>
          </w:p>
        </w:tc>
      </w:tr>
      <w:tr w:rsidR="002E1600" w14:paraId="08CC5B0C" w14:textId="77777777">
        <w:trPr>
          <w:jc w:val="center"/>
        </w:trPr>
        <w:tc>
          <w:tcPr>
            <w:tcW w:w="4896" w:type="dxa"/>
            <w:tcBorders>
              <w:top w:val="single" w:sz="4" w:space="0" w:color="D9E2EC"/>
              <w:left w:val="single" w:sz="4" w:space="0" w:color="D9E2EC"/>
              <w:bottom w:val="single" w:sz="4" w:space="0" w:color="D9E2EC"/>
              <w:right w:val="single" w:sz="4" w:space="0" w:color="D9E2EC"/>
            </w:tcBorders>
            <w:vAlign w:val="center"/>
          </w:tcPr>
          <w:p w14:paraId="49CE8757" w14:textId="77777777" w:rsidR="002E1600" w:rsidRDefault="00705E80">
            <w:r>
              <w:rPr>
                <w:sz w:val="18"/>
              </w:rPr>
              <w:t>Client-side Excel validation and browser download template.</w:t>
            </w:r>
          </w:p>
        </w:tc>
        <w:tc>
          <w:tcPr>
            <w:tcW w:w="4896" w:type="dxa"/>
            <w:tcBorders>
              <w:top w:val="single" w:sz="4" w:space="0" w:color="D9E2EC"/>
              <w:left w:val="single" w:sz="4" w:space="0" w:color="D9E2EC"/>
              <w:bottom w:val="single" w:sz="4" w:space="0" w:color="D9E2EC"/>
              <w:right w:val="single" w:sz="4" w:space="0" w:color="D9E2EC"/>
            </w:tcBorders>
            <w:vAlign w:val="center"/>
          </w:tcPr>
          <w:p w14:paraId="67537903" w14:textId="77777777" w:rsidR="002E1600" w:rsidRDefault="00705E80">
            <w:r>
              <w:rPr>
                <w:sz w:val="18"/>
              </w:rPr>
              <w:t>SharePoint document-library scripting support or production hosting configuration.</w:t>
            </w:r>
          </w:p>
        </w:tc>
      </w:tr>
    </w:tbl>
    <w:p w14:paraId="5DAB6C7B" w14:textId="77777777" w:rsidR="002E1600" w:rsidRDefault="002E1600">
      <w:pPr>
        <w:spacing w:after="40"/>
      </w:pPr>
    </w:p>
    <w:p w14:paraId="70CD1EB2" w14:textId="77777777" w:rsidR="002E1600" w:rsidRDefault="00705E80">
      <w:pPr>
        <w:pStyle w:val="Heading1"/>
        <w:spacing w:before="240" w:after="100"/>
      </w:pPr>
      <w:r>
        <w:t>3 Users and Access</w:t>
      </w:r>
    </w:p>
    <w:tbl>
      <w:tblPr>
        <w:tblStyle w:val="TableGrid"/>
        <w:tblW w:w="0" w:type="auto"/>
        <w:jc w:val="center"/>
        <w:tblLook w:val="04A0" w:firstRow="1" w:lastRow="0" w:firstColumn="1" w:lastColumn="0" w:noHBand="0" w:noVBand="1"/>
      </w:tblPr>
      <w:tblGrid>
        <w:gridCol w:w="2232"/>
        <w:gridCol w:w="7560"/>
      </w:tblGrid>
      <w:tr w:rsidR="002E1600" w14:paraId="5BE53B89" w14:textId="77777777" w:rsidTr="10F7B1FB">
        <w:trPr>
          <w:jc w:val="center"/>
        </w:trPr>
        <w:tc>
          <w:tcPr>
            <w:tcW w:w="2232" w:type="dxa"/>
            <w:tcBorders>
              <w:top w:val="single" w:sz="4" w:space="0" w:color="D9E2EC"/>
              <w:left w:val="single" w:sz="4" w:space="0" w:color="D9E2EC"/>
              <w:bottom w:val="single" w:sz="4" w:space="0" w:color="D9E2EC"/>
              <w:right w:val="single" w:sz="4" w:space="0" w:color="D9E2EC"/>
            </w:tcBorders>
            <w:shd w:val="clear" w:color="auto" w:fill="0B2545"/>
            <w:vAlign w:val="center"/>
          </w:tcPr>
          <w:p w14:paraId="7810568A" w14:textId="77777777" w:rsidR="002E1600" w:rsidRDefault="00705E80">
            <w:r>
              <w:rPr>
                <w:b/>
                <w:color w:val="FFFFFF"/>
                <w:sz w:val="18"/>
              </w:rPr>
              <w:t>Role</w:t>
            </w:r>
          </w:p>
        </w:tc>
        <w:tc>
          <w:tcPr>
            <w:tcW w:w="7560" w:type="dxa"/>
            <w:tcBorders>
              <w:top w:val="single" w:sz="4" w:space="0" w:color="D9E2EC"/>
              <w:left w:val="single" w:sz="4" w:space="0" w:color="D9E2EC"/>
              <w:bottom w:val="single" w:sz="4" w:space="0" w:color="D9E2EC"/>
              <w:right w:val="single" w:sz="4" w:space="0" w:color="D9E2EC"/>
            </w:tcBorders>
            <w:shd w:val="clear" w:color="auto" w:fill="0B2545"/>
            <w:vAlign w:val="center"/>
          </w:tcPr>
          <w:p w14:paraId="571D2928" w14:textId="77777777" w:rsidR="002E1600" w:rsidRDefault="00705E80">
            <w:r>
              <w:rPr>
                <w:b/>
                <w:color w:val="FFFFFF"/>
                <w:sz w:val="18"/>
              </w:rPr>
              <w:t>Access and responsibility</w:t>
            </w:r>
          </w:p>
        </w:tc>
      </w:tr>
      <w:tr w:rsidR="002E1600" w14:paraId="6CF9E9ED" w14:textId="77777777" w:rsidTr="10F7B1FB">
        <w:trPr>
          <w:jc w:val="center"/>
        </w:trPr>
        <w:tc>
          <w:tcPr>
            <w:tcW w:w="2232" w:type="dxa"/>
            <w:tcBorders>
              <w:top w:val="single" w:sz="4" w:space="0" w:color="D9E2EC"/>
              <w:left w:val="single" w:sz="4" w:space="0" w:color="D9E2EC"/>
              <w:bottom w:val="single" w:sz="4" w:space="0" w:color="D9E2EC"/>
              <w:right w:val="single" w:sz="4" w:space="0" w:color="D9E2EC"/>
            </w:tcBorders>
            <w:vAlign w:val="center"/>
          </w:tcPr>
          <w:p w14:paraId="62C9E6B3" w14:textId="77777777" w:rsidR="002E1600" w:rsidRDefault="00705E80">
            <w:r>
              <w:rPr>
                <w:sz w:val="18"/>
              </w:rPr>
              <w:t>PPC Planner</w:t>
            </w:r>
          </w:p>
        </w:tc>
        <w:tc>
          <w:tcPr>
            <w:tcW w:w="7560" w:type="dxa"/>
            <w:tcBorders>
              <w:top w:val="single" w:sz="4" w:space="0" w:color="D9E2EC"/>
              <w:left w:val="single" w:sz="4" w:space="0" w:color="D9E2EC"/>
              <w:bottom w:val="single" w:sz="4" w:space="0" w:color="D9E2EC"/>
              <w:right w:val="single" w:sz="4" w:space="0" w:color="D9E2EC"/>
            </w:tcBorders>
            <w:vAlign w:val="center"/>
          </w:tcPr>
          <w:p w14:paraId="4A932813" w14:textId="77777777" w:rsidR="002E1600" w:rsidRDefault="00705E80">
            <w:r>
              <w:rPr>
                <w:sz w:val="18"/>
              </w:rPr>
              <w:t>Select the cycle, filter the plan, enter day-wise EDD and rollout inputs, review calculated supply and gaps.</w:t>
            </w:r>
          </w:p>
        </w:tc>
      </w:tr>
      <w:tr w:rsidR="002E1600" w14:paraId="0DE4D4D1" w14:textId="77777777" w:rsidTr="10F7B1FB">
        <w:trPr>
          <w:jc w:val="center"/>
        </w:trPr>
        <w:tc>
          <w:tcPr>
            <w:tcW w:w="2232" w:type="dxa"/>
            <w:tcBorders>
              <w:top w:val="single" w:sz="4" w:space="0" w:color="D9E2EC"/>
              <w:left w:val="single" w:sz="4" w:space="0" w:color="D9E2EC"/>
              <w:bottom w:val="single" w:sz="4" w:space="0" w:color="D9E2EC"/>
              <w:right w:val="single" w:sz="4" w:space="0" w:color="D9E2EC"/>
            </w:tcBorders>
            <w:shd w:val="clear" w:color="auto" w:fill="F6F9FC"/>
            <w:vAlign w:val="center"/>
          </w:tcPr>
          <w:p w14:paraId="49564294" w14:textId="77777777" w:rsidR="002E1600" w:rsidRDefault="00705E80">
            <w:r>
              <w:rPr>
                <w:sz w:val="18"/>
              </w:rPr>
              <w:t>PPC Reviewer</w:t>
            </w:r>
          </w:p>
        </w:tc>
        <w:tc>
          <w:tcPr>
            <w:tcW w:w="7560" w:type="dxa"/>
            <w:tcBorders>
              <w:top w:val="single" w:sz="4" w:space="0" w:color="D9E2EC"/>
              <w:left w:val="single" w:sz="4" w:space="0" w:color="D9E2EC"/>
              <w:bottom w:val="single" w:sz="4" w:space="0" w:color="D9E2EC"/>
              <w:right w:val="single" w:sz="4" w:space="0" w:color="D9E2EC"/>
            </w:tcBorders>
            <w:shd w:val="clear" w:color="auto" w:fill="F6F9FC"/>
            <w:vAlign w:val="center"/>
          </w:tcPr>
          <w:p w14:paraId="4047307A" w14:textId="77777777" w:rsidR="002E1600" w:rsidRDefault="00705E80">
            <w:r>
              <w:rPr>
                <w:sz w:val="18"/>
              </w:rPr>
              <w:t>Review Final Supply Plan View, Summary and Material Rollout outputs.</w:t>
            </w:r>
          </w:p>
        </w:tc>
      </w:tr>
    </w:tbl>
    <w:p w14:paraId="0F9E6190" w14:textId="0022AB88" w:rsidR="10F7B1FB" w:rsidRDefault="10F7B1FB"/>
    <w:p w14:paraId="02EB378F" w14:textId="77777777" w:rsidR="002E1600" w:rsidRDefault="002E1600">
      <w:pPr>
        <w:spacing w:after="40"/>
      </w:pPr>
    </w:p>
    <w:p w14:paraId="6DB0F7BF" w14:textId="77777777" w:rsidR="002E1600" w:rsidRDefault="00705E80">
      <w:pPr>
        <w:pStyle w:val="Heading1"/>
        <w:spacing w:before="240" w:after="100"/>
      </w:pPr>
      <w:r>
        <w:lastRenderedPageBreak/>
        <w:t>4 Planning Cycles</w:t>
      </w:r>
    </w:p>
    <w:p w14:paraId="58E868A3" w14:textId="77777777" w:rsidR="002E1600" w:rsidRDefault="00705E80">
      <w:pPr>
        <w:spacing w:after="100" w:line="259" w:lineRule="auto"/>
      </w:pPr>
      <w:r>
        <w:t>The cycle bar provides S&amp;OP1A and S&amp;OP1B buttons. The active button is visually marked with Selected. Both cycles use the same pages, filters, calculations, and input behavior. Records, rollout data, source details, and validation messages are kept independently in the browser for the selected cycle.</w:t>
      </w:r>
    </w:p>
    <w:tbl>
      <w:tblPr>
        <w:tblStyle w:val="TableGrid"/>
        <w:tblW w:w="0" w:type="auto"/>
        <w:jc w:val="center"/>
        <w:tblLook w:val="04A0" w:firstRow="1" w:lastRow="0" w:firstColumn="1" w:lastColumn="0" w:noHBand="0" w:noVBand="1"/>
      </w:tblPr>
      <w:tblGrid>
        <w:gridCol w:w="9792"/>
      </w:tblGrid>
      <w:tr w:rsidR="002E1600" w14:paraId="53B28E81" w14:textId="77777777">
        <w:trPr>
          <w:jc w:val="center"/>
        </w:trPr>
        <w:tc>
          <w:tcPr>
            <w:tcW w:w="9792" w:type="dxa"/>
            <w:tcBorders>
              <w:top w:val="single" w:sz="4" w:space="0" w:color="D9E2EC"/>
              <w:left w:val="single" w:sz="4" w:space="0" w:color="D9E2EC"/>
              <w:bottom w:val="single" w:sz="4" w:space="0" w:color="D9E2EC"/>
              <w:right w:val="single" w:sz="4" w:space="0" w:color="D9E2EC"/>
            </w:tcBorders>
            <w:shd w:val="clear" w:color="auto" w:fill="0B2545"/>
            <w:vAlign w:val="center"/>
          </w:tcPr>
          <w:p w14:paraId="0BE1CC55" w14:textId="77777777" w:rsidR="002E1600" w:rsidRDefault="00705E80">
            <w:r>
              <w:rPr>
                <w:b/>
                <w:color w:val="FFFFFF"/>
                <w:sz w:val="18"/>
              </w:rPr>
              <w:t>Cycle</w:t>
            </w:r>
          </w:p>
        </w:tc>
      </w:tr>
      <w:tr w:rsidR="002E1600" w14:paraId="74F36EE4" w14:textId="77777777">
        <w:trPr>
          <w:jc w:val="center"/>
        </w:trPr>
        <w:tc>
          <w:tcPr>
            <w:tcW w:w="9792" w:type="dxa"/>
            <w:tcBorders>
              <w:top w:val="single" w:sz="4" w:space="0" w:color="D9E2EC"/>
              <w:left w:val="single" w:sz="4" w:space="0" w:color="D9E2EC"/>
              <w:bottom w:val="single" w:sz="4" w:space="0" w:color="D9E2EC"/>
              <w:right w:val="single" w:sz="4" w:space="0" w:color="D9E2EC"/>
            </w:tcBorders>
            <w:vAlign w:val="center"/>
          </w:tcPr>
          <w:p w14:paraId="171DBC80" w14:textId="77777777" w:rsidR="002E1600" w:rsidRDefault="00705E80">
            <w:r>
              <w:rPr>
                <w:sz w:val="18"/>
              </w:rPr>
              <w:t>S&amp;OP1A</w:t>
            </w:r>
          </w:p>
        </w:tc>
      </w:tr>
      <w:tr w:rsidR="002E1600" w14:paraId="42D8E905" w14:textId="77777777">
        <w:trPr>
          <w:jc w:val="center"/>
        </w:trPr>
        <w:tc>
          <w:tcPr>
            <w:tcW w:w="9792" w:type="dxa"/>
            <w:tcBorders>
              <w:top w:val="single" w:sz="4" w:space="0" w:color="D9E2EC"/>
              <w:left w:val="single" w:sz="4" w:space="0" w:color="D9E2EC"/>
              <w:bottom w:val="single" w:sz="4" w:space="0" w:color="D9E2EC"/>
              <w:right w:val="single" w:sz="4" w:space="0" w:color="D9E2EC"/>
            </w:tcBorders>
            <w:shd w:val="clear" w:color="auto" w:fill="F6F9FC"/>
            <w:vAlign w:val="center"/>
          </w:tcPr>
          <w:p w14:paraId="04A733A6" w14:textId="77777777" w:rsidR="002E1600" w:rsidRDefault="00705E80">
            <w:r>
              <w:rPr>
                <w:sz w:val="18"/>
              </w:rPr>
              <w:t>S&amp;OP1B</w:t>
            </w:r>
          </w:p>
        </w:tc>
      </w:tr>
    </w:tbl>
    <w:p w14:paraId="6A05A809" w14:textId="77777777" w:rsidR="002E1600" w:rsidRDefault="002E1600">
      <w:pPr>
        <w:spacing w:after="40"/>
      </w:pPr>
    </w:p>
    <w:p w14:paraId="16619E4C" w14:textId="77777777" w:rsidR="002E1600" w:rsidRDefault="00705E80">
      <w:pPr>
        <w:pStyle w:val="Heading1"/>
        <w:spacing w:before="240" w:after="100"/>
      </w:pPr>
      <w:r>
        <w:t>5 Workbench Pages</w:t>
      </w:r>
    </w:p>
    <w:p w14:paraId="2293FD47" w14:textId="77777777" w:rsidR="002E1600" w:rsidRDefault="00705E80">
      <w:pPr>
        <w:pStyle w:val="Heading2"/>
        <w:spacing w:before="140" w:after="100"/>
      </w:pPr>
      <w:r>
        <w:t>5.1 Final Supply Plan View</w:t>
      </w:r>
    </w:p>
    <w:p w14:paraId="2E22B7DF" w14:textId="77777777" w:rsidR="002E1600" w:rsidRDefault="00705E80">
      <w:pPr>
        <w:spacing w:after="100" w:line="259" w:lineRule="auto"/>
      </w:pPr>
      <w:r>
        <w:t>The primary page shows Sales Area, Country, Vertical, Sub Vertical, FERT, Description, FERT Segment, S&amp;OP demand W1 to W4 and Total, calculated week-wise EDD W1 to W4 and Total, and gap measures. Week-wise EDD is read-only because it is derived from the Day-wise Combined OK Tag plan.</w:t>
      </w:r>
    </w:p>
    <w:p w14:paraId="0B076447" w14:textId="77777777" w:rsidR="002E1600" w:rsidRDefault="00705E80">
      <w:pPr>
        <w:pStyle w:val="Heading2"/>
        <w:spacing w:before="140" w:after="100"/>
      </w:pPr>
      <w:r>
        <w:t>5.2 Day-wise Combined OK Tag</w:t>
      </w:r>
    </w:p>
    <w:p w14:paraId="13575EDE" w14:textId="77777777" w:rsidR="002E1600" w:rsidRDefault="00705E80">
      <w:pPr>
        <w:spacing w:after="100" w:line="259" w:lineRule="auto"/>
      </w:pPr>
      <w:r>
        <w:t>This page keeps the day-by-day schedule format. It displays the same master fields and weekly demand alongside editable Day 1 through month-end EDD quantities. The day total, balance, reconciliation, and weekly roll-up are calculated from these entries. The page is not a week-wise-only view.</w:t>
      </w:r>
    </w:p>
    <w:p w14:paraId="493790FE" w14:textId="77777777" w:rsidR="002E1600" w:rsidRDefault="00705E80">
      <w:pPr>
        <w:pStyle w:val="Heading2"/>
        <w:spacing w:before="140" w:after="100"/>
      </w:pPr>
      <w:r>
        <w:t>5.3 Summary</w:t>
      </w:r>
    </w:p>
    <w:p w14:paraId="30AFF607" w14:textId="77777777" w:rsidR="002E1600" w:rsidRDefault="00705E80">
      <w:pPr>
        <w:spacing w:after="100" w:line="259" w:lineRule="auto"/>
      </w:pPr>
      <w:r>
        <w:t>The Summary follows the workbook hierarchy. Verticals appear with their applicable Sub Verticals, Vertical Total rows, and a Grand Total. Its supply-demand gap uses supply minus demand and is independent of the Material Rollout page.</w:t>
      </w:r>
    </w:p>
    <w:p w14:paraId="0DD4D77E" w14:textId="77777777" w:rsidR="002E1600" w:rsidRDefault="00705E80">
      <w:pPr>
        <w:pStyle w:val="Heading2"/>
        <w:spacing w:before="140" w:after="100"/>
      </w:pPr>
      <w:r>
        <w:t>5.4 Material Rollout</w:t>
      </w:r>
    </w:p>
    <w:p w14:paraId="6FB84697" w14:textId="77777777" w:rsidR="002E1600" w:rsidRDefault="00705E80">
      <w:pPr>
        <w:spacing w:after="100" w:line="259" w:lineRule="auto"/>
      </w:pPr>
      <w:r>
        <w:t>Material Rollout remains a standalone planning page. It contains the rollout master data, S&amp;OP demand, editable Opening RGP, day-wise rollout, Total, BAL, and remarks. It does not feed Summary totals.</w:t>
      </w:r>
    </w:p>
    <w:p w14:paraId="0C17ADA9" w14:textId="77777777" w:rsidR="002E1600" w:rsidRDefault="00705E80">
      <w:pPr>
        <w:pStyle w:val="Heading1"/>
        <w:spacing w:before="240" w:after="100"/>
      </w:pPr>
      <w:r>
        <w:t>6 Filters and Navigation</w:t>
      </w:r>
    </w:p>
    <w:p w14:paraId="085AF4C7" w14:textId="77777777" w:rsidR="002E1600" w:rsidRDefault="00705E80">
      <w:pPr>
        <w:spacing w:after="100" w:line="259" w:lineRule="auto"/>
      </w:pPr>
      <w:r>
        <w:t>The left filter rail supports the existing dropdown selection pattern and can be collapsed. Filters include FERT, Vertical, Sub Vertical, Demand Segment, MPG, Tonnage, Fuel, AC Non-AC, aged stock, FERT history, pipeline, dealer, sales area, and country where applicable. Filters apply to the active planning cycle and all visible pages.</w:t>
      </w:r>
    </w:p>
    <w:p w14:paraId="23D238F7" w14:textId="77777777" w:rsidR="002E1600" w:rsidRDefault="00705E80">
      <w:pPr>
        <w:pStyle w:val="ListBullet"/>
        <w:spacing w:after="40"/>
      </w:pPr>
      <w:r>
        <w:t>Planning month selector controls the month label and number of displayed daily columns.</w:t>
      </w:r>
    </w:p>
    <w:p w14:paraId="21E1E68C" w14:textId="77777777" w:rsidR="002E1600" w:rsidRDefault="00705E80">
      <w:pPr>
        <w:pStyle w:val="ListBullet"/>
        <w:spacing w:after="40"/>
      </w:pPr>
      <w:r>
        <w:t>Page tabs retain the workbook-style page layouts.</w:t>
      </w:r>
    </w:p>
    <w:p w14:paraId="5BD51603" w14:textId="77777777" w:rsidR="002E1600" w:rsidRDefault="00705E80">
      <w:pPr>
        <w:pStyle w:val="ListBullet"/>
        <w:spacing w:after="40"/>
      </w:pPr>
      <w:r>
        <w:t>KPI hover help explains each KPI without changing the cursor to a question-mark symbol.</w:t>
      </w:r>
    </w:p>
    <w:p w14:paraId="2A20DAD6" w14:textId="77777777" w:rsidR="002E1600" w:rsidRDefault="00705E80">
      <w:pPr>
        <w:pStyle w:val="Heading1"/>
        <w:spacing w:before="240" w:after="100"/>
      </w:pPr>
      <w:r>
        <w:t>7 Data Fields and Calculations</w:t>
      </w:r>
    </w:p>
    <w:tbl>
      <w:tblPr>
        <w:tblStyle w:val="TableGrid"/>
        <w:tblW w:w="0" w:type="auto"/>
        <w:jc w:val="center"/>
        <w:tblLook w:val="04A0" w:firstRow="1" w:lastRow="0" w:firstColumn="1" w:lastColumn="0" w:noHBand="0" w:noVBand="1"/>
      </w:tblPr>
      <w:tblGrid>
        <w:gridCol w:w="2520"/>
        <w:gridCol w:w="7272"/>
      </w:tblGrid>
      <w:tr w:rsidR="002E1600" w14:paraId="6666227C" w14:textId="77777777">
        <w:trPr>
          <w:jc w:val="center"/>
        </w:trPr>
        <w:tc>
          <w:tcPr>
            <w:tcW w:w="2520" w:type="dxa"/>
            <w:tcBorders>
              <w:top w:val="single" w:sz="4" w:space="0" w:color="D9E2EC"/>
              <w:left w:val="single" w:sz="4" w:space="0" w:color="D9E2EC"/>
              <w:bottom w:val="single" w:sz="4" w:space="0" w:color="D9E2EC"/>
              <w:right w:val="single" w:sz="4" w:space="0" w:color="D9E2EC"/>
            </w:tcBorders>
            <w:shd w:val="clear" w:color="auto" w:fill="0B2545"/>
            <w:vAlign w:val="center"/>
          </w:tcPr>
          <w:p w14:paraId="636423D1" w14:textId="77777777" w:rsidR="002E1600" w:rsidRDefault="00705E80">
            <w:r>
              <w:rPr>
                <w:b/>
                <w:color w:val="FFFFFF"/>
                <w:sz w:val="18"/>
              </w:rPr>
              <w:t>Area</w:t>
            </w:r>
          </w:p>
        </w:tc>
        <w:tc>
          <w:tcPr>
            <w:tcW w:w="7272" w:type="dxa"/>
            <w:tcBorders>
              <w:top w:val="single" w:sz="4" w:space="0" w:color="D9E2EC"/>
              <w:left w:val="single" w:sz="4" w:space="0" w:color="D9E2EC"/>
              <w:bottom w:val="single" w:sz="4" w:space="0" w:color="D9E2EC"/>
              <w:right w:val="single" w:sz="4" w:space="0" w:color="D9E2EC"/>
            </w:tcBorders>
            <w:shd w:val="clear" w:color="auto" w:fill="0B2545"/>
            <w:vAlign w:val="center"/>
          </w:tcPr>
          <w:p w14:paraId="79DB281B" w14:textId="77777777" w:rsidR="002E1600" w:rsidRDefault="00705E80">
            <w:r>
              <w:rPr>
                <w:b/>
                <w:color w:val="FFFFFF"/>
                <w:sz w:val="18"/>
              </w:rPr>
              <w:t>Calculation or rule</w:t>
            </w:r>
          </w:p>
        </w:tc>
      </w:tr>
      <w:tr w:rsidR="002E1600" w14:paraId="73FE4FE6" w14:textId="77777777">
        <w:trPr>
          <w:jc w:val="center"/>
        </w:trPr>
        <w:tc>
          <w:tcPr>
            <w:tcW w:w="2520" w:type="dxa"/>
            <w:tcBorders>
              <w:top w:val="single" w:sz="4" w:space="0" w:color="D9E2EC"/>
              <w:left w:val="single" w:sz="4" w:space="0" w:color="D9E2EC"/>
              <w:bottom w:val="single" w:sz="4" w:space="0" w:color="D9E2EC"/>
              <w:right w:val="single" w:sz="4" w:space="0" w:color="D9E2EC"/>
            </w:tcBorders>
            <w:vAlign w:val="center"/>
          </w:tcPr>
          <w:p w14:paraId="7743E2FB" w14:textId="77777777" w:rsidR="002E1600" w:rsidRDefault="00705E80">
            <w:r>
              <w:rPr>
                <w:sz w:val="18"/>
              </w:rPr>
              <w:t>Final Supply Plan EDD</w:t>
            </w:r>
          </w:p>
        </w:tc>
        <w:tc>
          <w:tcPr>
            <w:tcW w:w="7272" w:type="dxa"/>
            <w:tcBorders>
              <w:top w:val="single" w:sz="4" w:space="0" w:color="D9E2EC"/>
              <w:left w:val="single" w:sz="4" w:space="0" w:color="D9E2EC"/>
              <w:bottom w:val="single" w:sz="4" w:space="0" w:color="D9E2EC"/>
              <w:right w:val="single" w:sz="4" w:space="0" w:color="D9E2EC"/>
            </w:tcBorders>
            <w:vAlign w:val="center"/>
          </w:tcPr>
          <w:p w14:paraId="052F48E7" w14:textId="77777777" w:rsidR="002E1600" w:rsidRDefault="00705E80">
            <w:r>
              <w:rPr>
                <w:sz w:val="18"/>
              </w:rPr>
              <w:t>W1 equals Day 1 to 7; W2 equals Day 8 to 14; W3 equals Day 15 to 21; W4 equals Day 22 to month end.</w:t>
            </w:r>
          </w:p>
        </w:tc>
      </w:tr>
      <w:tr w:rsidR="002E1600" w14:paraId="37D2E80C" w14:textId="77777777">
        <w:trPr>
          <w:jc w:val="center"/>
        </w:trPr>
        <w:tc>
          <w:tcPr>
            <w:tcW w:w="2520" w:type="dxa"/>
            <w:tcBorders>
              <w:top w:val="single" w:sz="4" w:space="0" w:color="D9E2EC"/>
              <w:left w:val="single" w:sz="4" w:space="0" w:color="D9E2EC"/>
              <w:bottom w:val="single" w:sz="4" w:space="0" w:color="D9E2EC"/>
              <w:right w:val="single" w:sz="4" w:space="0" w:color="D9E2EC"/>
            </w:tcBorders>
            <w:shd w:val="clear" w:color="auto" w:fill="F6F9FC"/>
            <w:vAlign w:val="center"/>
          </w:tcPr>
          <w:p w14:paraId="073A5C87" w14:textId="77777777" w:rsidR="002E1600" w:rsidRDefault="00705E80">
            <w:r>
              <w:rPr>
                <w:sz w:val="18"/>
              </w:rPr>
              <w:t>Day-wise BAL</w:t>
            </w:r>
          </w:p>
        </w:tc>
        <w:tc>
          <w:tcPr>
            <w:tcW w:w="7272" w:type="dxa"/>
            <w:tcBorders>
              <w:top w:val="single" w:sz="4" w:space="0" w:color="D9E2EC"/>
              <w:left w:val="single" w:sz="4" w:space="0" w:color="D9E2EC"/>
              <w:bottom w:val="single" w:sz="4" w:space="0" w:color="D9E2EC"/>
              <w:right w:val="single" w:sz="4" w:space="0" w:color="D9E2EC"/>
            </w:tcBorders>
            <w:shd w:val="clear" w:color="auto" w:fill="F6F9FC"/>
            <w:vAlign w:val="center"/>
          </w:tcPr>
          <w:p w14:paraId="6EE40008" w14:textId="77777777" w:rsidR="002E1600" w:rsidRDefault="00705E80">
            <w:r>
              <w:rPr>
                <w:sz w:val="18"/>
              </w:rPr>
              <w:t>Day-wise supply minus S&amp;OP demand. Positive values indicate supply above demand.</w:t>
            </w:r>
          </w:p>
        </w:tc>
      </w:tr>
      <w:tr w:rsidR="002E1600" w14:paraId="483421ED" w14:textId="77777777">
        <w:trPr>
          <w:jc w:val="center"/>
        </w:trPr>
        <w:tc>
          <w:tcPr>
            <w:tcW w:w="2520" w:type="dxa"/>
            <w:tcBorders>
              <w:top w:val="single" w:sz="4" w:space="0" w:color="D9E2EC"/>
              <w:left w:val="single" w:sz="4" w:space="0" w:color="D9E2EC"/>
              <w:bottom w:val="single" w:sz="4" w:space="0" w:color="D9E2EC"/>
              <w:right w:val="single" w:sz="4" w:space="0" w:color="D9E2EC"/>
            </w:tcBorders>
            <w:vAlign w:val="center"/>
          </w:tcPr>
          <w:p w14:paraId="5CB9BE59" w14:textId="77777777" w:rsidR="002E1600" w:rsidRDefault="00705E80">
            <w:r>
              <w:rPr>
                <w:sz w:val="18"/>
              </w:rPr>
              <w:t>Summary Gap</w:t>
            </w:r>
          </w:p>
        </w:tc>
        <w:tc>
          <w:tcPr>
            <w:tcW w:w="7272" w:type="dxa"/>
            <w:tcBorders>
              <w:top w:val="single" w:sz="4" w:space="0" w:color="D9E2EC"/>
              <w:left w:val="single" w:sz="4" w:space="0" w:color="D9E2EC"/>
              <w:bottom w:val="single" w:sz="4" w:space="0" w:color="D9E2EC"/>
              <w:right w:val="single" w:sz="4" w:space="0" w:color="D9E2EC"/>
            </w:tcBorders>
            <w:vAlign w:val="center"/>
          </w:tcPr>
          <w:p w14:paraId="11C8E7CD" w14:textId="77777777" w:rsidR="002E1600" w:rsidRDefault="00705E80">
            <w:r>
              <w:rPr>
                <w:sz w:val="18"/>
              </w:rPr>
              <w:t>Supply minus demand at stream, Sub Vertical, Vertical Total, and Grand Total level.</w:t>
            </w:r>
          </w:p>
        </w:tc>
      </w:tr>
      <w:tr w:rsidR="002E1600" w14:paraId="430F421B" w14:textId="77777777">
        <w:trPr>
          <w:jc w:val="center"/>
        </w:trPr>
        <w:tc>
          <w:tcPr>
            <w:tcW w:w="2520" w:type="dxa"/>
            <w:tcBorders>
              <w:top w:val="single" w:sz="4" w:space="0" w:color="D9E2EC"/>
              <w:left w:val="single" w:sz="4" w:space="0" w:color="D9E2EC"/>
              <w:bottom w:val="single" w:sz="4" w:space="0" w:color="D9E2EC"/>
              <w:right w:val="single" w:sz="4" w:space="0" w:color="D9E2EC"/>
            </w:tcBorders>
            <w:shd w:val="clear" w:color="auto" w:fill="F6F9FC"/>
            <w:vAlign w:val="center"/>
          </w:tcPr>
          <w:p w14:paraId="3D7D3AA5" w14:textId="77777777" w:rsidR="002E1600" w:rsidRDefault="00705E80">
            <w:r>
              <w:rPr>
                <w:sz w:val="18"/>
              </w:rPr>
              <w:t>Material Rollout Total</w:t>
            </w:r>
          </w:p>
        </w:tc>
        <w:tc>
          <w:tcPr>
            <w:tcW w:w="7272" w:type="dxa"/>
            <w:tcBorders>
              <w:top w:val="single" w:sz="4" w:space="0" w:color="D9E2EC"/>
              <w:left w:val="single" w:sz="4" w:space="0" w:color="D9E2EC"/>
              <w:bottom w:val="single" w:sz="4" w:space="0" w:color="D9E2EC"/>
              <w:right w:val="single" w:sz="4" w:space="0" w:color="D9E2EC"/>
            </w:tcBorders>
            <w:shd w:val="clear" w:color="auto" w:fill="F6F9FC"/>
            <w:vAlign w:val="center"/>
          </w:tcPr>
          <w:p w14:paraId="160A42BC" w14:textId="77777777" w:rsidR="002E1600" w:rsidRDefault="00705E80">
            <w:r>
              <w:rPr>
                <w:sz w:val="18"/>
              </w:rPr>
              <w:t>Day-wise rollout total plus Opening RGP.</w:t>
            </w:r>
          </w:p>
        </w:tc>
      </w:tr>
      <w:tr w:rsidR="002E1600" w14:paraId="2CB94E96" w14:textId="77777777">
        <w:trPr>
          <w:jc w:val="center"/>
        </w:trPr>
        <w:tc>
          <w:tcPr>
            <w:tcW w:w="2520" w:type="dxa"/>
            <w:tcBorders>
              <w:top w:val="single" w:sz="4" w:space="0" w:color="D9E2EC"/>
              <w:left w:val="single" w:sz="4" w:space="0" w:color="D9E2EC"/>
              <w:bottom w:val="single" w:sz="4" w:space="0" w:color="D9E2EC"/>
              <w:right w:val="single" w:sz="4" w:space="0" w:color="D9E2EC"/>
            </w:tcBorders>
            <w:vAlign w:val="center"/>
          </w:tcPr>
          <w:p w14:paraId="09080109" w14:textId="77777777" w:rsidR="002E1600" w:rsidRDefault="00705E80">
            <w:r>
              <w:rPr>
                <w:sz w:val="18"/>
              </w:rPr>
              <w:t>Material Rollout Gap</w:t>
            </w:r>
          </w:p>
        </w:tc>
        <w:tc>
          <w:tcPr>
            <w:tcW w:w="7272" w:type="dxa"/>
            <w:tcBorders>
              <w:top w:val="single" w:sz="4" w:space="0" w:color="D9E2EC"/>
              <w:left w:val="single" w:sz="4" w:space="0" w:color="D9E2EC"/>
              <w:bottom w:val="single" w:sz="4" w:space="0" w:color="D9E2EC"/>
              <w:right w:val="single" w:sz="4" w:space="0" w:color="D9E2EC"/>
            </w:tcBorders>
            <w:vAlign w:val="center"/>
          </w:tcPr>
          <w:p w14:paraId="59F5CF9E" w14:textId="77777777" w:rsidR="002E1600" w:rsidRDefault="00705E80">
            <w:r>
              <w:rPr>
                <w:sz w:val="18"/>
              </w:rPr>
              <w:t>Supply Total minus demand. Positive gap values display with a plus sign.</w:t>
            </w:r>
          </w:p>
        </w:tc>
      </w:tr>
      <w:tr w:rsidR="002E1600" w14:paraId="49AC1943" w14:textId="77777777">
        <w:trPr>
          <w:jc w:val="center"/>
        </w:trPr>
        <w:tc>
          <w:tcPr>
            <w:tcW w:w="2520" w:type="dxa"/>
            <w:tcBorders>
              <w:top w:val="single" w:sz="4" w:space="0" w:color="D9E2EC"/>
              <w:left w:val="single" w:sz="4" w:space="0" w:color="D9E2EC"/>
              <w:bottom w:val="single" w:sz="4" w:space="0" w:color="D9E2EC"/>
              <w:right w:val="single" w:sz="4" w:space="0" w:color="D9E2EC"/>
            </w:tcBorders>
            <w:shd w:val="clear" w:color="auto" w:fill="F6F9FC"/>
            <w:vAlign w:val="center"/>
          </w:tcPr>
          <w:p w14:paraId="7613053D" w14:textId="77777777" w:rsidR="002E1600" w:rsidRDefault="00705E80">
            <w:r>
              <w:rPr>
                <w:sz w:val="18"/>
              </w:rPr>
              <w:t>Material Rollout BAL</w:t>
            </w:r>
          </w:p>
        </w:tc>
        <w:tc>
          <w:tcPr>
            <w:tcW w:w="7272" w:type="dxa"/>
            <w:tcBorders>
              <w:top w:val="single" w:sz="4" w:space="0" w:color="D9E2EC"/>
              <w:left w:val="single" w:sz="4" w:space="0" w:color="D9E2EC"/>
              <w:bottom w:val="single" w:sz="4" w:space="0" w:color="D9E2EC"/>
              <w:right w:val="single" w:sz="4" w:space="0" w:color="D9E2EC"/>
            </w:tcBorders>
            <w:shd w:val="clear" w:color="auto" w:fill="F6F9FC"/>
            <w:vAlign w:val="center"/>
          </w:tcPr>
          <w:p w14:paraId="78D4EABE" w14:textId="77777777" w:rsidR="002E1600" w:rsidRDefault="00705E80">
            <w:r>
              <w:rPr>
                <w:sz w:val="18"/>
              </w:rPr>
              <w:t>Day-wise rollout supply minus demand. Opening RGP is excluded from BAL.</w:t>
            </w:r>
          </w:p>
        </w:tc>
      </w:tr>
      <w:tr w:rsidR="002E1600" w14:paraId="054FB550" w14:textId="77777777">
        <w:trPr>
          <w:jc w:val="center"/>
        </w:trPr>
        <w:tc>
          <w:tcPr>
            <w:tcW w:w="2520" w:type="dxa"/>
            <w:tcBorders>
              <w:top w:val="single" w:sz="4" w:space="0" w:color="D9E2EC"/>
              <w:left w:val="single" w:sz="4" w:space="0" w:color="D9E2EC"/>
              <w:bottom w:val="single" w:sz="4" w:space="0" w:color="D9E2EC"/>
              <w:right w:val="single" w:sz="4" w:space="0" w:color="D9E2EC"/>
            </w:tcBorders>
            <w:vAlign w:val="center"/>
          </w:tcPr>
          <w:p w14:paraId="16DCF30C" w14:textId="77777777" w:rsidR="002E1600" w:rsidRDefault="00705E80">
            <w:r>
              <w:rPr>
                <w:sz w:val="18"/>
              </w:rPr>
              <w:t>Opening RGP</w:t>
            </w:r>
          </w:p>
        </w:tc>
        <w:tc>
          <w:tcPr>
            <w:tcW w:w="7272" w:type="dxa"/>
            <w:tcBorders>
              <w:top w:val="single" w:sz="4" w:space="0" w:color="D9E2EC"/>
              <w:left w:val="single" w:sz="4" w:space="0" w:color="D9E2EC"/>
              <w:bottom w:val="single" w:sz="4" w:space="0" w:color="D9E2EC"/>
              <w:right w:val="single" w:sz="4" w:space="0" w:color="D9E2EC"/>
            </w:tcBorders>
            <w:vAlign w:val="center"/>
          </w:tcPr>
          <w:p w14:paraId="2F0D36EF" w14:textId="77777777" w:rsidR="002E1600" w:rsidRDefault="00705E80">
            <w:r>
              <w:rPr>
                <w:sz w:val="18"/>
              </w:rPr>
              <w:t>Editable in Material Rollout. The sample setup carries one opening RGP quantity of 5, producing a sample Gap of +5.</w:t>
            </w:r>
          </w:p>
        </w:tc>
      </w:tr>
    </w:tbl>
    <w:p w14:paraId="5A39BBE3" w14:textId="77777777" w:rsidR="002E1600" w:rsidRDefault="002E1600">
      <w:pPr>
        <w:spacing w:after="40"/>
      </w:pPr>
    </w:p>
    <w:p w14:paraId="5BCCB89F" w14:textId="77777777" w:rsidR="002E1600" w:rsidRDefault="00705E80">
      <w:pPr>
        <w:pStyle w:val="Heading1"/>
        <w:spacing w:before="240" w:after="100"/>
      </w:pPr>
      <w:r>
        <w:t>8 Excel Upload and Validation</w:t>
      </w:r>
    </w:p>
    <w:p w14:paraId="154A6415" w14:textId="77777777" w:rsidR="002E1600" w:rsidRDefault="00705E80">
      <w:pPr>
        <w:spacing w:after="100" w:line="259" w:lineRule="auto"/>
      </w:pPr>
      <w:r>
        <w:t>The prototype reads Excel locally in the browser. No workbook data is sent to an application server by the HTML page.</w:t>
      </w:r>
    </w:p>
    <w:tbl>
      <w:tblPr>
        <w:tblStyle w:val="TableGrid"/>
        <w:tblW w:w="0" w:type="auto"/>
        <w:jc w:val="center"/>
        <w:tblLook w:val="04A0" w:firstRow="1" w:lastRow="0" w:firstColumn="1" w:lastColumn="0" w:noHBand="0" w:noVBand="1"/>
      </w:tblPr>
      <w:tblGrid>
        <w:gridCol w:w="2376"/>
        <w:gridCol w:w="7416"/>
      </w:tblGrid>
      <w:tr w:rsidR="002E1600" w14:paraId="546CEE96" w14:textId="77777777">
        <w:trPr>
          <w:jc w:val="center"/>
        </w:trPr>
        <w:tc>
          <w:tcPr>
            <w:tcW w:w="2376" w:type="dxa"/>
            <w:tcBorders>
              <w:top w:val="single" w:sz="4" w:space="0" w:color="D9E2EC"/>
              <w:left w:val="single" w:sz="4" w:space="0" w:color="D9E2EC"/>
              <w:bottom w:val="single" w:sz="4" w:space="0" w:color="D9E2EC"/>
              <w:right w:val="single" w:sz="4" w:space="0" w:color="D9E2EC"/>
            </w:tcBorders>
            <w:shd w:val="clear" w:color="auto" w:fill="0B2545"/>
            <w:vAlign w:val="center"/>
          </w:tcPr>
          <w:p w14:paraId="7627B49D" w14:textId="77777777" w:rsidR="002E1600" w:rsidRDefault="00705E80">
            <w:r>
              <w:rPr>
                <w:b/>
                <w:color w:val="FFFFFF"/>
                <w:sz w:val="18"/>
              </w:rPr>
              <w:t>Requirement</w:t>
            </w:r>
          </w:p>
        </w:tc>
        <w:tc>
          <w:tcPr>
            <w:tcW w:w="7416" w:type="dxa"/>
            <w:tcBorders>
              <w:top w:val="single" w:sz="4" w:space="0" w:color="D9E2EC"/>
              <w:left w:val="single" w:sz="4" w:space="0" w:color="D9E2EC"/>
              <w:bottom w:val="single" w:sz="4" w:space="0" w:color="D9E2EC"/>
              <w:right w:val="single" w:sz="4" w:space="0" w:color="D9E2EC"/>
            </w:tcBorders>
            <w:shd w:val="clear" w:color="auto" w:fill="0B2545"/>
            <w:vAlign w:val="center"/>
          </w:tcPr>
          <w:p w14:paraId="5A5F5CAE" w14:textId="77777777" w:rsidR="002E1600" w:rsidRDefault="00705E80">
            <w:r>
              <w:rPr>
                <w:b/>
                <w:color w:val="FFFFFF"/>
                <w:sz w:val="18"/>
              </w:rPr>
              <w:t>Expected behavior</w:t>
            </w:r>
          </w:p>
        </w:tc>
      </w:tr>
      <w:tr w:rsidR="002E1600" w14:paraId="3507CB5E" w14:textId="77777777">
        <w:trPr>
          <w:jc w:val="center"/>
        </w:trPr>
        <w:tc>
          <w:tcPr>
            <w:tcW w:w="2376" w:type="dxa"/>
            <w:tcBorders>
              <w:top w:val="single" w:sz="4" w:space="0" w:color="D9E2EC"/>
              <w:left w:val="single" w:sz="4" w:space="0" w:color="D9E2EC"/>
              <w:bottom w:val="single" w:sz="4" w:space="0" w:color="D9E2EC"/>
              <w:right w:val="single" w:sz="4" w:space="0" w:color="D9E2EC"/>
            </w:tcBorders>
            <w:vAlign w:val="center"/>
          </w:tcPr>
          <w:p w14:paraId="2C9EAF19" w14:textId="77777777" w:rsidR="002E1600" w:rsidRDefault="00705E80">
            <w:r>
              <w:rPr>
                <w:sz w:val="18"/>
              </w:rPr>
              <w:t>Supported files</w:t>
            </w:r>
          </w:p>
        </w:tc>
        <w:tc>
          <w:tcPr>
            <w:tcW w:w="7416" w:type="dxa"/>
            <w:tcBorders>
              <w:top w:val="single" w:sz="4" w:space="0" w:color="D9E2EC"/>
              <w:left w:val="single" w:sz="4" w:space="0" w:color="D9E2EC"/>
              <w:bottom w:val="single" w:sz="4" w:space="0" w:color="D9E2EC"/>
              <w:right w:val="single" w:sz="4" w:space="0" w:color="D9E2EC"/>
            </w:tcBorders>
            <w:vAlign w:val="center"/>
          </w:tcPr>
          <w:p w14:paraId="4E81D87B" w14:textId="77777777" w:rsidR="002E1600" w:rsidRDefault="00705E80">
            <w:r>
              <w:rPr>
                <w:sz w:val="18"/>
              </w:rPr>
              <w:t>.xlsx and .xls</w:t>
            </w:r>
          </w:p>
        </w:tc>
      </w:tr>
      <w:tr w:rsidR="002E1600" w14:paraId="7AB44A4A" w14:textId="77777777">
        <w:trPr>
          <w:jc w:val="center"/>
        </w:trPr>
        <w:tc>
          <w:tcPr>
            <w:tcW w:w="2376" w:type="dxa"/>
            <w:tcBorders>
              <w:top w:val="single" w:sz="4" w:space="0" w:color="D9E2EC"/>
              <w:left w:val="single" w:sz="4" w:space="0" w:color="D9E2EC"/>
              <w:bottom w:val="single" w:sz="4" w:space="0" w:color="D9E2EC"/>
              <w:right w:val="single" w:sz="4" w:space="0" w:color="D9E2EC"/>
            </w:tcBorders>
            <w:shd w:val="clear" w:color="auto" w:fill="F6F9FC"/>
            <w:vAlign w:val="center"/>
          </w:tcPr>
          <w:p w14:paraId="09DE4E9C" w14:textId="77777777" w:rsidR="002E1600" w:rsidRDefault="00705E80">
            <w:r>
              <w:rPr>
                <w:sz w:val="18"/>
              </w:rPr>
              <w:t>Recognized sheets</w:t>
            </w:r>
          </w:p>
        </w:tc>
        <w:tc>
          <w:tcPr>
            <w:tcW w:w="7416" w:type="dxa"/>
            <w:tcBorders>
              <w:top w:val="single" w:sz="4" w:space="0" w:color="D9E2EC"/>
              <w:left w:val="single" w:sz="4" w:space="0" w:color="D9E2EC"/>
              <w:bottom w:val="single" w:sz="4" w:space="0" w:color="D9E2EC"/>
              <w:right w:val="single" w:sz="4" w:space="0" w:color="D9E2EC"/>
            </w:tcBorders>
            <w:shd w:val="clear" w:color="auto" w:fill="F6F9FC"/>
            <w:vAlign w:val="center"/>
          </w:tcPr>
          <w:p w14:paraId="44932A69" w14:textId="77777777" w:rsidR="002E1600" w:rsidRDefault="00705E80">
            <w:r>
              <w:rPr>
                <w:sz w:val="18"/>
              </w:rPr>
              <w:t>summary, final supply plan view for VH, dwise comb ok tag sheet, and rollout. Matching ignores case and surrounding spaces.</w:t>
            </w:r>
          </w:p>
        </w:tc>
      </w:tr>
      <w:tr w:rsidR="002E1600" w14:paraId="63BBB0AD" w14:textId="77777777">
        <w:trPr>
          <w:jc w:val="center"/>
        </w:trPr>
        <w:tc>
          <w:tcPr>
            <w:tcW w:w="2376" w:type="dxa"/>
            <w:tcBorders>
              <w:top w:val="single" w:sz="4" w:space="0" w:color="D9E2EC"/>
              <w:left w:val="single" w:sz="4" w:space="0" w:color="D9E2EC"/>
              <w:bottom w:val="single" w:sz="4" w:space="0" w:color="D9E2EC"/>
              <w:right w:val="single" w:sz="4" w:space="0" w:color="D9E2EC"/>
            </w:tcBorders>
            <w:vAlign w:val="center"/>
          </w:tcPr>
          <w:p w14:paraId="6D9C0E21" w14:textId="77777777" w:rsidR="002E1600" w:rsidRDefault="00705E80">
            <w:r>
              <w:rPr>
                <w:sz w:val="18"/>
              </w:rPr>
              <w:t>Validation</w:t>
            </w:r>
          </w:p>
        </w:tc>
        <w:tc>
          <w:tcPr>
            <w:tcW w:w="7416" w:type="dxa"/>
            <w:tcBorders>
              <w:top w:val="single" w:sz="4" w:space="0" w:color="D9E2EC"/>
              <w:left w:val="single" w:sz="4" w:space="0" w:color="D9E2EC"/>
              <w:bottom w:val="single" w:sz="4" w:space="0" w:color="D9E2EC"/>
              <w:right w:val="single" w:sz="4" w:space="0" w:color="D9E2EC"/>
            </w:tcBorders>
            <w:vAlign w:val="center"/>
          </w:tcPr>
          <w:p w14:paraId="40A64937" w14:textId="77777777" w:rsidR="002E1600" w:rsidRDefault="00705E80">
            <w:r>
              <w:rPr>
                <w:sz w:val="18"/>
              </w:rPr>
              <w:t>Required FERT and EDD columns, day-wise record matching, negative values, and week/day reconciliation are checked.</w:t>
            </w:r>
          </w:p>
        </w:tc>
      </w:tr>
      <w:tr w:rsidR="002E1600" w14:paraId="37A75C03" w14:textId="77777777">
        <w:trPr>
          <w:jc w:val="center"/>
        </w:trPr>
        <w:tc>
          <w:tcPr>
            <w:tcW w:w="2376" w:type="dxa"/>
            <w:tcBorders>
              <w:top w:val="single" w:sz="4" w:space="0" w:color="D9E2EC"/>
              <w:left w:val="single" w:sz="4" w:space="0" w:color="D9E2EC"/>
              <w:bottom w:val="single" w:sz="4" w:space="0" w:color="D9E2EC"/>
              <w:right w:val="single" w:sz="4" w:space="0" w:color="D9E2EC"/>
            </w:tcBorders>
            <w:shd w:val="clear" w:color="auto" w:fill="F6F9FC"/>
            <w:vAlign w:val="center"/>
          </w:tcPr>
          <w:p w14:paraId="2A6CFB50" w14:textId="77777777" w:rsidR="002E1600" w:rsidRDefault="00705E80">
            <w:r>
              <w:rPr>
                <w:sz w:val="18"/>
              </w:rPr>
              <w:t>Failure behavior</w:t>
            </w:r>
          </w:p>
        </w:tc>
        <w:tc>
          <w:tcPr>
            <w:tcW w:w="7416" w:type="dxa"/>
            <w:tcBorders>
              <w:top w:val="single" w:sz="4" w:space="0" w:color="D9E2EC"/>
              <w:left w:val="single" w:sz="4" w:space="0" w:color="D9E2EC"/>
              <w:bottom w:val="single" w:sz="4" w:space="0" w:color="D9E2EC"/>
              <w:right w:val="single" w:sz="4" w:space="0" w:color="D9E2EC"/>
            </w:tcBorders>
            <w:shd w:val="clear" w:color="auto" w:fill="F6F9FC"/>
            <w:vAlign w:val="center"/>
          </w:tcPr>
          <w:p w14:paraId="3BF810F2" w14:textId="77777777" w:rsidR="002E1600" w:rsidRDefault="00705E80">
            <w:r>
              <w:rPr>
                <w:sz w:val="18"/>
              </w:rPr>
              <w:t>Invalid files do not replace the current active dataset. The page lists validation issues.</w:t>
            </w:r>
          </w:p>
        </w:tc>
      </w:tr>
      <w:tr w:rsidR="002E1600" w14:paraId="131724AF" w14:textId="77777777">
        <w:trPr>
          <w:jc w:val="center"/>
        </w:trPr>
        <w:tc>
          <w:tcPr>
            <w:tcW w:w="2376" w:type="dxa"/>
            <w:tcBorders>
              <w:top w:val="single" w:sz="4" w:space="0" w:color="D9E2EC"/>
              <w:left w:val="single" w:sz="4" w:space="0" w:color="D9E2EC"/>
              <w:bottom w:val="single" w:sz="4" w:space="0" w:color="D9E2EC"/>
              <w:right w:val="single" w:sz="4" w:space="0" w:color="D9E2EC"/>
            </w:tcBorders>
            <w:vAlign w:val="center"/>
          </w:tcPr>
          <w:p w14:paraId="575EC701" w14:textId="77777777" w:rsidR="002E1600" w:rsidRDefault="00705E80">
            <w:r>
              <w:rPr>
                <w:sz w:val="18"/>
              </w:rPr>
              <w:t>Cycle behavior</w:t>
            </w:r>
          </w:p>
        </w:tc>
        <w:tc>
          <w:tcPr>
            <w:tcW w:w="7416" w:type="dxa"/>
            <w:tcBorders>
              <w:top w:val="single" w:sz="4" w:space="0" w:color="D9E2EC"/>
              <w:left w:val="single" w:sz="4" w:space="0" w:color="D9E2EC"/>
              <w:bottom w:val="single" w:sz="4" w:space="0" w:color="D9E2EC"/>
              <w:right w:val="single" w:sz="4" w:space="0" w:color="D9E2EC"/>
            </w:tcBorders>
            <w:vAlign w:val="center"/>
          </w:tcPr>
          <w:p w14:paraId="7E81997B" w14:textId="77777777" w:rsidR="002E1600" w:rsidRDefault="00705E80">
            <w:r>
              <w:rPr>
                <w:sz w:val="18"/>
              </w:rPr>
              <w:t>An upload updates only the selected S&amp;OP cycle dataset.</w:t>
            </w:r>
          </w:p>
        </w:tc>
      </w:tr>
    </w:tbl>
    <w:p w14:paraId="41C8F396" w14:textId="77777777" w:rsidR="002E1600" w:rsidRDefault="002E1600">
      <w:pPr>
        <w:spacing w:after="40"/>
      </w:pPr>
    </w:p>
    <w:p w14:paraId="1FC0F50D" w14:textId="77777777" w:rsidR="002E1600" w:rsidRDefault="00705E80">
      <w:pPr>
        <w:pStyle w:val="Heading1"/>
        <w:spacing w:before="240" w:after="100"/>
      </w:pPr>
      <w:r>
        <w:t>9 End to End Workflow</w:t>
      </w:r>
    </w:p>
    <w:tbl>
      <w:tblPr>
        <w:tblStyle w:val="TableGrid"/>
        <w:tblW w:w="0" w:type="auto"/>
        <w:jc w:val="center"/>
        <w:tblLook w:val="04A0" w:firstRow="1" w:lastRow="0" w:firstColumn="1" w:lastColumn="0" w:noHBand="0" w:noVBand="1"/>
      </w:tblPr>
      <w:tblGrid>
        <w:gridCol w:w="720"/>
        <w:gridCol w:w="3672"/>
        <w:gridCol w:w="5400"/>
      </w:tblGrid>
      <w:tr w:rsidR="002E1600" w14:paraId="725D6C96" w14:textId="77777777">
        <w:trPr>
          <w:jc w:val="center"/>
        </w:trPr>
        <w:tc>
          <w:tcPr>
            <w:tcW w:w="720" w:type="dxa"/>
            <w:tcBorders>
              <w:top w:val="single" w:sz="4" w:space="0" w:color="D9E2EC"/>
              <w:left w:val="single" w:sz="4" w:space="0" w:color="D9E2EC"/>
              <w:bottom w:val="single" w:sz="4" w:space="0" w:color="D9E2EC"/>
              <w:right w:val="single" w:sz="4" w:space="0" w:color="D9E2EC"/>
            </w:tcBorders>
            <w:shd w:val="clear" w:color="auto" w:fill="0B2545"/>
            <w:vAlign w:val="center"/>
          </w:tcPr>
          <w:p w14:paraId="74231C31" w14:textId="77777777" w:rsidR="002E1600" w:rsidRDefault="00705E80">
            <w:r>
              <w:rPr>
                <w:b/>
                <w:color w:val="FFFFFF"/>
                <w:sz w:val="18"/>
              </w:rPr>
              <w:t>Step</w:t>
            </w:r>
          </w:p>
        </w:tc>
        <w:tc>
          <w:tcPr>
            <w:tcW w:w="3672" w:type="dxa"/>
            <w:tcBorders>
              <w:top w:val="single" w:sz="4" w:space="0" w:color="D9E2EC"/>
              <w:left w:val="single" w:sz="4" w:space="0" w:color="D9E2EC"/>
              <w:bottom w:val="single" w:sz="4" w:space="0" w:color="D9E2EC"/>
              <w:right w:val="single" w:sz="4" w:space="0" w:color="D9E2EC"/>
            </w:tcBorders>
            <w:shd w:val="clear" w:color="auto" w:fill="0B2545"/>
            <w:vAlign w:val="center"/>
          </w:tcPr>
          <w:p w14:paraId="2AAA0A03" w14:textId="77777777" w:rsidR="002E1600" w:rsidRDefault="00705E80">
            <w:r>
              <w:rPr>
                <w:b/>
                <w:color w:val="FFFFFF"/>
                <w:sz w:val="18"/>
              </w:rPr>
              <w:t>Planner action</w:t>
            </w:r>
          </w:p>
        </w:tc>
        <w:tc>
          <w:tcPr>
            <w:tcW w:w="5400" w:type="dxa"/>
            <w:tcBorders>
              <w:top w:val="single" w:sz="4" w:space="0" w:color="D9E2EC"/>
              <w:left w:val="single" w:sz="4" w:space="0" w:color="D9E2EC"/>
              <w:bottom w:val="single" w:sz="4" w:space="0" w:color="D9E2EC"/>
              <w:right w:val="single" w:sz="4" w:space="0" w:color="D9E2EC"/>
            </w:tcBorders>
            <w:shd w:val="clear" w:color="auto" w:fill="0B2545"/>
            <w:vAlign w:val="center"/>
          </w:tcPr>
          <w:p w14:paraId="09ED94D5" w14:textId="77777777" w:rsidR="002E1600" w:rsidRDefault="00705E80">
            <w:r>
              <w:rPr>
                <w:b/>
                <w:color w:val="FFFFFF"/>
                <w:sz w:val="18"/>
              </w:rPr>
              <w:t>System result</w:t>
            </w:r>
          </w:p>
        </w:tc>
      </w:tr>
      <w:tr w:rsidR="002E1600" w14:paraId="2DE83130" w14:textId="77777777">
        <w:trPr>
          <w:jc w:val="center"/>
        </w:trPr>
        <w:tc>
          <w:tcPr>
            <w:tcW w:w="720" w:type="dxa"/>
            <w:tcBorders>
              <w:top w:val="single" w:sz="4" w:space="0" w:color="D9E2EC"/>
              <w:left w:val="single" w:sz="4" w:space="0" w:color="D9E2EC"/>
              <w:bottom w:val="single" w:sz="4" w:space="0" w:color="D9E2EC"/>
              <w:right w:val="single" w:sz="4" w:space="0" w:color="D9E2EC"/>
            </w:tcBorders>
            <w:vAlign w:val="center"/>
          </w:tcPr>
          <w:p w14:paraId="649841BE" w14:textId="77777777" w:rsidR="002E1600" w:rsidRDefault="00705E80">
            <w:r>
              <w:rPr>
                <w:sz w:val="18"/>
              </w:rPr>
              <w:t>1</w:t>
            </w:r>
          </w:p>
        </w:tc>
        <w:tc>
          <w:tcPr>
            <w:tcW w:w="3672" w:type="dxa"/>
            <w:tcBorders>
              <w:top w:val="single" w:sz="4" w:space="0" w:color="D9E2EC"/>
              <w:left w:val="single" w:sz="4" w:space="0" w:color="D9E2EC"/>
              <w:bottom w:val="single" w:sz="4" w:space="0" w:color="D9E2EC"/>
              <w:right w:val="single" w:sz="4" w:space="0" w:color="D9E2EC"/>
            </w:tcBorders>
            <w:vAlign w:val="center"/>
          </w:tcPr>
          <w:p w14:paraId="16715810" w14:textId="77777777" w:rsidR="002E1600" w:rsidRDefault="00705E80">
            <w:r>
              <w:rPr>
                <w:sz w:val="18"/>
              </w:rPr>
              <w:t>Open the workbench and select S&amp;OP1A or S&amp;OP1B.</w:t>
            </w:r>
          </w:p>
        </w:tc>
        <w:tc>
          <w:tcPr>
            <w:tcW w:w="5400" w:type="dxa"/>
            <w:tcBorders>
              <w:top w:val="single" w:sz="4" w:space="0" w:color="D9E2EC"/>
              <w:left w:val="single" w:sz="4" w:space="0" w:color="D9E2EC"/>
              <w:bottom w:val="single" w:sz="4" w:space="0" w:color="D9E2EC"/>
              <w:right w:val="single" w:sz="4" w:space="0" w:color="D9E2EC"/>
            </w:tcBorders>
            <w:vAlign w:val="center"/>
          </w:tcPr>
          <w:p w14:paraId="5C720329" w14:textId="77777777" w:rsidR="002E1600" w:rsidRDefault="00705E80">
            <w:r>
              <w:rPr>
                <w:sz w:val="18"/>
              </w:rPr>
              <w:t>Marks the active cycle and loads its independent data.</w:t>
            </w:r>
          </w:p>
        </w:tc>
      </w:tr>
      <w:tr w:rsidR="002E1600" w14:paraId="216B5663" w14:textId="77777777">
        <w:trPr>
          <w:jc w:val="center"/>
        </w:trPr>
        <w:tc>
          <w:tcPr>
            <w:tcW w:w="720" w:type="dxa"/>
            <w:tcBorders>
              <w:top w:val="single" w:sz="4" w:space="0" w:color="D9E2EC"/>
              <w:left w:val="single" w:sz="4" w:space="0" w:color="D9E2EC"/>
              <w:bottom w:val="single" w:sz="4" w:space="0" w:color="D9E2EC"/>
              <w:right w:val="single" w:sz="4" w:space="0" w:color="D9E2EC"/>
            </w:tcBorders>
            <w:shd w:val="clear" w:color="auto" w:fill="F6F9FC"/>
            <w:vAlign w:val="center"/>
          </w:tcPr>
          <w:p w14:paraId="18F999B5" w14:textId="77777777" w:rsidR="002E1600" w:rsidRDefault="00705E80">
            <w:r>
              <w:rPr>
                <w:sz w:val="18"/>
              </w:rPr>
              <w:t>2</w:t>
            </w:r>
          </w:p>
        </w:tc>
        <w:tc>
          <w:tcPr>
            <w:tcW w:w="3672" w:type="dxa"/>
            <w:tcBorders>
              <w:top w:val="single" w:sz="4" w:space="0" w:color="D9E2EC"/>
              <w:left w:val="single" w:sz="4" w:space="0" w:color="D9E2EC"/>
              <w:bottom w:val="single" w:sz="4" w:space="0" w:color="D9E2EC"/>
              <w:right w:val="single" w:sz="4" w:space="0" w:color="D9E2EC"/>
            </w:tcBorders>
            <w:shd w:val="clear" w:color="auto" w:fill="F6F9FC"/>
            <w:vAlign w:val="center"/>
          </w:tcPr>
          <w:p w14:paraId="13104418" w14:textId="77777777" w:rsidR="002E1600" w:rsidRDefault="00705E80">
            <w:r>
              <w:rPr>
                <w:sz w:val="18"/>
              </w:rPr>
              <w:t>Apply filters or select a planning month.</w:t>
            </w:r>
          </w:p>
        </w:tc>
        <w:tc>
          <w:tcPr>
            <w:tcW w:w="5400" w:type="dxa"/>
            <w:tcBorders>
              <w:top w:val="single" w:sz="4" w:space="0" w:color="D9E2EC"/>
              <w:left w:val="single" w:sz="4" w:space="0" w:color="D9E2EC"/>
              <w:bottom w:val="single" w:sz="4" w:space="0" w:color="D9E2EC"/>
              <w:right w:val="single" w:sz="4" w:space="0" w:color="D9E2EC"/>
            </w:tcBorders>
            <w:shd w:val="clear" w:color="auto" w:fill="F6F9FC"/>
            <w:vAlign w:val="center"/>
          </w:tcPr>
          <w:p w14:paraId="24D94103" w14:textId="77777777" w:rsidR="002E1600" w:rsidRDefault="00705E80">
            <w:r>
              <w:rPr>
                <w:sz w:val="18"/>
              </w:rPr>
              <w:t>Refreshes the visible scope without changing source records.</w:t>
            </w:r>
          </w:p>
        </w:tc>
      </w:tr>
      <w:tr w:rsidR="002E1600" w14:paraId="080BAB87" w14:textId="77777777">
        <w:trPr>
          <w:jc w:val="center"/>
        </w:trPr>
        <w:tc>
          <w:tcPr>
            <w:tcW w:w="720" w:type="dxa"/>
            <w:tcBorders>
              <w:top w:val="single" w:sz="4" w:space="0" w:color="D9E2EC"/>
              <w:left w:val="single" w:sz="4" w:space="0" w:color="D9E2EC"/>
              <w:bottom w:val="single" w:sz="4" w:space="0" w:color="D9E2EC"/>
              <w:right w:val="single" w:sz="4" w:space="0" w:color="D9E2EC"/>
            </w:tcBorders>
            <w:vAlign w:val="center"/>
          </w:tcPr>
          <w:p w14:paraId="5FCD5EC4" w14:textId="77777777" w:rsidR="002E1600" w:rsidRDefault="00705E80">
            <w:r>
              <w:rPr>
                <w:sz w:val="18"/>
              </w:rPr>
              <w:t>3</w:t>
            </w:r>
          </w:p>
        </w:tc>
        <w:tc>
          <w:tcPr>
            <w:tcW w:w="3672" w:type="dxa"/>
            <w:tcBorders>
              <w:top w:val="single" w:sz="4" w:space="0" w:color="D9E2EC"/>
              <w:left w:val="single" w:sz="4" w:space="0" w:color="D9E2EC"/>
              <w:bottom w:val="single" w:sz="4" w:space="0" w:color="D9E2EC"/>
              <w:right w:val="single" w:sz="4" w:space="0" w:color="D9E2EC"/>
            </w:tcBorders>
            <w:vAlign w:val="center"/>
          </w:tcPr>
          <w:p w14:paraId="103D9F32" w14:textId="77777777" w:rsidR="002E1600" w:rsidRDefault="00705E80">
            <w:r>
              <w:rPr>
                <w:sz w:val="18"/>
              </w:rPr>
              <w:t>Enter day-wise EDD values.</w:t>
            </w:r>
          </w:p>
        </w:tc>
        <w:tc>
          <w:tcPr>
            <w:tcW w:w="5400" w:type="dxa"/>
            <w:tcBorders>
              <w:top w:val="single" w:sz="4" w:space="0" w:color="D9E2EC"/>
              <w:left w:val="single" w:sz="4" w:space="0" w:color="D9E2EC"/>
              <w:bottom w:val="single" w:sz="4" w:space="0" w:color="D9E2EC"/>
              <w:right w:val="single" w:sz="4" w:space="0" w:color="D9E2EC"/>
            </w:tcBorders>
            <w:vAlign w:val="center"/>
          </w:tcPr>
          <w:p w14:paraId="04991B38" w14:textId="77777777" w:rsidR="002E1600" w:rsidRDefault="00705E80">
            <w:r>
              <w:rPr>
                <w:sz w:val="18"/>
              </w:rPr>
              <w:t>Recalculates weekly EDD, balance, reconciliation, and gaps.</w:t>
            </w:r>
          </w:p>
        </w:tc>
      </w:tr>
      <w:tr w:rsidR="002E1600" w14:paraId="573DE4CB" w14:textId="77777777">
        <w:trPr>
          <w:jc w:val="center"/>
        </w:trPr>
        <w:tc>
          <w:tcPr>
            <w:tcW w:w="720" w:type="dxa"/>
            <w:tcBorders>
              <w:top w:val="single" w:sz="4" w:space="0" w:color="D9E2EC"/>
              <w:left w:val="single" w:sz="4" w:space="0" w:color="D9E2EC"/>
              <w:bottom w:val="single" w:sz="4" w:space="0" w:color="D9E2EC"/>
              <w:right w:val="single" w:sz="4" w:space="0" w:color="D9E2EC"/>
            </w:tcBorders>
            <w:shd w:val="clear" w:color="auto" w:fill="F6F9FC"/>
            <w:vAlign w:val="center"/>
          </w:tcPr>
          <w:p w14:paraId="2598DEE6" w14:textId="77777777" w:rsidR="002E1600" w:rsidRDefault="00705E80">
            <w:r>
              <w:rPr>
                <w:sz w:val="18"/>
              </w:rPr>
              <w:t>4</w:t>
            </w:r>
          </w:p>
        </w:tc>
        <w:tc>
          <w:tcPr>
            <w:tcW w:w="3672" w:type="dxa"/>
            <w:tcBorders>
              <w:top w:val="single" w:sz="4" w:space="0" w:color="D9E2EC"/>
              <w:left w:val="single" w:sz="4" w:space="0" w:color="D9E2EC"/>
              <w:bottom w:val="single" w:sz="4" w:space="0" w:color="D9E2EC"/>
              <w:right w:val="single" w:sz="4" w:space="0" w:color="D9E2EC"/>
            </w:tcBorders>
            <w:shd w:val="clear" w:color="auto" w:fill="F6F9FC"/>
            <w:vAlign w:val="center"/>
          </w:tcPr>
          <w:p w14:paraId="7D902BA2" w14:textId="77777777" w:rsidR="002E1600" w:rsidRDefault="00705E80">
            <w:r>
              <w:rPr>
                <w:sz w:val="18"/>
              </w:rPr>
              <w:t>Review Summary.</w:t>
            </w:r>
          </w:p>
        </w:tc>
        <w:tc>
          <w:tcPr>
            <w:tcW w:w="5400" w:type="dxa"/>
            <w:tcBorders>
              <w:top w:val="single" w:sz="4" w:space="0" w:color="D9E2EC"/>
              <w:left w:val="single" w:sz="4" w:space="0" w:color="D9E2EC"/>
              <w:bottom w:val="single" w:sz="4" w:space="0" w:color="D9E2EC"/>
              <w:right w:val="single" w:sz="4" w:space="0" w:color="D9E2EC"/>
            </w:tcBorders>
            <w:shd w:val="clear" w:color="auto" w:fill="F6F9FC"/>
            <w:vAlign w:val="center"/>
          </w:tcPr>
          <w:p w14:paraId="748D3A55" w14:textId="77777777" w:rsidR="002E1600" w:rsidRDefault="00705E80">
            <w:r>
              <w:rPr>
                <w:sz w:val="18"/>
              </w:rPr>
              <w:t>Shows supply minus demand by vertical and Sub Vertical.</w:t>
            </w:r>
          </w:p>
        </w:tc>
      </w:tr>
      <w:tr w:rsidR="002E1600" w14:paraId="0E652B70" w14:textId="77777777">
        <w:trPr>
          <w:jc w:val="center"/>
        </w:trPr>
        <w:tc>
          <w:tcPr>
            <w:tcW w:w="720" w:type="dxa"/>
            <w:tcBorders>
              <w:top w:val="single" w:sz="4" w:space="0" w:color="D9E2EC"/>
              <w:left w:val="single" w:sz="4" w:space="0" w:color="D9E2EC"/>
              <w:bottom w:val="single" w:sz="4" w:space="0" w:color="D9E2EC"/>
              <w:right w:val="single" w:sz="4" w:space="0" w:color="D9E2EC"/>
            </w:tcBorders>
            <w:vAlign w:val="center"/>
          </w:tcPr>
          <w:p w14:paraId="78941E47" w14:textId="77777777" w:rsidR="002E1600" w:rsidRDefault="00705E80">
            <w:r>
              <w:rPr>
                <w:sz w:val="18"/>
              </w:rPr>
              <w:t>5</w:t>
            </w:r>
          </w:p>
        </w:tc>
        <w:tc>
          <w:tcPr>
            <w:tcW w:w="3672" w:type="dxa"/>
            <w:tcBorders>
              <w:top w:val="single" w:sz="4" w:space="0" w:color="D9E2EC"/>
              <w:left w:val="single" w:sz="4" w:space="0" w:color="D9E2EC"/>
              <w:bottom w:val="single" w:sz="4" w:space="0" w:color="D9E2EC"/>
              <w:right w:val="single" w:sz="4" w:space="0" w:color="D9E2EC"/>
            </w:tcBorders>
            <w:vAlign w:val="center"/>
          </w:tcPr>
          <w:p w14:paraId="41CCABD1" w14:textId="77777777" w:rsidR="002E1600" w:rsidRDefault="00705E80">
            <w:r>
              <w:rPr>
                <w:sz w:val="18"/>
              </w:rPr>
              <w:t>Enter Opening RGP or day-wise Material Rollout.</w:t>
            </w:r>
          </w:p>
        </w:tc>
        <w:tc>
          <w:tcPr>
            <w:tcW w:w="5400" w:type="dxa"/>
            <w:tcBorders>
              <w:top w:val="single" w:sz="4" w:space="0" w:color="D9E2EC"/>
              <w:left w:val="single" w:sz="4" w:space="0" w:color="D9E2EC"/>
              <w:bottom w:val="single" w:sz="4" w:space="0" w:color="D9E2EC"/>
              <w:right w:val="single" w:sz="4" w:space="0" w:color="D9E2EC"/>
            </w:tcBorders>
            <w:vAlign w:val="center"/>
          </w:tcPr>
          <w:p w14:paraId="36A71954" w14:textId="77777777" w:rsidR="002E1600" w:rsidRDefault="00705E80">
            <w:r>
              <w:rPr>
                <w:sz w:val="18"/>
              </w:rPr>
              <w:t>Updates Material Rollout Total, Gap, and BAL.</w:t>
            </w:r>
          </w:p>
        </w:tc>
      </w:tr>
      <w:tr w:rsidR="002E1600" w14:paraId="126902FF" w14:textId="77777777">
        <w:trPr>
          <w:jc w:val="center"/>
        </w:trPr>
        <w:tc>
          <w:tcPr>
            <w:tcW w:w="720" w:type="dxa"/>
            <w:tcBorders>
              <w:top w:val="single" w:sz="4" w:space="0" w:color="D9E2EC"/>
              <w:left w:val="single" w:sz="4" w:space="0" w:color="D9E2EC"/>
              <w:bottom w:val="single" w:sz="4" w:space="0" w:color="D9E2EC"/>
              <w:right w:val="single" w:sz="4" w:space="0" w:color="D9E2EC"/>
            </w:tcBorders>
            <w:shd w:val="clear" w:color="auto" w:fill="F6F9FC"/>
            <w:vAlign w:val="center"/>
          </w:tcPr>
          <w:p w14:paraId="29B4EA11" w14:textId="77777777" w:rsidR="002E1600" w:rsidRDefault="00705E80">
            <w:r>
              <w:rPr>
                <w:sz w:val="18"/>
              </w:rPr>
              <w:t>6</w:t>
            </w:r>
          </w:p>
        </w:tc>
        <w:tc>
          <w:tcPr>
            <w:tcW w:w="3672" w:type="dxa"/>
            <w:tcBorders>
              <w:top w:val="single" w:sz="4" w:space="0" w:color="D9E2EC"/>
              <w:left w:val="single" w:sz="4" w:space="0" w:color="D9E2EC"/>
              <w:bottom w:val="single" w:sz="4" w:space="0" w:color="D9E2EC"/>
              <w:right w:val="single" w:sz="4" w:space="0" w:color="D9E2EC"/>
            </w:tcBorders>
            <w:shd w:val="clear" w:color="auto" w:fill="F6F9FC"/>
            <w:vAlign w:val="center"/>
          </w:tcPr>
          <w:p w14:paraId="2847E240" w14:textId="77777777" w:rsidR="002E1600" w:rsidRDefault="00705E80">
            <w:r>
              <w:rPr>
                <w:sz w:val="18"/>
              </w:rPr>
              <w:t>Upload a validated Excel workbook when required.</w:t>
            </w:r>
          </w:p>
        </w:tc>
        <w:tc>
          <w:tcPr>
            <w:tcW w:w="5400" w:type="dxa"/>
            <w:tcBorders>
              <w:top w:val="single" w:sz="4" w:space="0" w:color="D9E2EC"/>
              <w:left w:val="single" w:sz="4" w:space="0" w:color="D9E2EC"/>
              <w:bottom w:val="single" w:sz="4" w:space="0" w:color="D9E2EC"/>
              <w:right w:val="single" w:sz="4" w:space="0" w:color="D9E2EC"/>
            </w:tcBorders>
            <w:shd w:val="clear" w:color="auto" w:fill="F6F9FC"/>
            <w:vAlign w:val="center"/>
          </w:tcPr>
          <w:p w14:paraId="6A2541D3" w14:textId="77777777" w:rsidR="002E1600" w:rsidRDefault="00705E80">
            <w:r>
              <w:rPr>
                <w:sz w:val="18"/>
              </w:rPr>
              <w:t>Replaces the selected cycle data only after validation passes.</w:t>
            </w:r>
          </w:p>
        </w:tc>
      </w:tr>
    </w:tbl>
    <w:p w14:paraId="72A3D3EC" w14:textId="77777777" w:rsidR="002E1600" w:rsidRDefault="002E1600">
      <w:pPr>
        <w:spacing w:after="40"/>
      </w:pPr>
    </w:p>
    <w:p w14:paraId="6C56C869" w14:textId="77777777" w:rsidR="002E1600" w:rsidRDefault="00705E80">
      <w:pPr>
        <w:pStyle w:val="Heading1"/>
        <w:spacing w:before="240" w:after="100"/>
      </w:pPr>
      <w:r>
        <w:t>10 Acceptance Criteria</w:t>
      </w:r>
    </w:p>
    <w:p w14:paraId="4C298172" w14:textId="77777777" w:rsidR="002E1600" w:rsidRDefault="00705E80">
      <w:pPr>
        <w:pStyle w:val="ListBullet"/>
        <w:spacing w:after="40"/>
      </w:pPr>
      <w:r>
        <w:t>Both S&amp;OP cycle buttons are selectable and the selected cycle is visibly marked.</w:t>
      </w:r>
    </w:p>
    <w:p w14:paraId="6630357A" w14:textId="77777777" w:rsidR="002E1600" w:rsidRDefault="00705E80">
      <w:pPr>
        <w:pStyle w:val="ListBullet"/>
        <w:spacing w:after="40"/>
      </w:pPr>
      <w:r>
        <w:t>S&amp;OP1B retains the complete S&amp;OP1A functionality and replaces visible cycle labels.</w:t>
      </w:r>
    </w:p>
    <w:p w14:paraId="2A663C84" w14:textId="77777777" w:rsidR="002E1600" w:rsidRDefault="00705E80">
      <w:pPr>
        <w:pStyle w:val="ListBullet"/>
        <w:spacing w:after="40"/>
      </w:pPr>
      <w:r>
        <w:t>Day-wise Combined OK Tag displays daily columns rather than a week-wise-only plan view.</w:t>
      </w:r>
    </w:p>
    <w:p w14:paraId="434F5425" w14:textId="77777777" w:rsidR="002E1600" w:rsidRDefault="00705E80">
      <w:pPr>
        <w:pStyle w:val="ListBullet"/>
        <w:spacing w:after="40"/>
      </w:pPr>
      <w:r>
        <w:t>Final Supply Plan View EDD is calculated from day-wise EDD and is not directly editable.</w:t>
      </w:r>
    </w:p>
    <w:p w14:paraId="471E84CB" w14:textId="77777777" w:rsidR="002E1600" w:rsidRDefault="00705E80">
      <w:pPr>
        <w:pStyle w:val="ListBullet"/>
        <w:spacing w:after="40"/>
      </w:pPr>
      <w:r>
        <w:t>Summary uses supply minus demand and preserves the workbook vertical/Sub Vertical hierarchy.</w:t>
      </w:r>
    </w:p>
    <w:p w14:paraId="3F2AA4A7" w14:textId="77777777" w:rsidR="002E1600" w:rsidRDefault="00705E80">
      <w:pPr>
        <w:pStyle w:val="ListBullet"/>
        <w:spacing w:after="40"/>
      </w:pPr>
      <w:r>
        <w:t>Material Rollout Gap equals Supply Total minus demand, and Material Rollout BAL excludes Opening RGP.</w:t>
      </w:r>
    </w:p>
    <w:p w14:paraId="5861641D" w14:textId="77777777" w:rsidR="002E1600" w:rsidRDefault="00705E80">
      <w:pPr>
        <w:pStyle w:val="ListBullet"/>
        <w:spacing w:after="40"/>
      </w:pPr>
      <w:r>
        <w:t>Opening RGP remains editable in Material Rollout.</w:t>
      </w:r>
    </w:p>
    <w:p w14:paraId="57064E44" w14:textId="77777777" w:rsidR="002E1600" w:rsidRDefault="779D903C">
      <w:pPr>
        <w:pStyle w:val="ListBullet"/>
        <w:spacing w:after="40"/>
      </w:pPr>
      <w:r>
        <w:t>All original filter and page layouts remain available.</w:t>
      </w:r>
    </w:p>
    <w:sectPr w:rsidR="002E1600" w:rsidSect="00034616">
      <w:headerReference w:type="default" r:id="rId11"/>
      <w:footerReference w:type="default" r:id="rId12"/>
      <w:pgSz w:w="12240" w:h="15840"/>
      <w:pgMar w:top="936" w:right="1080" w:bottom="864"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27C62C" w14:textId="77777777" w:rsidR="00705E80" w:rsidRDefault="00705E80">
      <w:pPr>
        <w:spacing w:after="0" w:line="240" w:lineRule="auto"/>
      </w:pPr>
      <w:r>
        <w:separator/>
      </w:r>
    </w:p>
  </w:endnote>
  <w:endnote w:type="continuationSeparator" w:id="0">
    <w:p w14:paraId="33B838D0" w14:textId="77777777" w:rsidR="00705E80" w:rsidRDefault="00705E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28D5ED" w14:textId="77777777" w:rsidR="002E1600" w:rsidRDefault="00705E80">
    <w:pPr>
      <w:pStyle w:val="Footer"/>
      <w:jc w:val="center"/>
    </w:pPr>
    <w:r>
      <w:rPr>
        <w:color w:val="5A6E82"/>
        <w:sz w:val="16"/>
      </w:rPr>
      <w:t>Functional Specification Design  |  Phase 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77AE02" w14:textId="77777777" w:rsidR="00705E80" w:rsidRDefault="00705E80">
      <w:pPr>
        <w:spacing w:after="0" w:line="240" w:lineRule="auto"/>
      </w:pPr>
      <w:r>
        <w:separator/>
      </w:r>
    </w:p>
  </w:footnote>
  <w:footnote w:type="continuationSeparator" w:id="0">
    <w:p w14:paraId="62DF1330" w14:textId="77777777" w:rsidR="00705E80" w:rsidRDefault="00705E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824FA8" w14:textId="77777777" w:rsidR="002E1600" w:rsidRDefault="00705E80">
    <w:pPr>
      <w:pStyle w:val="Header"/>
      <w:jc w:val="right"/>
    </w:pPr>
    <w:r>
      <w:rPr>
        <w:color w:val="5A6E82"/>
        <w:sz w:val="16"/>
      </w:rPr>
      <w:t>VECVplan  |  EDD Supply Planning Workbench</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08842227">
    <w:abstractNumId w:val="8"/>
  </w:num>
  <w:num w:numId="2" w16cid:durableId="344019535">
    <w:abstractNumId w:val="6"/>
  </w:num>
  <w:num w:numId="3" w16cid:durableId="182210608">
    <w:abstractNumId w:val="5"/>
  </w:num>
  <w:num w:numId="4" w16cid:durableId="1173647496">
    <w:abstractNumId w:val="4"/>
  </w:num>
  <w:num w:numId="5" w16cid:durableId="1282227799">
    <w:abstractNumId w:val="7"/>
  </w:num>
  <w:num w:numId="6" w16cid:durableId="1866675285">
    <w:abstractNumId w:val="3"/>
  </w:num>
  <w:num w:numId="7" w16cid:durableId="824859446">
    <w:abstractNumId w:val="2"/>
  </w:num>
  <w:num w:numId="8" w16cid:durableId="1750225662">
    <w:abstractNumId w:val="1"/>
  </w:num>
  <w:num w:numId="9" w16cid:durableId="7922094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E1600"/>
    <w:rsid w:val="00326F90"/>
    <w:rsid w:val="00705E80"/>
    <w:rsid w:val="00AA1D8D"/>
    <w:rsid w:val="00B47730"/>
    <w:rsid w:val="00CB0664"/>
    <w:rsid w:val="00CD0D61"/>
    <w:rsid w:val="00FC693F"/>
    <w:rsid w:val="10F7B1FB"/>
    <w:rsid w:val="779D903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736BECCB-EE37-493A-802E-CB56631448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57566b0b-71de-458e-9f2e-9e8b3d616881">
      <Terms xmlns="http://schemas.microsoft.com/office/infopath/2007/PartnerControls"/>
    </lcf76f155ced4ddcb4097134ff3c332f>
    <MediaLengthInSeconds xmlns="57566b0b-71de-458e-9f2e-9e8b3d616881"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915D1156AF89E94CB4E0E819A4FFFAAD" ma:contentTypeVersion="10" ma:contentTypeDescription="Create a new document." ma:contentTypeScope="" ma:versionID="61872c4fbe53fcdd153f909cd790dd28">
  <xsd:schema xmlns:xsd="http://www.w3.org/2001/XMLSchema" xmlns:xs="http://www.w3.org/2001/XMLSchema" xmlns:p="http://schemas.microsoft.com/office/2006/metadata/properties" xmlns:ns2="57566b0b-71de-458e-9f2e-9e8b3d616881" targetNamespace="http://schemas.microsoft.com/office/2006/metadata/properties" ma:root="true" ma:fieldsID="11e0f8d1eec925045bf0dcf8a49d40ae" ns2:_="">
    <xsd:import namespace="57566b0b-71de-458e-9f2e-9e8b3d61688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7566b0b-71de-458e-9f2e-9e8b3d61688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ce324c80-68f0-4eca-84bf-9f08e60561c0"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485583A-7F85-4DE9-9F15-2E4C70E38B18}">
  <ds:schemaRefs>
    <ds:schemaRef ds:uri="http://schemas.microsoft.com/office/2006/metadata/properties"/>
    <ds:schemaRef ds:uri="http://schemas.microsoft.com/office/infopath/2007/PartnerControls"/>
    <ds:schemaRef ds:uri="57566b0b-71de-458e-9f2e-9e8b3d616881"/>
  </ds:schemaRefs>
</ds:datastoreItem>
</file>

<file path=customXml/itemProps2.xml><?xml version="1.0" encoding="utf-8"?>
<ds:datastoreItem xmlns:ds="http://schemas.openxmlformats.org/officeDocument/2006/customXml" ds:itemID="{251B7872-E230-4BA0-8401-F8D55E338B2F}">
  <ds:schemaRefs>
    <ds:schemaRef ds:uri="http://schemas.microsoft.com/sharepoint/v3/contenttype/forms"/>
  </ds:schemaRefs>
</ds:datastoreItem>
</file>

<file path=customXml/itemProps3.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4.xml><?xml version="1.0" encoding="utf-8"?>
<ds:datastoreItem xmlns:ds="http://schemas.openxmlformats.org/officeDocument/2006/customXml" ds:itemID="{C9A5C176-B96E-41D5-B8D4-F3D5D750AD3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7566b0b-71de-458e-9f2e-9e8b3d61688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672c92bb-bb1e-4496-9f98-544dd509aafc}" enabled="1" method="Standard" siteId="{76a9a4c0-e34b-4ea8-b0b7-96fc4396f9e6}"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Pages>
  <Words>1007</Words>
  <Characters>5744</Characters>
  <Application>Microsoft Office Word</Application>
  <DocSecurity>0</DocSecurity>
  <Lines>47</Lines>
  <Paragraphs>13</Paragraphs>
  <ScaleCrop>false</ScaleCrop>
  <Manager/>
  <Company/>
  <LinksUpToDate>false</LinksUpToDate>
  <CharactersWithSpaces>6738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Sanjay Malviya</cp:lastModifiedBy>
  <cp:revision>4</cp:revision>
  <dcterms:created xsi:type="dcterms:W3CDTF">2026-09-17T02:50:00Z</dcterms:created>
  <dcterms:modified xsi:type="dcterms:W3CDTF">2026-09-17T02:50:00Z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0x010100915D1156AF89E94CB4E0E819A4FFFAAD</vt:lpwstr>
  </property>
  <property fmtid="{D5CDD505-2E9C-101B-9397-08002B2CF9AE}" pid="3" name="MediaServiceImageTags">
    <vt:lpwstr/>
  </property>
  <property fmtid="{D5CDD505-2E9C-101B-9397-08002B2CF9AE}" pid="4" name="Order">
    <vt:r8>44500</vt:r8>
  </property>
  <property fmtid="{D5CDD505-2E9C-101B-9397-08002B2CF9AE}" pid="5" name="xd_Signature">
    <vt:bool>false</vt:bool>
  </property>
  <property fmtid="{D5CDD505-2E9C-101B-9397-08002B2CF9AE}" pid="6" name="xd_ProgID">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y fmtid="{D5CDD505-2E9C-101B-9397-08002B2CF9AE}" pid="12" name="TriggerFlowInfo">
    <vt:lpwstr/>
  </property>
</Properties>
</file>