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C00000"/>
          <w:sz w:val="32"/>
          <w:szCs w:val="32"/>
        </w:rPr>
        <w:t xml:space="preserve">🔐 SECURITY HARDENING CHECKLIST</w:t>
      </w:r>
    </w:p>
    <w:p>
      <w:pPr>
        <w:spacing w:after="200"/>
        <w:jc w:val="center"/>
      </w:pPr>
      <w:r>
        <w:rPr>
          <w:sz w:val="24"/>
          <w:szCs w:val="24"/>
        </w:rPr>
        <w:t xml:space="preserve">Production Deployment Security Verification</w:t>
      </w:r>
    </w:p>
    <w:p>
      <w:pPr>
        <w:spacing w:after="360"/>
        <w:jc w:val="center"/>
      </w:pPr>
      <w:r>
        <w:rPr>
          <w:sz w:val="22"/>
          <w:szCs w:val="22"/>
        </w:rPr>
        <w:t xml:space="preserve">Bule Hora University Teaching Hospitals</w:t>
      </w:r>
    </w:p>
    <w:r>
      <w:br w:type="page"/>
    </w:r>
    <w:p>
      <w:pPr>
        <w:pStyle w:val="Heading1"/>
      </w:pPr>
      <w:r>
        <w:t xml:space="preserve">1. APPLICATION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0"/>
        <w:gridCol w:w="1845"/>
        <w:gridCol w:w="1845"/>
      </w:tblGrid>
      <w:tr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Security Control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tokens with 24-hour expiration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</w:t>
            </w:r>
          </w:p>
        </w:tc>
      </w:tr>
      <w:tr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MFA enabled for all admin accounts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</w:t>
            </w:r>
          </w:p>
        </w:tc>
      </w:tr>
      <w:tr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 injection prevention (parameterized queries)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</w:t>
            </w:r>
          </w:p>
        </w:tc>
      </w:tr>
      <w:tr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CSRF tokens on all forms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</w:t>
            </w:r>
          </w:p>
        </w:tc>
      </w:tr>
      <w:tr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validation on all endpoints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</w:t>
            </w:r>
          </w:p>
        </w:tc>
      </w:tr>
      <w:tr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limiting: 1000 req/hr standard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</w:t>
            </w:r>
          </w:p>
        </w:tc>
      </w:tr>
      <w:tr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Secure password hashing (bcrypt, 12 rounds)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</w:t>
            </w:r>
          </w:p>
        </w:tc>
      </w:tr>
      <w:tr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timeout: 15 minutes inactivity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DATA ENCRYPTION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TLS 1.3 on all 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AES-256 encryption for data at rest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SSL/TLS certificate valid and not self-signed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All passwords encrypted before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Database encryption at column level for PII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API keys encrypted in configuration management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☐ Backup files encrypted with separate keys</w:t>
      </w:r>
    </w:p>
    <w:p>
      <w:pPr>
        <w:pStyle w:val="Heading1"/>
      </w:pPr>
      <w:r>
        <w:t xml:space="preserve">3. DATABASE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Default admin password changed immediately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Database user with minimal required privileges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PostgreSQL listening only on internal network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Connection pooling configured (max 100 connections)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Query timeout set to 300 seconds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Foreign key constraints enforced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Row-level security policies configured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☐ Audit logging enabled for sensitive tables</w:t>
      </w:r>
    </w:p>
    <w:p>
      <w:pPr>
        <w:pStyle w:val="Heading1"/>
      </w:pPr>
      <w:r>
        <w:t xml:space="preserve">4. INFRASTRUCTURE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AWS WAF enabled on ALB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Security groups restrict inbound traffic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VPC with public/private subnets configured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NAT Gateway for private subnet egress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SSH access limited to bastion host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EC2 instances use IAM roles, not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S3 buckets block public access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☐ Secrets stored in AWS Secrets Manager</w:t>
      </w:r>
    </w:p>
    <w:p>
      <w:pPr>
        <w:pStyle w:val="Heading1"/>
      </w:pPr>
      <w:r>
        <w:t xml:space="preserve">5. LOGGING &amp; MONITORING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CloudWatch logs configured for all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ELK Stack installed with 90-day hot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PII masking in all logs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Logs immutable and tamper-protected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Prometheus + Grafana deployed for metrics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AlertManager configured with PagerDuty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☐ Audit trail logs retained for 7 years</w:t>
      </w:r>
    </w:p>
    <w:p>
      <w:pPr>
        <w:pStyle w:val="Heading1"/>
      </w:pPr>
      <w:r>
        <w:t xml:space="preserve">6.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RBAC implemented with 8 role types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Service accounts use least privilege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API keys rotated every 90 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sudo access limited and logged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Off-boarding: immediate access revocation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☐ Periodic access reviews (quarterly)</w:t>
      </w:r>
    </w:p>
    <w:p>
      <w:pPr>
        <w:pStyle w:val="Heading1"/>
      </w:pPr>
      <w:r>
        <w:t xml:space="preserve">7. TESTING &amp;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Security scanning completed with OWASP ZAP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Penetration testing performed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Code review completed for security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Dependency vulnerabilities scanned (npm audit)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Load testing completed (1000 concurrent users)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☐ Disaster recovery tested and verified</w:t>
      </w:r>
    </w:p>
    <w:p>
      <w:pPr>
        <w:pStyle w:val="Heading1"/>
      </w:pPr>
      <w:r>
        <w:t xml:space="preserve">8.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HIPAA risk assessment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Business Associate Agreements signed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Privacy policy published and accessible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Breach notification plan documented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Data retention policies enforced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☐ Incident response plan ready</w:t>
      </w:r>
    </w:p>
    <w:p>
      <w:pP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Verification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Officer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  <w:color w:val="C00000"/>
        </w:rPr>
        <w:t xml:space="preserve">All items must be verified BEFORE production GO-LIVE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E74C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2026-05-31T06:59:08.338Z</dcterms:created>
  <dcterms:modified xsi:type="dcterms:W3CDTF">2026-05-31T06:59:08.358Z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