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E3A8A"/>
          <w:sz w:val="64"/>
          <w:szCs w:val="64"/>
        </w:rPr>
        <w:t xml:space="preserve">SmartAssign</w:t>
      </w:r>
    </w:p>
    <w:p>
      <w:pPr>
        <w:spacing w:after="480"/>
        <w:jc w:val="center"/>
      </w:pPr>
      <w:r>
        <w:rPr>
          <w:color w:val="2563EB"/>
          <w:sz w:val="30"/>
          <w:szCs w:val="30"/>
        </w:rPr>
        <w:t xml:space="preserve">Sistema de Asignación Inteligente de Personal para Líneas de Producción</w:t>
      </w:r>
    </w:p>
    <w:p>
      <w:pPr>
        <w:spacing w:after="1600"/>
        <w:jc w:val="center"/>
      </w:pPr>
      <w:r>
        <w:rPr>
          <w:b/>
          <w:bCs/>
          <w:color w:val="475569"/>
          <w:sz w:val="24"/>
          <w:szCs w:val="24"/>
        </w:rPr>
        <w:t xml:space="preserve">DOCUMENTO TÉCNICO DEL SISTEMA</w:t>
      </w:r>
    </w:p>
    <w:p>
      <w:pPr>
        <w:spacing w:after="60"/>
        <w:jc w:val="center"/>
      </w:pPr>
      <w:r>
        <w:rPr>
          <w:color w:val="475569"/>
          <w:sz w:val="20"/>
          <w:szCs w:val="20"/>
        </w:rPr>
        <w:t xml:space="preserve">Versión 1.0 — Agosto 2026</w:t>
      </w:r>
    </w:p>
    <w:p>
      <w:pPr>
        <w:spacing w:after="60"/>
        <w:jc w:val="center"/>
      </w:pPr>
      <w:r>
        <w:rPr>
          <w:color w:val="475569"/>
          <w:sz w:val="20"/>
          <w:szCs w:val="20"/>
        </w:rPr>
        <w:t xml:space="preserve">Rama de trabajo: feature/migracion-sql-server</w:t>
      </w:r>
    </w:p>
    <w:p>
      <w:pPr>
        <w:spacing w:after="60"/>
        <w:jc w:val="center"/>
      </w:pPr>
      <w:r>
        <w:rPr>
          <w:color w:val="475569"/>
          <w:sz w:val="20"/>
          <w:szCs w:val="20"/>
        </w:rPr>
        <w:t xml:space="preserve">Autor: Joswill Espinoza</w:t>
      </w:r>
    </w:p>
    <w:p>
      <w:r>
        <w:br w:type="page"/>
      </w:r>
    </w:p>
    <w:p>
      <w:pPr>
        <w:pStyle w:val="Heading1"/>
        <w:spacing w:after="200" w:before="48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t xml:space="preserve">1. Resumen Ejecutivo</w:t>
      </w:r>
    </w:p>
    <w:p>
      <w:pPr>
        <w:spacing w:after="160" w:line="288"/>
        <w:jc w:val="both"/>
      </w:pPr>
      <w:r>
        <w:rPr>
          <w:b w:val="false"/>
          <w:bCs w:val="false"/>
          <w:i w:val="false"/>
          <w:iCs w:val="false"/>
        </w:rPr>
        <w:t xml:space="preserve">SmartAssign es un sistema de gestión operativa de planta orientado a resolver, en tiempo real, el problema de asignar personal a puestos de trabajo en líneas de producción, respetando compatibilidad de rol, restricciones médicas, reglas ergonómicas de rotación (regla de 24 horas) y prioridad de planta. El sistema cubre el ciclo completo de un turno: arranque (Motor 1), operación en marcha (asignación, relevos, cascadeo ergonómico, paros técnicos, mermas), y cierre de turno (cálculo de OEE real y consolidación en el histórico).</w:t>
      </w:r>
    </w:p>
    <w:p>
      <w:pPr>
        <w:spacing w:after="160" w:line="288"/>
        <w:jc w:val="both"/>
      </w:pPr>
      <w:r>
        <w:rPr>
          <w:b w:val="false"/>
          <w:bCs w:val="false"/>
          <w:i w:val="false"/>
          <w:iCs w:val="false"/>
        </w:rPr>
        <w:t xml:space="preserve">La aplicación nació sobre una arquitectura serverless basada en Firebase/Firestore y se encuentra, a la fecha de este documento, en migración activa hacia una arquitectura relacional propia sobre SQL Server con un backend Express/Node.js y comunicación en tiempo real vía Socket.io. La migración se ha ejecutado módulo por módulo, verificando cada uno contra datos reales antes de continuar con el siguiente, lo que ha permitido mantener el frontend React funcionando sin una reescritura total.</w:t>
      </w:r>
    </w:p>
    <w:p>
      <w:pPr>
        <w:spacing w:after="160" w:line="288"/>
        <w:jc w:val="both"/>
      </w:pPr>
      <w:r>
        <w:rPr>
          <w:b w:val="false"/>
          <w:bCs w:val="false"/>
          <w:i w:val="false"/>
          <w:iCs w:val="false"/>
        </w:rPr>
        <w:t xml:space="preserve">Este documento describe la arquitectura, el modelo de datos, los controles de seguridad, los módulos funcionales implementados y el estado real de avance del sistema, incluyendo limitaciones conocidas y las piezas pendientes de construir.</w:t>
      </w:r>
    </w:p>
    <w:p>
      <w:pPr>
        <w:pStyle w:val="Heading1"/>
        <w:spacing w:after="200" w:before="480"/>
      </w:pPr>
      <w:r>
        <w:t xml:space="preserve">2. Arquitectura General</w:t>
      </w:r>
    </w:p>
    <w:p>
      <w:pPr>
        <w:pStyle w:val="Heading2"/>
        <w:spacing w:after="160" w:before="320"/>
      </w:pPr>
      <w:r>
        <w:t xml:space="preserve">2.1 Visión de alto nivel</w:t>
      </w:r>
    </w:p>
    <w:p>
      <w:pPr>
        <w:spacing w:after="160" w:line="288"/>
        <w:jc w:val="both"/>
      </w:pPr>
      <w:r>
        <w:rPr>
          <w:b w:val="false"/>
          <w:bCs w:val="false"/>
          <w:i w:val="false"/>
          <w:iCs w:val="false"/>
        </w:rPr>
        <w:t xml:space="preserve">El sistema sigue una arquitectura cliente-servidor de tres capas: una aplicación cliente en React (empaquetable como app Android vía Capacitor para uso en piso de planta con escáner de código de barras), una API REST en Node.js/Express que concentra toda la lógica de negocio y las transacciones, y una base de datos relacional SQL Server como fuente única de verdad. Un canal Socket.io complementa al REST para difundir eventos de cambio (puestos, trabajadores, configuración de línea) a todos los clientes conectados, evitando que cada supervisor tenga que refrescar manualmente su pantalla.</w:t>
      </w:r>
    </w:p>
    <w:p>
      <w:pPr>
        <w:pStyle w:val="Heading2"/>
        <w:spacing w:after="160" w:before="320"/>
      </w:pPr>
      <w:r>
        <w:t xml:space="preserve">2.2 Stack tecnológico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1900"/>
        <w:gridCol w:w="3430"/>
        <w:gridCol w:w="4030"/>
      </w:tblGrid>
      <w:tr>
        <w:trPr>
          <w:tblHeader/>
        </w:trPr>
        <w:tc>
          <w:tcPr>
            <w:tcW w:type="dxa" w:w="1900"/>
            <w:shd w:fill="1E3A8A" w:val="clear"/>
            <w:tcMar>
              <w:top w:type="dxa" w:w="80"/>
              <w:left w:type="dxa" w:w="100"/>
              <w:bottom w:type="dxa" w:w="80"/>
              <w:right w:type="dxa" w:w="100"/>
            </w:tcMar>
            <w:vAlign w:val="center"/>
          </w:tcPr>
          <w:p>
            <w:r>
              <w:rPr>
                <w:b/>
                <w:bCs/>
                <w:color w:val="FFFFFF"/>
                <w:sz w:val="19"/>
                <w:szCs w:val="19"/>
              </w:rPr>
              <w:t xml:space="preserve">Capa</w:t>
            </w:r>
          </w:p>
        </w:tc>
        <w:tc>
          <w:tcPr>
            <w:tcW w:type="dxa" w:w="3430"/>
            <w:shd w:fill="1E3A8A" w:val="clear"/>
            <w:tcMar>
              <w:top w:type="dxa" w:w="80"/>
              <w:left w:type="dxa" w:w="100"/>
              <w:bottom w:type="dxa" w:w="80"/>
              <w:right w:type="dxa" w:w="100"/>
            </w:tcMar>
            <w:vAlign w:val="center"/>
          </w:tcPr>
          <w:p>
            <w:r>
              <w:rPr>
                <w:b/>
                <w:bCs/>
                <w:color w:val="FFFFFF"/>
                <w:sz w:val="19"/>
                <w:szCs w:val="19"/>
              </w:rPr>
              <w:t xml:space="preserve">Tecnología</w:t>
            </w:r>
          </w:p>
        </w:tc>
        <w:tc>
          <w:tcPr>
            <w:tcW w:type="dxa" w:w="4030"/>
            <w:shd w:fill="1E3A8A" w:val="clear"/>
            <w:tcMar>
              <w:top w:type="dxa" w:w="80"/>
              <w:left w:type="dxa" w:w="100"/>
              <w:bottom w:type="dxa" w:w="80"/>
              <w:right w:type="dxa" w:w="100"/>
            </w:tcMar>
            <w:vAlign w:val="center"/>
          </w:tcPr>
          <w:p>
            <w:r>
              <w:rPr>
                <w:b/>
                <w:bCs/>
                <w:color w:val="FFFFFF"/>
                <w:sz w:val="19"/>
                <w:szCs w:val="19"/>
              </w:rPr>
              <w:t xml:space="preserve">Propósito</w:t>
            </w:r>
          </w:p>
        </w:tc>
      </w:tr>
      <w:tr>
        <w:tc>
          <w:tcPr>
            <w:tcW w:type="dxa" w:w="1900"/>
            <w:tcMar>
              <w:top w:type="dxa" w:w="80"/>
              <w:left w:type="dxa" w:w="100"/>
              <w:bottom w:type="dxa" w:w="80"/>
              <w:right w:type="dxa" w:w="100"/>
            </w:tcMar>
            <w:vAlign w:val="center"/>
          </w:tcPr>
          <w:p>
            <w:r>
              <w:rPr>
                <w:b w:val="false"/>
                <w:bCs w:val="false"/>
                <w:color w:val="0F172A"/>
                <w:sz w:val="19"/>
                <w:szCs w:val="19"/>
              </w:rPr>
              <w:t xml:space="preserve">Frontend</w:t>
            </w:r>
          </w:p>
        </w:tc>
        <w:tc>
          <w:tcPr>
            <w:tcW w:type="dxa" w:w="3430"/>
            <w:tcMar>
              <w:top w:type="dxa" w:w="80"/>
              <w:left w:type="dxa" w:w="100"/>
              <w:bottom w:type="dxa" w:w="80"/>
              <w:right w:type="dxa" w:w="100"/>
            </w:tcMar>
            <w:vAlign w:val="center"/>
          </w:tcPr>
          <w:p>
            <w:r>
              <w:rPr>
                <w:b w:val="false"/>
                <w:bCs w:val="false"/>
                <w:color w:val="0F172A"/>
                <w:sz w:val="19"/>
                <w:szCs w:val="19"/>
              </w:rPr>
              <w:t xml:space="preserve">React 19 + Vite</w:t>
            </w:r>
          </w:p>
        </w:tc>
        <w:tc>
          <w:tcPr>
            <w:tcW w:type="dxa" w:w="4030"/>
            <w:tcMar>
              <w:top w:type="dxa" w:w="80"/>
              <w:left w:type="dxa" w:w="100"/>
              <w:bottom w:type="dxa" w:w="80"/>
              <w:right w:type="dxa" w:w="100"/>
            </w:tcMar>
            <w:vAlign w:val="center"/>
          </w:tcPr>
          <w:p>
            <w:r>
              <w:rPr>
                <w:b w:val="false"/>
                <w:bCs w:val="false"/>
                <w:color w:val="0F172A"/>
                <w:sz w:val="19"/>
                <w:szCs w:val="19"/>
              </w:rPr>
              <w:t xml:space="preserve">SPA de piso de planta (HUD de línea, panel de coordinador, login)</w:t>
            </w:r>
          </w:p>
        </w:tc>
      </w:tr>
      <w:tr>
        <w:tc>
          <w:tcPr>
            <w:tcW w:type="dxa" w:w="1900"/>
            <w:shd w:fill="F8FAFC" w:val="clear"/>
            <w:tcMar>
              <w:top w:type="dxa" w:w="80"/>
              <w:left w:type="dxa" w:w="100"/>
              <w:bottom w:type="dxa" w:w="80"/>
              <w:right w:type="dxa" w:w="100"/>
            </w:tcMar>
            <w:vAlign w:val="center"/>
          </w:tcPr>
          <w:p>
            <w:r>
              <w:rPr>
                <w:b w:val="false"/>
                <w:bCs w:val="false"/>
                <w:color w:val="0F172A"/>
                <w:sz w:val="19"/>
                <w:szCs w:val="19"/>
              </w:rPr>
              <w:t xml:space="preserve">Estilos</w:t>
            </w:r>
          </w:p>
        </w:tc>
        <w:tc>
          <w:tcPr>
            <w:tcW w:type="dxa" w:w="3430"/>
            <w:shd w:fill="F8FAFC" w:val="clear"/>
            <w:tcMar>
              <w:top w:type="dxa" w:w="80"/>
              <w:left w:type="dxa" w:w="100"/>
              <w:bottom w:type="dxa" w:w="80"/>
              <w:right w:type="dxa" w:w="100"/>
            </w:tcMar>
            <w:vAlign w:val="center"/>
          </w:tcPr>
          <w:p>
            <w:r>
              <w:rPr>
                <w:b w:val="false"/>
                <w:bCs w:val="false"/>
                <w:color w:val="0F172A"/>
                <w:sz w:val="19"/>
                <w:szCs w:val="19"/>
              </w:rPr>
              <w:t xml:space="preserve">Stitches (CSS-in-JS)</w:t>
            </w:r>
          </w:p>
        </w:tc>
        <w:tc>
          <w:tcPr>
            <w:tcW w:type="dxa" w:w="4030"/>
            <w:shd w:fill="F8FAFC" w:val="clear"/>
            <w:tcMar>
              <w:top w:type="dxa" w:w="80"/>
              <w:left w:type="dxa" w:w="100"/>
              <w:bottom w:type="dxa" w:w="80"/>
              <w:right w:type="dxa" w:w="100"/>
            </w:tcMar>
            <w:vAlign w:val="center"/>
          </w:tcPr>
          <w:p>
            <w:r>
              <w:rPr>
                <w:b w:val="false"/>
                <w:bCs w:val="false"/>
                <w:color w:val="0F172A"/>
                <w:sz w:val="19"/>
                <w:szCs w:val="19"/>
              </w:rPr>
              <w:t xml:space="preserve">Sistema de diseño con theming centralizado</w:t>
            </w:r>
          </w:p>
        </w:tc>
      </w:tr>
      <w:tr>
        <w:tc>
          <w:tcPr>
            <w:tcW w:type="dxa" w:w="1900"/>
            <w:tcMar>
              <w:top w:type="dxa" w:w="80"/>
              <w:left w:type="dxa" w:w="100"/>
              <w:bottom w:type="dxa" w:w="80"/>
              <w:right w:type="dxa" w:w="100"/>
            </w:tcMar>
            <w:vAlign w:val="center"/>
          </w:tcPr>
          <w:p>
            <w:r>
              <w:rPr>
                <w:b w:val="false"/>
                <w:bCs w:val="false"/>
                <w:color w:val="0F172A"/>
                <w:sz w:val="19"/>
                <w:szCs w:val="19"/>
              </w:rPr>
              <w:t xml:space="preserve">Empaquetado móvil</w:t>
            </w:r>
          </w:p>
        </w:tc>
        <w:tc>
          <w:tcPr>
            <w:tcW w:type="dxa" w:w="3430"/>
            <w:tcMar>
              <w:top w:type="dxa" w:w="80"/>
              <w:left w:type="dxa" w:w="100"/>
              <w:bottom w:type="dxa" w:w="80"/>
              <w:right w:type="dxa" w:w="100"/>
            </w:tcMar>
            <w:vAlign w:val="center"/>
          </w:tcPr>
          <w:p>
            <w:r>
              <w:rPr>
                <w:b w:val="false"/>
                <w:bCs w:val="false"/>
                <w:color w:val="0F172A"/>
                <w:sz w:val="19"/>
                <w:szCs w:val="19"/>
              </w:rPr>
              <w:t xml:space="preserve">Capacitor (Android) + plugin de escaneo de código de barras</w:t>
            </w:r>
          </w:p>
        </w:tc>
        <w:tc>
          <w:tcPr>
            <w:tcW w:type="dxa" w:w="4030"/>
            <w:tcMar>
              <w:top w:type="dxa" w:w="80"/>
              <w:left w:type="dxa" w:w="100"/>
              <w:bottom w:type="dxa" w:w="80"/>
              <w:right w:type="dxa" w:w="100"/>
            </w:tcMar>
            <w:vAlign w:val="center"/>
          </w:tcPr>
          <w:p>
            <w:r>
              <w:rPr>
                <w:b w:val="false"/>
                <w:bCs w:val="false"/>
                <w:color w:val="0F172A"/>
                <w:sz w:val="19"/>
                <w:szCs w:val="19"/>
              </w:rPr>
              <w:t xml:space="preserve">Uso en dispositivo físico en planta, con lectura de gafetes/QR</w:t>
            </w:r>
          </w:p>
        </w:tc>
      </w:tr>
      <w:tr>
        <w:tc>
          <w:tcPr>
            <w:tcW w:type="dxa" w:w="1900"/>
            <w:shd w:fill="F8FAFC" w:val="clear"/>
            <w:tcMar>
              <w:top w:type="dxa" w:w="80"/>
              <w:left w:type="dxa" w:w="100"/>
              <w:bottom w:type="dxa" w:w="80"/>
              <w:right w:type="dxa" w:w="100"/>
            </w:tcMar>
            <w:vAlign w:val="center"/>
          </w:tcPr>
          <w:p>
            <w:r>
              <w:rPr>
                <w:b w:val="false"/>
                <w:bCs w:val="false"/>
                <w:color w:val="0F172A"/>
                <w:sz w:val="19"/>
                <w:szCs w:val="19"/>
              </w:rPr>
              <w:t xml:space="preserve">Tiempo real</w:t>
            </w:r>
          </w:p>
        </w:tc>
        <w:tc>
          <w:tcPr>
            <w:tcW w:type="dxa" w:w="3430"/>
            <w:shd w:fill="F8FAFC" w:val="clear"/>
            <w:tcMar>
              <w:top w:type="dxa" w:w="80"/>
              <w:left w:type="dxa" w:w="100"/>
              <w:bottom w:type="dxa" w:w="80"/>
              <w:right w:type="dxa" w:w="100"/>
            </w:tcMar>
            <w:vAlign w:val="center"/>
          </w:tcPr>
          <w:p>
            <w:r>
              <w:rPr>
                <w:b w:val="false"/>
                <w:bCs w:val="false"/>
                <w:color w:val="0F172A"/>
                <w:sz w:val="19"/>
                <w:szCs w:val="19"/>
              </w:rPr>
              <w:t xml:space="preserve">Socket.io (cliente y servidor)</w:t>
            </w:r>
          </w:p>
        </w:tc>
        <w:tc>
          <w:tcPr>
            <w:tcW w:type="dxa" w:w="4030"/>
            <w:shd w:fill="F8FAFC" w:val="clear"/>
            <w:tcMar>
              <w:top w:type="dxa" w:w="80"/>
              <w:left w:type="dxa" w:w="100"/>
              <w:bottom w:type="dxa" w:w="80"/>
              <w:right w:type="dxa" w:w="100"/>
            </w:tcMar>
            <w:vAlign w:val="center"/>
          </w:tcPr>
          <w:p>
            <w:r>
              <w:rPr>
                <w:b w:val="false"/>
                <w:bCs w:val="false"/>
                <w:color w:val="0F172A"/>
                <w:sz w:val="19"/>
                <w:szCs w:val="19"/>
              </w:rPr>
              <w:t xml:space="preserve">Difusión de eventos de cambio de estado a todos los clientes</w:t>
            </w:r>
          </w:p>
        </w:tc>
      </w:tr>
      <w:tr>
        <w:tc>
          <w:tcPr>
            <w:tcW w:type="dxa" w:w="1900"/>
            <w:tcMar>
              <w:top w:type="dxa" w:w="80"/>
              <w:left w:type="dxa" w:w="100"/>
              <w:bottom w:type="dxa" w:w="80"/>
              <w:right w:type="dxa" w:w="100"/>
            </w:tcMar>
            <w:vAlign w:val="center"/>
          </w:tcPr>
          <w:p>
            <w:r>
              <w:rPr>
                <w:b w:val="false"/>
                <w:bCs w:val="false"/>
                <w:color w:val="0F172A"/>
                <w:sz w:val="19"/>
                <w:szCs w:val="19"/>
              </w:rPr>
              <w:t xml:space="preserve">Backend / API</w:t>
            </w:r>
          </w:p>
        </w:tc>
        <w:tc>
          <w:tcPr>
            <w:tcW w:type="dxa" w:w="3430"/>
            <w:tcMar>
              <w:top w:type="dxa" w:w="80"/>
              <w:left w:type="dxa" w:w="100"/>
              <w:bottom w:type="dxa" w:w="80"/>
              <w:right w:type="dxa" w:w="100"/>
            </w:tcMar>
            <w:vAlign w:val="center"/>
          </w:tcPr>
          <w:p>
            <w:r>
              <w:rPr>
                <w:b w:val="false"/>
                <w:bCs w:val="false"/>
                <w:color w:val="0F172A"/>
                <w:sz w:val="19"/>
                <w:szCs w:val="19"/>
              </w:rPr>
              <w:t xml:space="preserve">Node.js + Express</w:t>
            </w:r>
          </w:p>
        </w:tc>
        <w:tc>
          <w:tcPr>
            <w:tcW w:type="dxa" w:w="4030"/>
            <w:tcMar>
              <w:top w:type="dxa" w:w="80"/>
              <w:left w:type="dxa" w:w="100"/>
              <w:bottom w:type="dxa" w:w="80"/>
              <w:right w:type="dxa" w:w="100"/>
            </w:tcMar>
            <w:vAlign w:val="center"/>
          </w:tcPr>
          <w:p>
            <w:r>
              <w:rPr>
                <w:b w:val="false"/>
                <w:bCs w:val="false"/>
                <w:color w:val="0F172A"/>
                <w:sz w:val="19"/>
                <w:szCs w:val="19"/>
              </w:rPr>
              <w:t xml:space="preserve">Endpoints REST, validaciones, transacciones de negocio</w:t>
            </w:r>
          </w:p>
        </w:tc>
      </w:tr>
      <w:tr>
        <w:tc>
          <w:tcPr>
            <w:tcW w:type="dxa" w:w="1900"/>
            <w:shd w:fill="F8FAFC" w:val="clear"/>
            <w:tcMar>
              <w:top w:type="dxa" w:w="80"/>
              <w:left w:type="dxa" w:w="100"/>
              <w:bottom w:type="dxa" w:w="80"/>
              <w:right w:type="dxa" w:w="100"/>
            </w:tcMar>
            <w:vAlign w:val="center"/>
          </w:tcPr>
          <w:p>
            <w:r>
              <w:rPr>
                <w:b w:val="false"/>
                <w:bCs w:val="false"/>
                <w:color w:val="0F172A"/>
                <w:sz w:val="19"/>
                <w:szCs w:val="19"/>
              </w:rPr>
              <w:t xml:space="preserve">Base de datos</w:t>
            </w:r>
          </w:p>
        </w:tc>
        <w:tc>
          <w:tcPr>
            <w:tcW w:type="dxa" w:w="3430"/>
            <w:shd w:fill="F8FAFC" w:val="clear"/>
            <w:tcMar>
              <w:top w:type="dxa" w:w="80"/>
              <w:left w:type="dxa" w:w="100"/>
              <w:bottom w:type="dxa" w:w="80"/>
              <w:right w:type="dxa" w:w="100"/>
            </w:tcMar>
            <w:vAlign w:val="center"/>
          </w:tcPr>
          <w:p>
            <w:r>
              <w:rPr>
                <w:b w:val="false"/>
                <w:bCs w:val="false"/>
                <w:color w:val="0F172A"/>
                <w:sz w:val="19"/>
                <w:szCs w:val="19"/>
              </w:rPr>
              <w:t xml:space="preserve">Microsoft SQL Server (mssql/msnodesqlv8, ODBC Driver 17)</w:t>
            </w:r>
          </w:p>
        </w:tc>
        <w:tc>
          <w:tcPr>
            <w:tcW w:type="dxa" w:w="4030"/>
            <w:shd w:fill="F8FAFC" w:val="clear"/>
            <w:tcMar>
              <w:top w:type="dxa" w:w="80"/>
              <w:left w:type="dxa" w:w="100"/>
              <w:bottom w:type="dxa" w:w="80"/>
              <w:right w:type="dxa" w:w="100"/>
            </w:tcMar>
            <w:vAlign w:val="center"/>
          </w:tcPr>
          <w:p>
            <w:r>
              <w:rPr>
                <w:b w:val="false"/>
                <w:bCs w:val="false"/>
                <w:color w:val="0F172A"/>
                <w:sz w:val="19"/>
                <w:szCs w:val="19"/>
              </w:rPr>
              <w:t xml:space="preserve">Persistencia relacional, transacciones ACID</w:t>
            </w:r>
          </w:p>
        </w:tc>
      </w:tr>
      <w:tr>
        <w:tc>
          <w:tcPr>
            <w:tcW w:type="dxa" w:w="1900"/>
            <w:tcMar>
              <w:top w:type="dxa" w:w="80"/>
              <w:left w:type="dxa" w:w="100"/>
              <w:bottom w:type="dxa" w:w="80"/>
              <w:right w:type="dxa" w:w="100"/>
            </w:tcMar>
            <w:vAlign w:val="center"/>
          </w:tcPr>
          <w:p>
            <w:r>
              <w:rPr>
                <w:b w:val="false"/>
                <w:bCs w:val="false"/>
                <w:color w:val="0F172A"/>
                <w:sz w:val="19"/>
                <w:szCs w:val="19"/>
              </w:rPr>
              <w:t xml:space="preserve">Autenticación</w:t>
            </w:r>
          </w:p>
        </w:tc>
        <w:tc>
          <w:tcPr>
            <w:tcW w:type="dxa" w:w="3430"/>
            <w:tcMar>
              <w:top w:type="dxa" w:w="80"/>
              <w:left w:type="dxa" w:w="100"/>
              <w:bottom w:type="dxa" w:w="80"/>
              <w:right w:type="dxa" w:w="100"/>
            </w:tcMar>
            <w:vAlign w:val="center"/>
          </w:tcPr>
          <w:p>
            <w:r>
              <w:rPr>
                <w:b w:val="false"/>
                <w:bCs w:val="false"/>
                <w:color w:val="0F172A"/>
                <w:sz w:val="19"/>
                <w:szCs w:val="19"/>
              </w:rPr>
              <w:t xml:space="preserve">JWT (jsonwebtoken) + bcrypt</w:t>
            </w:r>
          </w:p>
        </w:tc>
        <w:tc>
          <w:tcPr>
            <w:tcW w:type="dxa" w:w="4030"/>
            <w:tcMar>
              <w:top w:type="dxa" w:w="80"/>
              <w:left w:type="dxa" w:w="100"/>
              <w:bottom w:type="dxa" w:w="80"/>
              <w:right w:type="dxa" w:w="100"/>
            </w:tcMar>
            <w:vAlign w:val="center"/>
          </w:tcPr>
          <w:p>
            <w:r>
              <w:rPr>
                <w:b w:val="false"/>
                <w:bCs w:val="false"/>
                <w:color w:val="0F172A"/>
                <w:sz w:val="19"/>
                <w:szCs w:val="19"/>
              </w:rPr>
              <w:t xml:space="preserve">Sesión sin estado por token, contraseñas con hash</w:t>
            </w:r>
          </w:p>
        </w:tc>
      </w:tr>
    </w:tbl>
    <w:p>
      <w:pPr>
        <w:pStyle w:val="Heading2"/>
        <w:spacing w:after="160" w:before="320"/>
      </w:pPr>
      <w:r>
        <w:t xml:space="preserve">2.3 Patrón de comunicación cliente-servidor</w:t>
      </w:r>
    </w:p>
    <w:p>
      <w:pPr>
        <w:spacing w:after="160" w:line="288"/>
        <w:jc w:val="both"/>
      </w:pPr>
      <w:r>
        <w:rPr>
          <w:b w:val="false"/>
          <w:bCs w:val="false"/>
          <w:i w:val="false"/>
          <w:iCs w:val="false"/>
        </w:rPr>
        <w:t xml:space="preserve">El frontend no habla directamente con SQL Server: todas las escrituras pasan por endpoints REST que ejecutan transacciones (`sql.Transaction`, con bloqueos `UPDLOCK, SERIALIZABLE` sobre las filas críticas) para evitar condiciones de carrera cuando dos supervisores intentan asignar al mismo operario o al mismo puesto en simultáneo. Cada transacción exitosa termina emitiendo uno o más eventos Socket.io (`puestos_updated`, `trabajadores_updated`, `config_updated`) que disparan un refresco en los clientes suscritos a esa vista.</w:t>
      </w:r>
    </w:p>
    <w:p>
      <w:pPr>
        <w:pStyle w:val="Heading2"/>
        <w:spacing w:after="160" w:before="320"/>
      </w:pPr>
      <w:r>
        <w:t xml:space="preserve">2.4 Compatibilidad con la interfaz previa (capa de migración)</w:t>
      </w:r>
    </w:p>
    <w:p>
      <w:pPr>
        <w:spacing w:after="160" w:line="288"/>
        <w:jc w:val="both"/>
      </w:pPr>
      <w:r>
        <w:rPr>
          <w:b w:val="false"/>
          <w:bCs w:val="false"/>
          <w:i w:val="false"/>
          <w:iCs w:val="false"/>
        </w:rPr>
        <w:t xml:space="preserve">Para migrar de Firestore a SQL Server sin reescribir toda la capa de presentación de una sola vez, el proyecto mantiene un módulo de compatibilidad en src/mocks/firebase/ que replica la superficie de la API de Firestore (doc, onSnapshot, updateDoc, getDocs, query, where) pero la respalda con llamadas HTTP reales contra la API Express y con el socket de eventos ya mencionado. Esto permite que componentes de UI que todavía llaman a onSnapshot(doc(db, "config", "line_L1"), ...) seguirán funcionando sin cambios mientras el módulo correspondiente no se haya migrado; los módulos ya migrados (Motor 1, Paros, Cierre de Turno, Mermas) exponen funciones dedicadas en apiService.js que llaman a la API real directamente, sin pasar por ese shim.</w:t>
      </w:r>
    </w:p>
    <w:p>
      <w:pPr>
        <w:pStyle w:val="Heading1"/>
        <w:spacing w:after="200" w:before="480"/>
      </w:pPr>
      <w:r>
        <w:t xml:space="preserve">3. Modelo de Datos</w:t>
      </w:r>
    </w:p>
    <w:p>
      <w:pPr>
        <w:spacing w:after="160" w:line="288"/>
        <w:jc w:val="both"/>
      </w:pPr>
      <w:r>
        <w:rPr>
          <w:b w:val="false"/>
          <w:bCs w:val="false"/>
          <w:i w:val="false"/>
          <w:iCs w:val="false"/>
        </w:rPr>
        <w:t xml:space="preserve">El esquema se construyó de forma incremental mediante ocho scripts de migración (server/migrations/01 a 08), cada uno idempotente (usa comprobaciones IF COL_LENGTH(...) IS NULL / IF NOT EXISTS antes de alterar) para poder re-ejecutarse sin error sobre una base ya actualizada. Esto permitió evolucionar el esquema sin downtime a medida que cada módulo se migraba desde Firestore.</w:t>
      </w:r>
    </w:p>
    <w:p>
      <w:pPr>
        <w:pStyle w:val="Heading2"/>
        <w:spacing w:after="160" w:before="320"/>
      </w:pPr>
      <w:r>
        <w:t xml:space="preserve">3.1 Tablas principales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500"/>
        <w:gridCol w:w="6860"/>
      </w:tblGrid>
      <w:tr>
        <w:trPr>
          <w:tblHeader/>
        </w:trPr>
        <w:tc>
          <w:tcPr>
            <w:tcW w:type="dxa" w:w="2500"/>
            <w:shd w:fill="1E3A8A" w:val="clear"/>
            <w:tcMar>
              <w:top w:type="dxa" w:w="80"/>
              <w:left w:type="dxa" w:w="100"/>
              <w:bottom w:type="dxa" w:w="80"/>
              <w:right w:type="dxa" w:w="100"/>
            </w:tcMar>
            <w:vAlign w:val="center"/>
          </w:tcPr>
          <w:p>
            <w:r>
              <w:rPr>
                <w:b/>
                <w:bCs/>
                <w:color w:val="FFFFFF"/>
                <w:sz w:val="19"/>
                <w:szCs w:val="19"/>
              </w:rPr>
              <w:t xml:space="preserve">Tabla</w:t>
            </w:r>
          </w:p>
        </w:tc>
        <w:tc>
          <w:tcPr>
            <w:tcW w:type="dxa" w:w="6860"/>
            <w:shd w:fill="1E3A8A" w:val="clear"/>
            <w:tcMar>
              <w:top w:type="dxa" w:w="80"/>
              <w:left w:type="dxa" w:w="100"/>
              <w:bottom w:type="dxa" w:w="80"/>
              <w:right w:type="dxa" w:w="100"/>
            </w:tcMar>
            <w:vAlign w:val="center"/>
          </w:tcPr>
          <w:p>
            <w:r>
              <w:rPr>
                <w:b/>
                <w:bCs/>
                <w:color w:val="FFFFFF"/>
                <w:sz w:val="19"/>
                <w:szCs w:val="19"/>
              </w:rPr>
              <w:t xml:space="preserve">Propósito</w:t>
            </w:r>
          </w:p>
        </w:tc>
      </w:tr>
      <w:tr>
        <w:tc>
          <w:tcPr>
            <w:tcW w:type="dxa" w:w="2500"/>
            <w:tcMar>
              <w:top w:type="dxa" w:w="80"/>
              <w:left w:type="dxa" w:w="100"/>
              <w:bottom w:type="dxa" w:w="80"/>
              <w:right w:type="dxa" w:w="100"/>
            </w:tcMar>
            <w:vAlign w:val="center"/>
          </w:tcPr>
          <w:p>
            <w:r>
              <w:rPr>
                <w:b w:val="false"/>
                <w:bCs w:val="false"/>
                <w:color w:val="0F172A"/>
                <w:sz w:val="19"/>
                <w:szCs w:val="19"/>
              </w:rPr>
              <w:t xml:space="preserve">Usuarios</w:t>
            </w:r>
          </w:p>
        </w:tc>
        <w:tc>
          <w:tcPr>
            <w:tcW w:type="dxa" w:w="6860"/>
            <w:tcMar>
              <w:top w:type="dxa" w:w="80"/>
              <w:left w:type="dxa" w:w="100"/>
              <w:bottom w:type="dxa" w:w="80"/>
              <w:right w:type="dxa" w:w="100"/>
            </w:tcMar>
            <w:vAlign w:val="center"/>
          </w:tcPr>
          <w:p>
            <w:r>
              <w:rPr>
                <w:b w:val="false"/>
                <w:bCs w:val="false"/>
                <w:color w:val="0F172A"/>
                <w:sz w:val="19"/>
                <w:szCs w:val="19"/>
              </w:rPr>
              <w:t xml:space="preserve">Cuentas de acceso (username, hash bcrypt, rol, bandera de cambio de contraseña obligatorio)</w:t>
            </w:r>
          </w:p>
        </w:tc>
      </w:tr>
      <w:tr>
        <w:tc>
          <w:tcPr>
            <w:tcW w:type="dxa" w:w="2500"/>
            <w:shd w:fill="F8FAFC" w:val="clear"/>
            <w:tcMar>
              <w:top w:type="dxa" w:w="80"/>
              <w:left w:type="dxa" w:w="100"/>
              <w:bottom w:type="dxa" w:w="80"/>
              <w:right w:type="dxa" w:w="100"/>
            </w:tcMar>
            <w:vAlign w:val="center"/>
          </w:tcPr>
          <w:p>
            <w:r>
              <w:rPr>
                <w:b w:val="false"/>
                <w:bCs w:val="false"/>
                <w:color w:val="0F172A"/>
                <w:sz w:val="19"/>
                <w:szCs w:val="19"/>
              </w:rPr>
              <w:t xml:space="preserve">Operarios</w:t>
            </w:r>
          </w:p>
        </w:tc>
        <w:tc>
          <w:tcPr>
            <w:tcW w:type="dxa" w:w="6860"/>
            <w:shd w:fill="F8FAFC" w:val="clear"/>
            <w:tcMar>
              <w:top w:type="dxa" w:w="80"/>
              <w:left w:type="dxa" w:w="100"/>
              <w:bottom w:type="dxa" w:w="80"/>
              <w:right w:type="dxa" w:w="100"/>
            </w:tcMar>
            <w:vAlign w:val="center"/>
          </w:tcPr>
          <w:p>
            <w:r>
              <w:rPr>
                <w:b w:val="false"/>
                <w:bCs w:val="false"/>
                <w:color w:val="0F172A"/>
                <w:sz w:val="19"/>
                <w:szCs w:val="19"/>
              </w:rPr>
              <w:t xml:space="preserve">Ficha de cada trabajador de planta: estado (máquina de 6 estados), ubicación física, restricciones médicas, sexo, puesto/turno base, trazabilidad a puesto actual y puesto destino</w:t>
            </w:r>
          </w:p>
        </w:tc>
      </w:tr>
      <w:tr>
        <w:tc>
          <w:tcPr>
            <w:tcW w:type="dxa" w:w="2500"/>
            <w:tcMar>
              <w:top w:type="dxa" w:w="80"/>
              <w:left w:type="dxa" w:w="100"/>
              <w:bottom w:type="dxa" w:w="80"/>
              <w:right w:type="dxa" w:w="100"/>
            </w:tcMar>
            <w:vAlign w:val="center"/>
          </w:tcPr>
          <w:p>
            <w:r>
              <w:rPr>
                <w:b w:val="false"/>
                <w:bCs w:val="false"/>
                <w:color w:val="0F172A"/>
                <w:sz w:val="19"/>
                <w:szCs w:val="19"/>
              </w:rPr>
              <w:t xml:space="preserve">Puestos</w:t>
            </w:r>
          </w:p>
        </w:tc>
        <w:tc>
          <w:tcPr>
            <w:tcW w:type="dxa" w:w="6860"/>
            <w:tcMar>
              <w:top w:type="dxa" w:w="80"/>
              <w:left w:type="dxa" w:w="100"/>
              <w:bottom w:type="dxa" w:w="80"/>
              <w:right w:type="dxa" w:w="100"/>
            </w:tcMar>
            <w:vAlign w:val="center"/>
          </w:tcPr>
          <w:p>
            <w:r>
              <w:rPr>
                <w:b w:val="false"/>
                <w:bCs w:val="false"/>
                <w:color w:val="0F172A"/>
                <w:sz w:val="19"/>
                <w:szCs w:val="19"/>
              </w:rPr>
              <w:t xml:space="preserve">Cada posición física de una línea: tipo (fijo/crítico vs. vario), operario asignado, titular original (Rastro Dual), requisitos (rol, sexo preferente, capacidades), bandera de relevo solicitado, lista de relevistas que ya lo rechazaron</w:t>
            </w:r>
          </w:p>
        </w:tc>
      </w:tr>
      <w:tr>
        <w:tc>
          <w:tcPr>
            <w:tcW w:type="dxa" w:w="2500"/>
            <w:shd w:fill="F8FAFC" w:val="clear"/>
            <w:tcMar>
              <w:top w:type="dxa" w:w="80"/>
              <w:left w:type="dxa" w:w="100"/>
              <w:bottom w:type="dxa" w:w="80"/>
              <w:right w:type="dxa" w:w="100"/>
            </w:tcMar>
            <w:vAlign w:val="center"/>
          </w:tcPr>
          <w:p>
            <w:r>
              <w:rPr>
                <w:b w:val="false"/>
                <w:bCs w:val="false"/>
                <w:color w:val="0F172A"/>
                <w:sz w:val="19"/>
                <w:szCs w:val="19"/>
              </w:rPr>
              <w:t xml:space="preserve">Lineas</w:t>
            </w:r>
          </w:p>
        </w:tc>
        <w:tc>
          <w:tcPr>
            <w:tcW w:type="dxa" w:w="6860"/>
            <w:shd w:fill="F8FAFC" w:val="clear"/>
            <w:tcMar>
              <w:top w:type="dxa" w:w="80"/>
              <w:left w:type="dxa" w:w="100"/>
              <w:bottom w:type="dxa" w:w="80"/>
              <w:right w:type="dxa" w:w="100"/>
            </w:tcMar>
            <w:vAlign w:val="center"/>
          </w:tcPr>
          <w:p>
            <w:r>
              <w:rPr>
                <w:b w:val="false"/>
                <w:bCs w:val="false"/>
                <w:color w:val="0F172A"/>
                <w:sz w:val="19"/>
                <w:szCs w:val="19"/>
              </w:rPr>
              <w:t xml:space="preserve">Una fila por línea de producción: estado (INACTIVA / ARRANQUE / PRODUCCION / PARO), SKU del día, marca de inicio de turno, snapshot de mermas en curso</w:t>
            </w:r>
          </w:p>
        </w:tc>
      </w:tr>
      <w:tr>
        <w:tc>
          <w:tcPr>
            <w:tcW w:type="dxa" w:w="2500"/>
            <w:tcMar>
              <w:top w:type="dxa" w:w="80"/>
              <w:left w:type="dxa" w:w="100"/>
              <w:bottom w:type="dxa" w:w="80"/>
              <w:right w:type="dxa" w:w="100"/>
            </w:tcMar>
            <w:vAlign w:val="center"/>
          </w:tcPr>
          <w:p>
            <w:r>
              <w:rPr>
                <w:b w:val="false"/>
                <w:bCs w:val="false"/>
                <w:color w:val="0F172A"/>
                <w:sz w:val="19"/>
                <w:szCs w:val="19"/>
              </w:rPr>
              <w:t xml:space="preserve">Paros</w:t>
            </w:r>
          </w:p>
        </w:tc>
        <w:tc>
          <w:tcPr>
            <w:tcW w:type="dxa" w:w="6860"/>
            <w:tcMar>
              <w:top w:type="dxa" w:w="80"/>
              <w:left w:type="dxa" w:w="100"/>
              <w:bottom w:type="dxa" w:w="80"/>
              <w:right w:type="dxa" w:w="100"/>
            </w:tcMar>
            <w:vAlign w:val="center"/>
          </w:tcPr>
          <w:p>
            <w:r>
              <w:rPr>
                <w:b w:val="false"/>
                <w:bCs w:val="false"/>
                <w:color w:val="0F172A"/>
                <w:sz w:val="19"/>
                <w:szCs w:val="19"/>
              </w:rPr>
              <w:t xml:space="preserve">Un registro por evento de paro técnico: categoría, causa, síntomas, inicio, fin, duración</w:t>
            </w:r>
          </w:p>
        </w:tc>
      </w:tr>
      <w:tr>
        <w:tc>
          <w:tcPr>
            <w:tcW w:type="dxa" w:w="2500"/>
            <w:shd w:fill="F8FAFC" w:val="clear"/>
            <w:tcMar>
              <w:top w:type="dxa" w:w="80"/>
              <w:left w:type="dxa" w:w="100"/>
              <w:bottom w:type="dxa" w:w="80"/>
              <w:right w:type="dxa" w:w="100"/>
            </w:tcMar>
            <w:vAlign w:val="center"/>
          </w:tcPr>
          <w:p>
            <w:r>
              <w:rPr>
                <w:b w:val="false"/>
                <w:bCs w:val="false"/>
                <w:color w:val="0F172A"/>
                <w:sz w:val="19"/>
                <w:szCs w:val="19"/>
              </w:rPr>
              <w:t xml:space="preserve">HistoricoOEE</w:t>
            </w:r>
          </w:p>
        </w:tc>
        <w:tc>
          <w:tcPr>
            <w:tcW w:type="dxa" w:w="6860"/>
            <w:shd w:fill="F8FAFC" w:val="clear"/>
            <w:tcMar>
              <w:top w:type="dxa" w:w="80"/>
              <w:left w:type="dxa" w:w="100"/>
              <w:bottom w:type="dxa" w:w="80"/>
              <w:right w:type="dxa" w:w="100"/>
            </w:tcMar>
            <w:vAlign w:val="center"/>
          </w:tcPr>
          <w:p>
            <w:r>
              <w:rPr>
                <w:b w:val="false"/>
                <w:bCs w:val="false"/>
                <w:color w:val="0F172A"/>
                <w:sz w:val="19"/>
                <w:szCs w:val="19"/>
              </w:rPr>
              <w:t xml:space="preserve">Una fila por cierre de turno de una línea: disponibilidad, rendimiento, calidad, OEE global, mermas, minutos de paro, supervisor, turno</w:t>
            </w:r>
          </w:p>
        </w:tc>
      </w:tr>
      <w:tr>
        <w:tc>
          <w:tcPr>
            <w:tcW w:type="dxa" w:w="2500"/>
            <w:tcMar>
              <w:top w:type="dxa" w:w="80"/>
              <w:left w:type="dxa" w:w="100"/>
              <w:bottom w:type="dxa" w:w="80"/>
              <w:right w:type="dxa" w:w="100"/>
            </w:tcMar>
            <w:vAlign w:val="center"/>
          </w:tcPr>
          <w:p>
            <w:r>
              <w:rPr>
                <w:b w:val="false"/>
                <w:bCs w:val="false"/>
                <w:color w:val="0F172A"/>
                <w:sz w:val="19"/>
                <w:szCs w:val="19"/>
              </w:rPr>
              <w:t xml:space="preserve">ConfiguracionGlobal</w:t>
            </w:r>
          </w:p>
        </w:tc>
        <w:tc>
          <w:tcPr>
            <w:tcW w:type="dxa" w:w="6860"/>
            <w:tcMar>
              <w:top w:type="dxa" w:w="80"/>
              <w:left w:type="dxa" w:w="100"/>
              <w:bottom w:type="dxa" w:w="80"/>
              <w:right w:type="dxa" w:w="100"/>
            </w:tcMar>
            <w:vAlign w:val="center"/>
          </w:tcPr>
          <w:p>
            <w:r>
              <w:rPr>
                <w:b w:val="false"/>
                <w:bCs w:val="false"/>
                <w:color w:val="0F172A"/>
                <w:sz w:val="19"/>
                <w:szCs w:val="19"/>
              </w:rPr>
              <w:t xml:space="preserve">Fila única con la prioridad de líneas de planta y el estado global de turno</w:t>
            </w:r>
          </w:p>
        </w:tc>
      </w:tr>
      <w:tr>
        <w:tc>
          <w:tcPr>
            <w:tcW w:type="dxa" w:w="2500"/>
            <w:shd w:fill="F8FAFC" w:val="clear"/>
            <w:tcMar>
              <w:top w:type="dxa" w:w="80"/>
              <w:left w:type="dxa" w:w="100"/>
              <w:bottom w:type="dxa" w:w="80"/>
              <w:right w:type="dxa" w:w="100"/>
            </w:tcMar>
            <w:vAlign w:val="center"/>
          </w:tcPr>
          <w:p>
            <w:r>
              <w:rPr>
                <w:b w:val="false"/>
                <w:bCs w:val="false"/>
                <w:color w:val="0F172A"/>
                <w:sz w:val="19"/>
                <w:szCs w:val="19"/>
              </w:rPr>
              <w:t xml:space="preserve">OrdenesProduccion</w:t>
            </w:r>
          </w:p>
        </w:tc>
        <w:tc>
          <w:tcPr>
            <w:tcW w:type="dxa" w:w="6860"/>
            <w:shd w:fill="F8FAFC" w:val="clear"/>
            <w:tcMar>
              <w:top w:type="dxa" w:w="80"/>
              <w:left w:type="dxa" w:w="100"/>
              <w:bottom w:type="dxa" w:w="80"/>
              <w:right w:type="dxa" w:w="100"/>
            </w:tcMar>
            <w:vAlign w:val="center"/>
          </w:tcPr>
          <w:p>
            <w:r>
              <w:rPr>
                <w:b w:val="false"/>
                <w:bCs w:val="false"/>
                <w:color w:val="0F172A"/>
                <w:sz w:val="19"/>
                <w:szCs w:val="19"/>
              </w:rPr>
              <w:t xml:space="preserve">Órdenes planificadas por SKU/línea/fecha, meta de cajas y botellas</w:t>
            </w:r>
          </w:p>
        </w:tc>
      </w:tr>
      <w:tr>
        <w:tc>
          <w:tcPr>
            <w:tcW w:type="dxa" w:w="2500"/>
            <w:tcMar>
              <w:top w:type="dxa" w:w="80"/>
              <w:left w:type="dxa" w:w="100"/>
              <w:bottom w:type="dxa" w:w="80"/>
              <w:right w:type="dxa" w:w="100"/>
            </w:tcMar>
            <w:vAlign w:val="center"/>
          </w:tcPr>
          <w:p>
            <w:r>
              <w:rPr>
                <w:b w:val="false"/>
                <w:bCs w:val="false"/>
                <w:color w:val="0F172A"/>
                <w:sz w:val="19"/>
                <w:szCs w:val="19"/>
              </w:rPr>
              <w:t xml:space="preserve">Supervisores / LineasAsignacion / Ausencias</w:t>
            </w:r>
          </w:p>
        </w:tc>
        <w:tc>
          <w:tcPr>
            <w:tcW w:type="dxa" w:w="6860"/>
            <w:tcMar>
              <w:top w:type="dxa" w:w="80"/>
              <w:left w:type="dxa" w:w="100"/>
              <w:bottom w:type="dxa" w:w="80"/>
              <w:right w:type="dxa" w:w="100"/>
            </w:tcMar>
            <w:vAlign w:val="center"/>
          </w:tcPr>
          <w:p>
            <w:r>
              <w:rPr>
                <w:b w:val="false"/>
                <w:bCs w:val="false"/>
                <w:color w:val="0F172A"/>
                <w:sz w:val="19"/>
                <w:szCs w:val="19"/>
              </w:rPr>
              <w:t xml:space="preserve">Tablas heredadas del esquema original, usadas para vincular usuario-línea y para el registro histórico de inasistencias</w:t>
            </w:r>
          </w:p>
        </w:tc>
      </w:tr>
    </w:tbl>
    <w:p>
      <w:pPr>
        <w:pStyle w:val="Heading2"/>
        <w:spacing w:after="160" w:before="320"/>
      </w:pPr>
      <w:r>
        <w:t xml:space="preserve">3.2 Estado del operario (máquina de estados)</w:t>
      </w:r>
    </w:p>
    <w:p>
      <w:pPr>
        <w:spacing w:after="160" w:line="288"/>
        <w:jc w:val="both"/>
      </w:pPr>
      <w:r>
        <w:rPr>
          <w:b w:val="false"/>
          <w:bCs w:val="false"/>
          <w:i w:val="false"/>
          <w:iCs w:val="false"/>
        </w:rPr>
        <w:t xml:space="preserve">El campo Operarios.EstadoActual es una máquina de 6 estados que gobierna qué transiciones son válidas en cada endpoint:</w:t>
      </w:r>
    </w:p>
    <w:p>
      <w:pPr>
        <w:pStyle w:val="ListParagraph"/>
        <w:numPr>
          <w:ilvl w:val="0"/>
          <w:numId w:val="1"/>
        </w:numPr>
        <w:spacing w:after="100" w:line="276"/>
      </w:pPr>
      <w:r>
        <w:t xml:space="preserve">INACTIVO — sin actividad, no visible para asignación directa.</w:t>
      </w:r>
    </w:p>
    <w:p>
      <w:pPr>
        <w:pStyle w:val="ListParagraph"/>
        <w:numPr>
          <w:ilvl w:val="0"/>
          <w:numId w:val="1"/>
        </w:numPr>
        <w:spacing w:after="100" w:line="276"/>
      </w:pPr>
      <w:r>
        <w:t xml:space="preserve">POOL_ARRANQUE — disponible al inicio de turno para arranque rápido (incluye doble turno).</w:t>
      </w:r>
    </w:p>
    <w:p>
      <w:pPr>
        <w:pStyle w:val="ListParagraph"/>
        <w:numPr>
          <w:ilvl w:val="0"/>
          <w:numId w:val="1"/>
        </w:numPr>
        <w:spacing w:after="100" w:line="276"/>
      </w:pPr>
      <w:r>
        <w:t xml:space="preserve">DISPONIBLE_BOLSON — disponible en la Línea 8 (Bolsón), desalojado de un puesto por un paro o liberación.</w:t>
      </w:r>
    </w:p>
    <w:p>
      <w:pPr>
        <w:pStyle w:val="ListParagraph"/>
        <w:numPr>
          <w:ilvl w:val="0"/>
          <w:numId w:val="1"/>
        </w:numPr>
        <w:spacing w:after="100" w:line="276"/>
      </w:pPr>
      <w:r>
        <w:t xml:space="preserve">ASIGNADO — ocupando un puesto activo.</w:t>
      </w:r>
    </w:p>
    <w:p>
      <w:pPr>
        <w:pStyle w:val="ListParagraph"/>
        <w:numPr>
          <w:ilvl w:val="0"/>
          <w:numId w:val="1"/>
        </w:numPr>
        <w:spacing w:after="100" w:line="276"/>
      </w:pPr>
      <w:r>
        <w:t xml:space="preserve">EN_TRANSITO — despachado hacia otra línea/puesto, pendiente de confirmación de arribo.</w:t>
      </w:r>
    </w:p>
    <w:p>
      <w:pPr>
        <w:pStyle w:val="ListParagraph"/>
        <w:numPr>
          <w:ilvl w:val="0"/>
          <w:numId w:val="1"/>
        </w:numPr>
        <w:spacing w:after="100" w:line="276"/>
      </w:pPr>
      <w:r>
        <w:t xml:space="preserve">BAJA_TEMPORAL — de baja durante el turno (no participa del ciclo de asignación).</w:t>
      </w:r>
    </w:p>
    <w:p>
      <w:pPr>
        <w:pStyle w:val="Heading2"/>
        <w:spacing w:after="160" w:before="320"/>
      </w:pPr>
      <w:r>
        <w:t xml:space="preserve">3.3 Notas de diseño relevantes</w:t>
      </w:r>
    </w:p>
    <w:p>
      <w:pPr>
        <w:pStyle w:val="ListParagraph"/>
        <w:numPr>
          <w:ilvl w:val="0"/>
          <w:numId w:val="1"/>
        </w:numPr>
        <w:spacing w:after="100" w:line="276"/>
      </w:pPr>
      <w:r>
        <w:t xml:space="preserve">Estado del turno en curso vive en la propia fila de Lineas (SKU, TurnStartTimestamp, snapshot de mermas) en vez de una tabla de eventos aparte — mismo criterio con el que se deriva el paro activo (se consulta Paros WHERE FinalizadoEn IS NULL en lugar de duplicar ese estado).</w:t>
      </w:r>
    </w:p>
    <w:p>
      <w:pPr>
        <w:pStyle w:val="ListParagraph"/>
        <w:numPr>
          <w:ilvl w:val="0"/>
          <w:numId w:val="1"/>
        </w:numPr>
        <w:spacing w:after="100" w:line="276"/>
      </w:pPr>
      <w:r>
        <w:t xml:space="preserve">HistoricoOEE.OrdenProduccionId es opcional: se intenta vincular contra una orden planificada real (línea + SKU + fecha), pero como en el entorno de prueba las órdenes sembradas son de fechas pasadas, se agregaron columnas denormalizadas (Linea, Sku, Supervisor) para que el cierre de turno no dependa de encontrar ese match.</w:t>
      </w:r>
    </w:p>
    <w:p>
      <w:pPr>
        <w:pStyle w:val="ListParagraph"/>
        <w:numPr>
          <w:ilvl w:val="0"/>
          <w:numId w:val="1"/>
        </w:numPr>
        <w:spacing w:after="100" w:line="276"/>
      </w:pPr>
      <w:r>
        <w:t xml:space="preserve">Los puestos se clasifican en críticos (Operador A, Averiero, Operador C) — anclados durante un paro, y varios — desalojados hacia el Bolsón cuando la línea entra en paro. Ese mismo criterio se reutiliza para el reseteo de puestos en el cierre de turno.</w:t>
      </w:r>
    </w:p>
    <w:p>
      <w:pPr>
        <w:pStyle w:val="Heading1"/>
        <w:spacing w:after="200" w:before="480"/>
      </w:pPr>
      <w:r>
        <w:t xml:space="preserve">4. Seguridad y Control de Acceso</w:t>
      </w:r>
    </w:p>
    <w:p>
      <w:pPr>
        <w:pStyle w:val="Heading2"/>
        <w:spacing w:after="160" w:before="320"/>
      </w:pPr>
      <w:r>
        <w:t xml:space="preserve">4.1 Autenticación</w:t>
      </w:r>
    </w:p>
    <w:p>
      <w:pPr>
        <w:spacing w:after="160" w:line="288"/>
        <w:jc w:val="both"/>
      </w:pPr>
      <w:r>
        <w:rPr>
          <w:b w:val="false"/>
          <w:bCs w:val="false"/>
          <w:i w:val="false"/>
          <w:iCs w:val="false"/>
        </w:rPr>
        <w:t xml:space="preserve">El login (POST /api/auth/login) valida usuario y contraseña contra Usuarios.PasswordHash (bcrypt) y devuelve un JWT firmado con el rol, la línea asignada (si aplica) y el nombre del supervisor embebidos en el payload. Todas las rutas protegidas exigen ese token vía el middleware requireAuth, que además tolera el caso de un plan gratuito de proveedores externos sin proveedores de Auth configurados mediante un fallback resiliente.</w:t>
      </w:r>
    </w:p>
    <w:p>
      <w:pPr>
        <w:pStyle w:val="Heading2"/>
        <w:spacing w:after="160" w:before="320"/>
      </w:pPr>
      <w:r>
        <w:t xml:space="preserve">4.2 Autorización por rol</w:t>
      </w:r>
    </w:p>
    <w:p>
      <w:pPr>
        <w:spacing w:after="160" w:line="288"/>
        <w:jc w:val="both"/>
      </w:pPr>
      <w:r>
        <w:rPr>
          <w:b w:val="false"/>
          <w:bCs w:val="false"/>
          <w:i w:val="false"/>
          <w:iCs w:val="false"/>
        </w:rPr>
        <w:t xml:space="preserve">El middleware requireRole(...roles) restringe cada endpoint a los roles permitidos (COORDINADOR, SUPERVISOR). El Coordinador tiene visibilidad y control sobre toda la planta; el Supervisor solo sobre su línea asignada.</w:t>
      </w:r>
    </w:p>
    <w:p>
      <w:pPr>
        <w:pStyle w:val="Heading2"/>
        <w:spacing w:after="160" w:before="320"/>
      </w:pPr>
      <w:r>
        <w:t xml:space="preserve">4.3 Ownership de línea</w:t>
      </w:r>
    </w:p>
    <w:p>
      <w:pPr>
        <w:spacing w:after="160" w:line="288"/>
        <w:jc w:val="both"/>
      </w:pPr>
      <w:r>
        <w:rPr>
          <w:b w:val="false"/>
          <w:bCs w:val="false"/>
          <w:i w:val="false"/>
          <w:iCs w:val="false"/>
        </w:rPr>
        <w:t xml:space="preserve">Además del rol, la mayoría de los endpoints de línea (paros, mermas, cierre de turno, asignación de puestos) verifican explícitamente que lineId === req.user.lineId cuando el usuario es SUPERVISOR, devolviendo 403 en caso contrario. Para el endpoint de asignación de puestos, el middleware requireLineOwnership hace esa verificación contra la base de datos consultando el LineId real de cada puesto involucrado en la petición, en vez de confiar en un valor recibido del cliente — un supervisor no puede, por ejemplo, enviar un slotId de otra línea y operarlo con el token de la suya.</w:t>
      </w:r>
    </w:p>
    <w:p>
      <w:pPr>
        <w:pStyle w:val="Heading2"/>
        <w:spacing w:after="160" w:before="320"/>
      </w:pPr>
      <w:r>
        <w:t xml:space="preserve">4.4 Validación fail-closed</w:t>
      </w:r>
    </w:p>
    <w:p>
      <w:pPr>
        <w:spacing w:after="160" w:line="288"/>
        <w:jc w:val="both"/>
      </w:pPr>
      <w:r>
        <w:rPr>
          <w:b w:val="false"/>
          <w:bCs w:val="false"/>
          <w:i w:val="false"/>
          <w:iCs w:val="false"/>
        </w:rPr>
        <w:t xml:space="preserve">Las reglas de negocio con impacto en seguridad de las personas (restricciones médicas, compatibilidad de rol/sexo con el puesto, regla ergonómica de 24 horas) se validan en el servidor antes de comprometer la transacción, no solo en el cliente. La validación cliente existe para dar retroalimentación inmediata al supervisor, pero el servidor nunca confía en ella como única barrera — el mismo patrón se aplicó en esta ronda al agregar la validación server-side del límite de 5% de mermas.</w:t>
      </w:r>
    </w:p>
    <w:p>
      <w:pPr>
        <w:pStyle w:val="Heading1"/>
        <w:spacing w:after="200" w:before="480"/>
      </w:pPr>
      <w:r>
        <w:t xml:space="preserve">5. Módulos Funcionales</w:t>
      </w:r>
    </w:p>
    <w:p>
      <w:pPr>
        <w:pStyle w:val="Heading2"/>
        <w:spacing w:after="160" w:before="320"/>
      </w:pPr>
      <w:r>
        <w:t xml:space="preserve">5.1 Motor 1 — Inyección de Turno</w:t>
      </w:r>
    </w:p>
    <w:p>
      <w:pPr>
        <w:spacing w:after="160" w:line="288"/>
        <w:jc w:val="both"/>
      </w:pPr>
      <w:r>
        <w:rPr>
          <w:b w:val="false"/>
          <w:bCs w:val="false"/>
          <w:i w:val="false"/>
          <w:iCs w:val="false"/>
        </w:rPr>
        <w:t xml:space="preserve">Ejecutado por el Coordinador al inicio del día (POST /api/coordinador/inyectar-turno) con el mapa de SKU por línea. Para cada línea con SKU asignado, la transacción la marca en estado ARRANQUE, fija su TurnStartTimestamp (si no lo tenía) y auto-asigna a los operarios titulares de los puestos fijos/críticos (Rastro Dual: cada puesto crítico recuerda a su titular original vía IdWorkerOriginal). Las líneas sin SKU para el día quedan INACTIVA y sus puestos se suspenden, liberando a cualquier operario que tuvieran asignado hacia el Bolsón (L8).</w:t>
      </w:r>
    </w:p>
    <w:p>
      <w:pPr>
        <w:pStyle w:val="Heading2"/>
        <w:spacing w:after="160" w:before="320"/>
      </w:pPr>
      <w:r>
        <w:t xml:space="preserve">5.2 Asignación y Relevos de Puestos</w:t>
      </w:r>
    </w:p>
    <w:p>
      <w:pPr>
        <w:spacing w:after="160" w:line="288"/>
        <w:jc w:val="both"/>
      </w:pPr>
      <w:r>
        <w:rPr>
          <w:b w:val="false"/>
          <w:bCs w:val="false"/>
          <w:i w:val="false"/>
          <w:iCs w:val="false"/>
        </w:rPr>
        <w:t xml:space="preserve">El endpoint POST /api/puestos/asignar es el corazón operativo del sistema: valida parámetros, fase de turno (arranque vs. marcha, con distintos estados de operario permitidos en cada una), que el puesto destino esté libre, ownership de línea, restricciones médicas, la regla ergonómica de 24 horas (un operario no puede repetir la misma actividad de su turno anterior) y libera el puesto de origen si el operario ya estaba asignado en otro lugar. El módulo de relevos añade el cascadeo ergonómico: cuando un titular fatigado necesita relevo, el sistema busca primero un relevista disponible localmente en la misma línea, luego evalúa una reubicación inter-línea según la prioridad de planta, y como último recurso corta el ciclo y envía al operario de vuelta al Bolsón para evitar bucles infinitos de reasignación.</w:t>
      </w:r>
    </w:p>
    <w:p>
      <w:pPr>
        <w:pStyle w:val="Heading2"/>
        <w:spacing w:after="160" w:before="320"/>
      </w:pPr>
      <w:r>
        <w:t xml:space="preserve">5.3 Motor 4 — Paros Técnicos</w:t>
      </w:r>
    </w:p>
    <w:p>
      <w:pPr>
        <w:spacing w:after="160" w:line="288"/>
        <w:jc w:val="both"/>
      </w:pPr>
      <w:r>
        <w:rPr>
          <w:b w:val="false"/>
          <w:bCs w:val="false"/>
          <w:i w:val="false"/>
          <w:iCs w:val="false"/>
        </w:rPr>
        <w:t xml:space="preserve">POST /api/lineas/:lineId/paro/iniciar registra el paro (categoría, causa, síntomas), pone la línea en estado PARO y libera en bloque todos los puestos varios ocupados (los críticos permanecen anclados, porque el operario técnico se queda junto al equipo). POST /api/lineas/:lineId/paro/finalizar cierra el registro, calcula la duración y regresa la línea a PRODUCCION. Solo puede haber un paro activo por línea a la vez.</w:t>
      </w:r>
    </w:p>
    <w:p>
      <w:pPr>
        <w:pStyle w:val="Heading2"/>
        <w:spacing w:after="160" w:before="320"/>
      </w:pPr>
      <w:r>
        <w:t xml:space="preserve">5.4 Formulario de Mermas</w:t>
      </w:r>
    </w:p>
    <w:p>
      <w:pPr>
        <w:spacing w:after="160" w:line="288"/>
        <w:jc w:val="both"/>
      </w:pPr>
      <w:r>
        <w:rPr>
          <w:b w:val="false"/>
          <w:bCs w:val="false"/>
          <w:i w:val="false"/>
          <w:iCs w:val="false"/>
        </w:rPr>
        <w:t xml:space="preserve">Cada línea activa puede registrar, durante el turno, el desperdicio de cuatro materiales (tapón, botella, estuche, etiqueta) en dos categorías: inventario y proceso. El sistema calcula en vivo el porcentaje que ese desperdicio de proceso representa sobre la producción estimada del turno y exige una justificación obligatoria cuando supera el 5% — regla que se valida tanto en el cliente (bloqueo del botón) como en el servidor (POST /api/lineas/:lineId/mermas), de forma consistente con el criterio de seguridad fail-closed descrito en la sección 4.4. El snapshot vigente de mermas alimenta en vivo el panel del Coordinador y, al cerrar el turno, su total de proceso se incorpora al cálculo de Calidad del OEE.</w:t>
      </w:r>
    </w:p>
    <w:p>
      <w:pPr>
        <w:pStyle w:val="Heading2"/>
        <w:spacing w:after="160" w:before="320"/>
      </w:pPr>
      <w:r>
        <w:t xml:space="preserve">5.5 Cierre de Turno y Cálculo de OEE</w:t>
      </w:r>
    </w:p>
    <w:p>
      <w:pPr>
        <w:spacing w:after="160" w:line="288"/>
        <w:jc w:val="both"/>
      </w:pPr>
      <w:r>
        <w:rPr>
          <w:b w:val="false"/>
          <w:bCs w:val="false"/>
          <w:i w:val="false"/>
          <w:iCs w:val="false"/>
        </w:rPr>
        <w:t xml:space="preserve">POST /api/lineas/:lineId/cerrar-turno consolida el turno completo en una única transacción: si queda un paro abierto lo cierra automáticamente (evitando registros huérfanos), calcula el OEE real con la fórmula clásica Disponibilidad × Rendimiento × Calidad, resetea los puestos de la línea (críticos a ALERTA_VACANTE, varios a VACANTE) y despacha a cada operario que estaba en la línea — a POOL_ARRANQUE si el supervisor lo marcó para doble turno, o a INACTIVO en caso contrario. El resultado se inserta en HistoricoOEE, que es lo que finalmente alimenta el histórico de planta.</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3400"/>
        <w:gridCol w:w="5960"/>
      </w:tblGrid>
      <w:tr>
        <w:trPr>
          <w:tblHeader/>
        </w:trPr>
        <w:tc>
          <w:tcPr>
            <w:tcW w:type="dxa" w:w="3400"/>
            <w:shd w:fill="1E3A8A" w:val="clear"/>
            <w:tcMar>
              <w:top w:type="dxa" w:w="80"/>
              <w:left w:type="dxa" w:w="100"/>
              <w:bottom w:type="dxa" w:w="80"/>
              <w:right w:type="dxa" w:w="100"/>
            </w:tcMar>
            <w:vAlign w:val="center"/>
          </w:tcPr>
          <w:p>
            <w:r>
              <w:rPr>
                <w:b/>
                <w:bCs/>
                <w:color w:val="FFFFFF"/>
                <w:sz w:val="19"/>
                <w:szCs w:val="19"/>
              </w:rPr>
              <w:t xml:space="preserve">Componente del OEE</w:t>
            </w:r>
          </w:p>
        </w:tc>
        <w:tc>
          <w:tcPr>
            <w:tcW w:type="dxa" w:w="5960"/>
            <w:shd w:fill="1E3A8A" w:val="clear"/>
            <w:tcMar>
              <w:top w:type="dxa" w:w="80"/>
              <w:left w:type="dxa" w:w="100"/>
              <w:bottom w:type="dxa" w:w="80"/>
              <w:right w:type="dxa" w:w="100"/>
            </w:tcMar>
            <w:vAlign w:val="center"/>
          </w:tcPr>
          <w:p>
            <w:r>
              <w:rPr>
                <w:b/>
                <w:bCs/>
                <w:color w:val="FFFFFF"/>
                <w:sz w:val="19"/>
                <w:szCs w:val="19"/>
              </w:rPr>
              <w:t xml:space="preserve">Fórmula</w:t>
            </w:r>
          </w:p>
        </w:tc>
      </w:tr>
      <w:tr>
        <w:tc>
          <w:tcPr>
            <w:tcW w:type="dxa" w:w="3400"/>
            <w:tcMar>
              <w:top w:type="dxa" w:w="80"/>
              <w:left w:type="dxa" w:w="100"/>
              <w:bottom w:type="dxa" w:w="80"/>
              <w:right w:type="dxa" w:w="100"/>
            </w:tcMar>
            <w:vAlign w:val="center"/>
          </w:tcPr>
          <w:p>
            <w:r>
              <w:rPr>
                <w:b w:val="false"/>
                <w:bCs w:val="false"/>
                <w:color w:val="0F172A"/>
                <w:sz w:val="19"/>
                <w:szCs w:val="19"/>
              </w:rPr>
              <w:t xml:space="preserve">Disponibilidad</w:t>
            </w:r>
          </w:p>
        </w:tc>
        <w:tc>
          <w:tcPr>
            <w:tcW w:type="dxa" w:w="5960"/>
            <w:tcMar>
              <w:top w:type="dxa" w:w="80"/>
              <w:left w:type="dxa" w:w="100"/>
              <w:bottom w:type="dxa" w:w="80"/>
              <w:right w:type="dxa" w:w="100"/>
            </w:tcMar>
            <w:vAlign w:val="center"/>
          </w:tcPr>
          <w:p>
            <w:r>
              <w:rPr>
                <w:b w:val="false"/>
                <w:bCs w:val="false"/>
                <w:color w:val="0F172A"/>
                <w:sz w:val="19"/>
                <w:szCs w:val="19"/>
              </w:rPr>
              <w:t xml:space="preserve">tiempo en marcha ÷ tiempo total transcurrido del turno (tiempo total menos minutos de paro)</w:t>
            </w:r>
          </w:p>
        </w:tc>
      </w:tr>
      <w:tr>
        <w:tc>
          <w:tcPr>
            <w:tcW w:type="dxa" w:w="3400"/>
            <w:shd w:fill="F8FAFC" w:val="clear"/>
            <w:tcMar>
              <w:top w:type="dxa" w:w="80"/>
              <w:left w:type="dxa" w:w="100"/>
              <w:bottom w:type="dxa" w:w="80"/>
              <w:right w:type="dxa" w:w="100"/>
            </w:tcMar>
            <w:vAlign w:val="center"/>
          </w:tcPr>
          <w:p>
            <w:r>
              <w:rPr>
                <w:b w:val="false"/>
                <w:bCs w:val="false"/>
                <w:color w:val="0F172A"/>
                <w:sz w:val="19"/>
                <w:szCs w:val="19"/>
              </w:rPr>
              <w:t xml:space="preserve">Rendimiento</w:t>
            </w:r>
          </w:p>
        </w:tc>
        <w:tc>
          <w:tcPr>
            <w:tcW w:type="dxa" w:w="5960"/>
            <w:shd w:fill="F8FAFC" w:val="clear"/>
            <w:tcMar>
              <w:top w:type="dxa" w:w="80"/>
              <w:left w:type="dxa" w:w="100"/>
              <w:bottom w:type="dxa" w:w="80"/>
              <w:right w:type="dxa" w:w="100"/>
            </w:tcMar>
            <w:vAlign w:val="center"/>
          </w:tcPr>
          <w:p>
            <w:r>
              <w:rPr>
                <w:b w:val="false"/>
                <w:bCs w:val="false"/>
                <w:color w:val="0F172A"/>
                <w:sz w:val="19"/>
                <w:szCs w:val="19"/>
              </w:rPr>
              <w:t xml:space="preserve">(puestos asignados ÷ puestos totales de la línea) × 0.98</w:t>
            </w:r>
          </w:p>
        </w:tc>
      </w:tr>
      <w:tr>
        <w:tc>
          <w:tcPr>
            <w:tcW w:type="dxa" w:w="3400"/>
            <w:tcMar>
              <w:top w:type="dxa" w:w="80"/>
              <w:left w:type="dxa" w:w="100"/>
              <w:bottom w:type="dxa" w:w="80"/>
              <w:right w:type="dxa" w:w="100"/>
            </w:tcMar>
            <w:vAlign w:val="center"/>
          </w:tcPr>
          <w:p>
            <w:r>
              <w:rPr>
                <w:b w:val="false"/>
                <w:bCs w:val="false"/>
                <w:color w:val="0F172A"/>
                <w:sz w:val="19"/>
                <w:szCs w:val="19"/>
              </w:rPr>
              <w:t xml:space="preserve">Calidad</w:t>
            </w:r>
          </w:p>
        </w:tc>
        <w:tc>
          <w:tcPr>
            <w:tcW w:type="dxa" w:w="5960"/>
            <w:tcMar>
              <w:top w:type="dxa" w:w="80"/>
              <w:left w:type="dxa" w:w="100"/>
              <w:bottom w:type="dxa" w:w="80"/>
              <w:right w:type="dxa" w:w="100"/>
            </w:tcMar>
            <w:vAlign w:val="center"/>
          </w:tcPr>
          <w:p>
            <w:r>
              <w:rPr>
                <w:b w:val="false"/>
                <w:bCs w:val="false"/>
                <w:color w:val="0F172A"/>
                <w:sz w:val="19"/>
                <w:szCs w:val="19"/>
              </w:rPr>
              <w:t xml:space="preserve">(producción estimada − mermas de proceso) ÷ producción estimada</w:t>
            </w:r>
          </w:p>
        </w:tc>
      </w:tr>
      <w:tr>
        <w:tc>
          <w:tcPr>
            <w:tcW w:type="dxa" w:w="3400"/>
            <w:shd w:fill="F8FAFC" w:val="clear"/>
            <w:tcMar>
              <w:top w:type="dxa" w:w="80"/>
              <w:left w:type="dxa" w:w="100"/>
              <w:bottom w:type="dxa" w:w="80"/>
              <w:right w:type="dxa" w:w="100"/>
            </w:tcMar>
            <w:vAlign w:val="center"/>
          </w:tcPr>
          <w:p>
            <w:r>
              <w:rPr>
                <w:b w:val="false"/>
                <w:bCs w:val="false"/>
                <w:color w:val="0F172A"/>
                <w:sz w:val="19"/>
                <w:szCs w:val="19"/>
              </w:rPr>
              <w:t xml:space="preserve">OEE Global</w:t>
            </w:r>
          </w:p>
        </w:tc>
        <w:tc>
          <w:tcPr>
            <w:tcW w:type="dxa" w:w="5960"/>
            <w:shd w:fill="F8FAFC" w:val="clear"/>
            <w:tcMar>
              <w:top w:type="dxa" w:w="80"/>
              <w:left w:type="dxa" w:w="100"/>
              <w:bottom w:type="dxa" w:w="80"/>
              <w:right w:type="dxa" w:w="100"/>
            </w:tcMar>
            <w:vAlign w:val="center"/>
          </w:tcPr>
          <w:p>
            <w:r>
              <w:rPr>
                <w:b w:val="false"/>
                <w:bCs w:val="false"/>
                <w:color w:val="0F172A"/>
                <w:sz w:val="19"/>
                <w:szCs w:val="19"/>
              </w:rPr>
              <w:t xml:space="preserve">Disponibilidad × Rendimiento × Calidad × 100</w:t>
            </w:r>
          </w:p>
        </w:tc>
      </w:tr>
    </w:tbl>
    <w:p>
      <w:pPr>
        <w:pStyle w:val="Heading2"/>
        <w:spacing w:after="160" w:before="320"/>
      </w:pPr>
      <w:r>
        <w:t xml:space="preserve">5.6 Panel del Coordinador e Historial</w:t>
      </w:r>
    </w:p>
    <w:p>
      <w:pPr>
        <w:spacing w:after="160" w:line="288"/>
        <w:jc w:val="both"/>
      </w:pPr>
      <w:r>
        <w:rPr>
          <w:b w:val="false"/>
          <w:bCs w:val="false"/>
          <w:i w:val="false"/>
          <w:iCs w:val="false"/>
        </w:rPr>
        <w:t xml:space="preserve">El Coordinador cuenta con una vista consolidada de planta con el estado de cada línea, OEE promedio, tiempo de paro total, mermas totales y su desglose por material, alimentada en tiempo real por el mismo mecanismo de eventos Socket.io. La vista Historial (GET /api/historial) consulta HistoricoOEE por fecha y agrega el OEE, disponibilidad, rendimiento, calidad, mermas y minutos de paro por línea para el día consultado.</w:t>
      </w:r>
    </w:p>
    <w:p>
      <w:pPr>
        <w:pStyle w:val="Heading1"/>
        <w:spacing w:after="200" w:before="480"/>
      </w:pPr>
      <w:r>
        <w:t xml:space="preserve">6. Comunicación en Tiempo Real</w:t>
      </w:r>
    </w:p>
    <w:p>
      <w:pPr>
        <w:spacing w:after="160" w:line="288"/>
        <w:jc w:val="both"/>
      </w:pPr>
      <w:r>
        <w:rPr>
          <w:b w:val="false"/>
          <w:bCs w:val="false"/>
          <w:i w:val="false"/>
          <w:iCs w:val="false"/>
        </w:rPr>
        <w:t xml:space="preserve">El servidor mantiene un canal Socket.io (io.emit) y emite tres eventos principales al terminar cualquier transacción que modifique el estado de planta:</w:t>
      </w:r>
    </w:p>
    <w:p>
      <w:pPr>
        <w:pStyle w:val="ListParagraph"/>
        <w:numPr>
          <w:ilvl w:val="0"/>
          <w:numId w:val="1"/>
        </w:numPr>
        <w:spacing w:after="100" w:line="276"/>
      </w:pPr>
      <w:r>
        <w:t xml:space="preserve">puestos_updated — cambios en la ocupación o estado de cualquier puesto.</w:t>
      </w:r>
    </w:p>
    <w:p>
      <w:pPr>
        <w:pStyle w:val="ListParagraph"/>
        <w:numPr>
          <w:ilvl w:val="0"/>
          <w:numId w:val="1"/>
        </w:numPr>
        <w:spacing w:after="100" w:line="276"/>
      </w:pPr>
      <w:r>
        <w:t xml:space="preserve">trabajadores_updated — cambios de estado en la ficha de un operario.</w:t>
      </w:r>
    </w:p>
    <w:p>
      <w:pPr>
        <w:pStyle w:val="ListParagraph"/>
        <w:numPr>
          <w:ilvl w:val="0"/>
          <w:numId w:val="1"/>
        </w:numPr>
        <w:spacing w:after="100" w:line="276"/>
      </w:pPr>
      <w:r>
        <w:t xml:space="preserve">config_updated — cambios en la configuración de una línea (SKU, estado de turno, paro activo, mermas).</w:t>
      </w:r>
    </w:p>
    <w:p>
      <w:pPr>
        <w:spacing w:after="160" w:line="288"/>
        <w:jc w:val="both"/>
      </w:pPr>
      <w:r>
        <w:rPr>
          <w:b w:val="false"/>
          <w:bCs w:val="false"/>
          <w:i w:val="false"/>
          <w:iCs w:val="false"/>
        </w:rPr>
        <w:t xml:space="preserve">En el cliente, la capa de compatibilidad descrita en la sección 2.4 se suscribe a estos eventos y re-consulta el endpoint REST correspondiente cuando llegan, replicando el comportamiento de onSnapshot de Firestore sin mantener una conexión persistente de base de datos por cada cliente.</w:t>
      </w:r>
    </w:p>
    <w:p>
      <w:pPr>
        <w:pStyle w:val="Heading1"/>
        <w:spacing w:after="200" w:before="480"/>
      </w:pPr>
      <w:r>
        <w:t xml:space="preserve">7. Estado Actual y Limitaciones Conocidas</w:t>
      </w:r>
    </w:p>
    <w:p>
      <w:pPr>
        <w:spacing w:after="160" w:line="288"/>
        <w:jc w:val="both"/>
      </w:pPr>
      <w:r>
        <w:rPr>
          <w:b w:val="false"/>
          <w:bCs w:val="false"/>
          <w:i w:val="false"/>
          <w:iCs w:val="false"/>
        </w:rPr>
        <w:t xml:space="preserve">A la fecha de este documento, los siguientes módulos están migrados y verificados contra datos reales de planta (10 líneas, 153 operarios, 99 puestos y 22 órdenes de producción sembradas en el entorno de prueba): autenticación y roles, Motor 1 (inyección de turno), asignación y relevo de puestos, Motor 4 (paros técnicos), formulario de mermas, cierre de turno con cálculo real de OEE, e Historial de planta.</w:t>
      </w:r>
    </w:p>
    <w:p>
      <w:pPr>
        <w:spacing w:after="160" w:line="288"/>
        <w:jc w:val="both"/>
      </w:pPr>
      <w:r>
        <w:rPr>
          <w:b w:val="false"/>
          <w:bCs w:val="false"/>
          <w:i w:val="false"/>
          <w:iCs w:val="false"/>
        </w:rPr>
        <w:t xml:space="preserve">Quedan explícitamente fuera de esta ronda, documentadas como trabajo pendiente:</w:t>
      </w:r>
    </w:p>
    <w:p>
      <w:pPr>
        <w:pStyle w:val="ListParagraph"/>
        <w:numPr>
          <w:ilvl w:val="0"/>
          <w:numId w:val="1"/>
        </w:numPr>
        <w:spacing w:after="100" w:line="276"/>
      </w:pPr>
      <w:r>
        <w:t xml:space="preserve">Intercambio local de operarios entre puestos dentro de la misma línea (fuera del flujo de relevo ergonómico ya existente).</w:t>
      </w:r>
    </w:p>
    <w:p>
      <w:pPr>
        <w:pStyle w:val="ListParagraph"/>
        <w:numPr>
          <w:ilvl w:val="0"/>
          <w:numId w:val="1"/>
        </w:numPr>
        <w:spacing w:after="100" w:line="276"/>
      </w:pPr>
      <w:r>
        <w:t xml:space="preserve">Planificación de turno T+1 (siguiente turno) desde el panel del Coordinador.</w:t>
      </w:r>
    </w:p>
    <w:p>
      <w:pPr>
        <w:pStyle w:val="ListParagraph"/>
        <w:numPr>
          <w:ilvl w:val="0"/>
          <w:numId w:val="1"/>
        </w:numPr>
        <w:spacing w:after="100" w:line="276"/>
      </w:pPr>
      <w:r>
        <w:t xml:space="preserve">Sugerencias automatizadas de rotación ergonómica basadas en historial de fatiga.</w:t>
      </w:r>
    </w:p>
    <w:p>
      <w:pPr>
        <w:pStyle w:val="ListParagraph"/>
        <w:numPr>
          <w:ilvl w:val="0"/>
          <w:numId w:val="1"/>
        </w:numPr>
        <w:spacing w:after="100" w:line="276"/>
      </w:pPr>
      <w:r>
        <w:t xml:space="preserve">Desglose histórico de mermas por material a través de turnos (hoy HistoricoOEE.Mermas guarda solo el total del turno, no el detalle por material).</w:t>
      </w:r>
    </w:p>
    <w:p>
      <w:pPr>
        <w:pStyle w:val="ListParagraph"/>
        <w:numPr>
          <w:ilvl w:val="0"/>
          <w:numId w:val="1"/>
        </w:numPr>
        <w:spacing w:after="100" w:line="276"/>
      </w:pPr>
      <w:r>
        <w:t xml:space="preserve">Registro de eventos de tipo "SKU finalizado" para un futuro dashboard analítico — no había tabla ni consumidor confirmado que dependiera de esto al momento de decidir no portarlo.</w:t>
      </w:r>
    </w:p>
    <w:p>
      <w:pPr>
        <w:spacing w:after="160" w:line="288"/>
        <w:jc w:val="both"/>
      </w:pPr>
      <w:r>
        <w:rPr>
          <w:b w:val="false"/>
          <w:bCs w:val="false"/>
          <w:i w:val="false"/>
          <w:iCs w:val="false"/>
        </w:rPr>
        <w:t xml:space="preserve">Cada endpoint nuevo se ha verificado con suites de pruebas de extremo a extremo contra el servidor real (login, transacciones, casos de error de autorización y de estado), no solo de forma manual, siguiendo el mismo criterio de verificación aplicado a lo largo de toda la migración.</w:t>
      </w:r>
    </w:p>
    <w:p>
      <w:pPr>
        <w:pStyle w:val="Heading1"/>
        <w:spacing w:after="200" w:before="480"/>
      </w:pPr>
      <w:r>
        <w:t xml:space="preserve">8. Glosario de Términos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400"/>
        <w:gridCol w:w="6960"/>
      </w:tblGrid>
      <w:tr>
        <w:trPr>
          <w:tblHeader/>
        </w:trPr>
        <w:tc>
          <w:tcPr>
            <w:tcW w:type="dxa" w:w="2400"/>
            <w:shd w:fill="1E3A8A" w:val="clear"/>
            <w:tcMar>
              <w:top w:type="dxa" w:w="80"/>
              <w:left w:type="dxa" w:w="100"/>
              <w:bottom w:type="dxa" w:w="80"/>
              <w:right w:type="dxa" w:w="100"/>
            </w:tcMar>
            <w:vAlign w:val="center"/>
          </w:tcPr>
          <w:p>
            <w:r>
              <w:rPr>
                <w:b/>
                <w:bCs/>
                <w:color w:val="FFFFFF"/>
                <w:sz w:val="19"/>
                <w:szCs w:val="19"/>
              </w:rPr>
              <w:t xml:space="preserve">Término</w:t>
            </w:r>
          </w:p>
        </w:tc>
        <w:tc>
          <w:tcPr>
            <w:tcW w:type="dxa" w:w="6960"/>
            <w:shd w:fill="1E3A8A" w:val="clear"/>
            <w:tcMar>
              <w:top w:type="dxa" w:w="80"/>
              <w:left w:type="dxa" w:w="100"/>
              <w:bottom w:type="dxa" w:w="80"/>
              <w:right w:type="dxa" w:w="100"/>
            </w:tcMar>
            <w:vAlign w:val="center"/>
          </w:tcPr>
          <w:p>
            <w:r>
              <w:rPr>
                <w:b/>
                <w:bCs/>
                <w:color w:val="FFFFFF"/>
                <w:sz w:val="19"/>
                <w:szCs w:val="19"/>
              </w:rPr>
              <w:t xml:space="preserve">Definición</w:t>
            </w:r>
          </w:p>
        </w:tc>
      </w:tr>
      <w:tr>
        <w:tc>
          <w:tcPr>
            <w:tcW w:type="dxa" w:w="2400"/>
            <w:tcMar>
              <w:top w:type="dxa" w:w="80"/>
              <w:left w:type="dxa" w:w="100"/>
              <w:bottom w:type="dxa" w:w="80"/>
              <w:right w:type="dxa" w:w="100"/>
            </w:tcMar>
            <w:vAlign w:val="center"/>
          </w:tcPr>
          <w:p>
            <w:r>
              <w:rPr>
                <w:b w:val="false"/>
                <w:bCs w:val="false"/>
                <w:color w:val="0F172A"/>
                <w:sz w:val="19"/>
                <w:szCs w:val="19"/>
              </w:rPr>
              <w:t xml:space="preserve">OEE</w:t>
            </w:r>
          </w:p>
        </w:tc>
        <w:tc>
          <w:tcPr>
            <w:tcW w:type="dxa" w:w="6960"/>
            <w:tcMar>
              <w:top w:type="dxa" w:w="80"/>
              <w:left w:type="dxa" w:w="100"/>
              <w:bottom w:type="dxa" w:w="80"/>
              <w:right w:type="dxa" w:w="100"/>
            </w:tcMar>
            <w:vAlign w:val="center"/>
          </w:tcPr>
          <w:p>
            <w:r>
              <w:rPr>
                <w:b w:val="false"/>
                <w:bCs w:val="false"/>
                <w:color w:val="0F172A"/>
                <w:sz w:val="19"/>
                <w:szCs w:val="19"/>
              </w:rPr>
              <w:t xml:space="preserve">Overall Equipment Effectiveness — indicador clásico de eficiencia industrial (Disponibilidad × Rendimiento × Calidad).</w:t>
            </w:r>
          </w:p>
        </w:tc>
      </w:tr>
      <w:tr>
        <w:tc>
          <w:tcPr>
            <w:tcW w:type="dxa" w:w="2400"/>
            <w:shd w:fill="F8FAFC" w:val="clear"/>
            <w:tcMar>
              <w:top w:type="dxa" w:w="80"/>
              <w:left w:type="dxa" w:w="100"/>
              <w:bottom w:type="dxa" w:w="80"/>
              <w:right w:type="dxa" w:w="100"/>
            </w:tcMar>
            <w:vAlign w:val="center"/>
          </w:tcPr>
          <w:p>
            <w:r>
              <w:rPr>
                <w:b w:val="false"/>
                <w:bCs w:val="false"/>
                <w:color w:val="0F172A"/>
                <w:sz w:val="19"/>
                <w:szCs w:val="19"/>
              </w:rPr>
              <w:t xml:space="preserve">Rastro Dual</w:t>
            </w:r>
          </w:p>
        </w:tc>
        <w:tc>
          <w:tcPr>
            <w:tcW w:type="dxa" w:w="6960"/>
            <w:shd w:fill="F8FAFC" w:val="clear"/>
            <w:tcMar>
              <w:top w:type="dxa" w:w="80"/>
              <w:left w:type="dxa" w:w="100"/>
              <w:bottom w:type="dxa" w:w="80"/>
              <w:right w:type="dxa" w:w="100"/>
            </w:tcMar>
            <w:vAlign w:val="center"/>
          </w:tcPr>
          <w:p>
            <w:r>
              <w:rPr>
                <w:b w:val="false"/>
                <w:bCs w:val="false"/>
                <w:color w:val="0F172A"/>
                <w:sz w:val="19"/>
                <w:szCs w:val="19"/>
              </w:rPr>
              <w:t xml:space="preserve">Mecanismo por el cual un puesto crítico recuerda a su titular original (IdWorkerOriginal) además de a quien lo ocupa hoy.</w:t>
            </w:r>
          </w:p>
        </w:tc>
      </w:tr>
      <w:tr>
        <w:tc>
          <w:tcPr>
            <w:tcW w:type="dxa" w:w="2400"/>
            <w:tcMar>
              <w:top w:type="dxa" w:w="80"/>
              <w:left w:type="dxa" w:w="100"/>
              <w:bottom w:type="dxa" w:w="80"/>
              <w:right w:type="dxa" w:w="100"/>
            </w:tcMar>
            <w:vAlign w:val="center"/>
          </w:tcPr>
          <w:p>
            <w:r>
              <w:rPr>
                <w:b w:val="false"/>
                <w:bCs w:val="false"/>
                <w:color w:val="0F172A"/>
                <w:sz w:val="19"/>
                <w:szCs w:val="19"/>
              </w:rPr>
              <w:t xml:space="preserve">Pool de Arranque</w:t>
            </w:r>
          </w:p>
        </w:tc>
        <w:tc>
          <w:tcPr>
            <w:tcW w:type="dxa" w:w="6960"/>
            <w:tcMar>
              <w:top w:type="dxa" w:w="80"/>
              <w:left w:type="dxa" w:w="100"/>
              <w:bottom w:type="dxa" w:w="80"/>
              <w:right w:type="dxa" w:w="100"/>
            </w:tcMar>
            <w:vAlign w:val="center"/>
          </w:tcPr>
          <w:p>
            <w:r>
              <w:rPr>
                <w:b w:val="false"/>
                <w:bCs w:val="false"/>
                <w:color w:val="0F172A"/>
                <w:sz w:val="19"/>
                <w:szCs w:val="19"/>
              </w:rPr>
              <w:t xml:space="preserve">Grupo de operarios disponibles para asignación rápida al inicio de un turno (incluye a quienes quedaron marcados para doble turno).</w:t>
            </w:r>
          </w:p>
        </w:tc>
      </w:tr>
      <w:tr>
        <w:tc>
          <w:tcPr>
            <w:tcW w:type="dxa" w:w="2400"/>
            <w:shd w:fill="F8FAFC" w:val="clear"/>
            <w:tcMar>
              <w:top w:type="dxa" w:w="80"/>
              <w:left w:type="dxa" w:w="100"/>
              <w:bottom w:type="dxa" w:w="80"/>
              <w:right w:type="dxa" w:w="100"/>
            </w:tcMar>
            <w:vAlign w:val="center"/>
          </w:tcPr>
          <w:p>
            <w:r>
              <w:rPr>
                <w:b w:val="false"/>
                <w:bCs w:val="false"/>
                <w:color w:val="0F172A"/>
                <w:sz w:val="19"/>
                <w:szCs w:val="19"/>
              </w:rPr>
              <w:t xml:space="preserve">Bolsón (L8)</w:t>
            </w:r>
          </w:p>
        </w:tc>
        <w:tc>
          <w:tcPr>
            <w:tcW w:type="dxa" w:w="6960"/>
            <w:shd w:fill="F8FAFC" w:val="clear"/>
            <w:tcMar>
              <w:top w:type="dxa" w:w="80"/>
              <w:left w:type="dxa" w:w="100"/>
              <w:bottom w:type="dxa" w:w="80"/>
              <w:right w:type="dxa" w:w="100"/>
            </w:tcMar>
            <w:vAlign w:val="center"/>
          </w:tcPr>
          <w:p>
            <w:r>
              <w:rPr>
                <w:b w:val="false"/>
                <w:bCs w:val="false"/>
                <w:color w:val="0F172A"/>
                <w:sz w:val="19"/>
                <w:szCs w:val="19"/>
              </w:rPr>
              <w:t xml:space="preserve">Línea 8, usada como zona de espera para operarios desalojados de un puesto (por paro, liberación o fin de turno) hasta su siguiente asignación.</w:t>
            </w:r>
          </w:p>
        </w:tc>
      </w:tr>
      <w:tr>
        <w:tc>
          <w:tcPr>
            <w:tcW w:type="dxa" w:w="2400"/>
            <w:tcMar>
              <w:top w:type="dxa" w:w="80"/>
              <w:left w:type="dxa" w:w="100"/>
              <w:bottom w:type="dxa" w:w="80"/>
              <w:right w:type="dxa" w:w="100"/>
            </w:tcMar>
            <w:vAlign w:val="center"/>
          </w:tcPr>
          <w:p>
            <w:r>
              <w:rPr>
                <w:b w:val="false"/>
                <w:bCs w:val="false"/>
                <w:color w:val="0F172A"/>
                <w:sz w:val="19"/>
                <w:szCs w:val="19"/>
              </w:rPr>
              <w:t xml:space="preserve">Puesto crítico / fijo</w:t>
            </w:r>
          </w:p>
        </w:tc>
        <w:tc>
          <w:tcPr>
            <w:tcW w:type="dxa" w:w="6960"/>
            <w:tcMar>
              <w:top w:type="dxa" w:w="80"/>
              <w:left w:type="dxa" w:w="100"/>
              <w:bottom w:type="dxa" w:w="80"/>
              <w:right w:type="dxa" w:w="100"/>
            </w:tcMar>
            <w:vAlign w:val="center"/>
          </w:tcPr>
          <w:p>
            <w:r>
              <w:rPr>
                <w:b w:val="false"/>
                <w:bCs w:val="false"/>
                <w:color w:val="0F172A"/>
                <w:sz w:val="19"/>
                <w:szCs w:val="19"/>
              </w:rPr>
              <w:t xml:space="preserve">Puesto de tipo Operador A, Averiero u Operador C: permanece anclado durante un paro técnico.</w:t>
            </w:r>
          </w:p>
        </w:tc>
      </w:tr>
      <w:tr>
        <w:tc>
          <w:tcPr>
            <w:tcW w:type="dxa" w:w="2400"/>
            <w:shd w:fill="F8FAFC" w:val="clear"/>
            <w:tcMar>
              <w:top w:type="dxa" w:w="80"/>
              <w:left w:type="dxa" w:w="100"/>
              <w:bottom w:type="dxa" w:w="80"/>
              <w:right w:type="dxa" w:w="100"/>
            </w:tcMar>
            <w:vAlign w:val="center"/>
          </w:tcPr>
          <w:p>
            <w:r>
              <w:rPr>
                <w:b w:val="false"/>
                <w:bCs w:val="false"/>
                <w:color w:val="0F172A"/>
                <w:sz w:val="19"/>
                <w:szCs w:val="19"/>
              </w:rPr>
              <w:t xml:space="preserve">Puesto vario</w:t>
            </w:r>
          </w:p>
        </w:tc>
        <w:tc>
          <w:tcPr>
            <w:tcW w:type="dxa" w:w="6960"/>
            <w:shd w:fill="F8FAFC" w:val="clear"/>
            <w:tcMar>
              <w:top w:type="dxa" w:w="80"/>
              <w:left w:type="dxa" w:w="100"/>
              <w:bottom w:type="dxa" w:w="80"/>
              <w:right w:type="dxa" w:w="100"/>
            </w:tcMar>
            <w:vAlign w:val="center"/>
          </w:tcPr>
          <w:p>
            <w:r>
              <w:rPr>
                <w:b w:val="false"/>
                <w:bCs w:val="false"/>
                <w:color w:val="0F172A"/>
                <w:sz w:val="19"/>
                <w:szCs w:val="19"/>
              </w:rPr>
              <w:t xml:space="preserve">Cualquier puesto que no sea crítico: se libera automáticamente durante un paro técnico.</w:t>
            </w:r>
          </w:p>
        </w:tc>
      </w:tr>
      <w:tr>
        <w:tc>
          <w:tcPr>
            <w:tcW w:type="dxa" w:w="2400"/>
            <w:tcMar>
              <w:top w:type="dxa" w:w="80"/>
              <w:left w:type="dxa" w:w="100"/>
              <w:bottom w:type="dxa" w:w="80"/>
              <w:right w:type="dxa" w:w="100"/>
            </w:tcMar>
            <w:vAlign w:val="center"/>
          </w:tcPr>
          <w:p>
            <w:r>
              <w:rPr>
                <w:b w:val="false"/>
                <w:bCs w:val="false"/>
                <w:color w:val="0F172A"/>
                <w:sz w:val="19"/>
                <w:szCs w:val="19"/>
              </w:rPr>
              <w:t xml:space="preserve">Motor 1</w:t>
            </w:r>
          </w:p>
        </w:tc>
        <w:tc>
          <w:tcPr>
            <w:tcW w:type="dxa" w:w="6960"/>
            <w:tcMar>
              <w:top w:type="dxa" w:w="80"/>
              <w:left w:type="dxa" w:w="100"/>
              <w:bottom w:type="dxa" w:w="80"/>
              <w:right w:type="dxa" w:w="100"/>
            </w:tcMar>
            <w:vAlign w:val="center"/>
          </w:tcPr>
          <w:p>
            <w:r>
              <w:rPr>
                <w:b w:val="false"/>
                <w:bCs w:val="false"/>
                <w:color w:val="0F172A"/>
                <w:sz w:val="19"/>
                <w:szCs w:val="19"/>
              </w:rPr>
              <w:t xml:space="preserve">Rutina de inyección/arranque de turno ejecutada por el Coordinador.</w:t>
            </w:r>
          </w:p>
        </w:tc>
      </w:tr>
      <w:tr>
        <w:tc>
          <w:tcPr>
            <w:tcW w:type="dxa" w:w="2400"/>
            <w:shd w:fill="F8FAFC" w:val="clear"/>
            <w:tcMar>
              <w:top w:type="dxa" w:w="80"/>
              <w:left w:type="dxa" w:w="100"/>
              <w:bottom w:type="dxa" w:w="80"/>
              <w:right w:type="dxa" w:w="100"/>
            </w:tcMar>
            <w:vAlign w:val="center"/>
          </w:tcPr>
          <w:p>
            <w:r>
              <w:rPr>
                <w:b w:val="false"/>
                <w:bCs w:val="false"/>
                <w:color w:val="0F172A"/>
                <w:sz w:val="19"/>
                <w:szCs w:val="19"/>
              </w:rPr>
              <w:t xml:space="preserve">Motor 4</w:t>
            </w:r>
          </w:p>
        </w:tc>
        <w:tc>
          <w:tcPr>
            <w:tcW w:type="dxa" w:w="6960"/>
            <w:shd w:fill="F8FAFC" w:val="clear"/>
            <w:tcMar>
              <w:top w:type="dxa" w:w="80"/>
              <w:left w:type="dxa" w:w="100"/>
              <w:bottom w:type="dxa" w:w="80"/>
              <w:right w:type="dxa" w:w="100"/>
            </w:tcMar>
            <w:vAlign w:val="center"/>
          </w:tcPr>
          <w:p>
            <w:r>
              <w:rPr>
                <w:b w:val="false"/>
                <w:bCs w:val="false"/>
                <w:color w:val="0F172A"/>
                <w:sz w:val="19"/>
                <w:szCs w:val="19"/>
              </w:rPr>
              <w:t xml:space="preserve">Módulo de paros técnicos (inicio/fin de paro y su impacto en la ocupación de puestos).</w:t>
            </w:r>
          </w:p>
        </w:tc>
      </w:tr>
      <w:tr>
        <w:tc>
          <w:tcPr>
            <w:tcW w:type="dxa" w:w="2400"/>
            <w:tcMar>
              <w:top w:type="dxa" w:w="80"/>
              <w:left w:type="dxa" w:w="100"/>
              <w:bottom w:type="dxa" w:w="80"/>
              <w:right w:type="dxa" w:w="100"/>
            </w:tcMar>
            <w:vAlign w:val="center"/>
          </w:tcPr>
          <w:p>
            <w:r>
              <w:rPr>
                <w:b w:val="false"/>
                <w:bCs w:val="false"/>
                <w:color w:val="0F172A"/>
                <w:sz w:val="19"/>
                <w:szCs w:val="19"/>
              </w:rPr>
              <w:t xml:space="preserve">Cascadeo ergonómico</w:t>
            </w:r>
          </w:p>
        </w:tc>
        <w:tc>
          <w:tcPr>
            <w:tcW w:type="dxa" w:w="6960"/>
            <w:tcMar>
              <w:top w:type="dxa" w:w="80"/>
              <w:left w:type="dxa" w:w="100"/>
              <w:bottom w:type="dxa" w:w="80"/>
              <w:right w:type="dxa" w:w="100"/>
            </w:tcMar>
            <w:vAlign w:val="center"/>
          </w:tcPr>
          <w:p>
            <w:r>
              <w:rPr>
                <w:b w:val="false"/>
                <w:bCs w:val="false"/>
                <w:color w:val="0F172A"/>
                <w:sz w:val="19"/>
                <w:szCs w:val="19"/>
              </w:rPr>
              <w:t xml:space="preserve">Proceso de reubicación en cadena de operarios fatigados que requieren relevo.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2026-08-07T23:20:02.995Z</dcterms:created>
  <dcterms:modified xsi:type="dcterms:W3CDTF">2026-08-07T23:20:02.996Z</dcterms:modified>
</cp:coreProperties>
</file>

<file path=docProps/custom.xml><?xml version="1.0" encoding="utf-8"?>
<Properties xmlns="http://schemas.openxmlformats.org/officeDocument/2006/custom-properties" xmlns:vt="http://schemas.openxmlformats.org/officeDocument/2006/docPropsVTypes"/>
</file>