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E3A8A"/>
          <w:sz w:val="64"/>
          <w:szCs w:val="64"/>
        </w:rPr>
        <w:t xml:space="preserve">SmartAssign</w:t>
      </w:r>
    </w:p>
    <w:p>
      <w:pPr>
        <w:spacing w:after="480"/>
        <w:jc w:val="center"/>
      </w:pPr>
      <w:r>
        <w:rPr>
          <w:color w:val="2563EB"/>
          <w:sz w:val="30"/>
          <w:szCs w:val="30"/>
        </w:rPr>
        <w:t xml:space="preserve">Digitalización de la asignación de personal en planta para la Industria 4.0</w:t>
      </w:r>
    </w:p>
    <w:p>
      <w:pPr>
        <w:spacing w:after="1600"/>
        <w:jc w:val="center"/>
      </w:pPr>
      <w:r>
        <w:rPr>
          <w:b/>
          <w:bCs/>
          <w:color w:val="475569"/>
          <w:sz w:val="24"/>
          <w:szCs w:val="24"/>
        </w:rPr>
        <w:t xml:space="preserve">PITCH DECK / PLAN DE NEGOCIO</w:t>
      </w:r>
    </w:p>
    <w:p>
      <w:pPr>
        <w:spacing w:after="60"/>
        <w:jc w:val="center"/>
      </w:pPr>
      <w:r>
        <w:rPr>
          <w:color w:val="475569"/>
          <w:sz w:val="20"/>
          <w:szCs w:val="20"/>
        </w:rPr>
        <w:t xml:space="preserve">Versión 1.0 — Agosto 2026</w:t>
      </w:r>
    </w:p>
    <w:p>
      <w:pPr>
        <w:spacing w:after="60"/>
        <w:jc w:val="center"/>
      </w:pPr>
      <w:r>
        <w:rPr>
          <w:color w:val="475569"/>
          <w:sz w:val="20"/>
          <w:szCs w:val="20"/>
        </w:rPr>
        <w:t xml:space="preserve">Proyecto tecnológico — vertical Industria 4.0 / Manufactura</w:t>
      </w:r>
    </w:p>
    <w:p>
      <w:pPr>
        <w:spacing w:after="60"/>
        <w:jc w:val="center"/>
      </w:pPr>
      <w:r>
        <w:rPr>
          <w:color w:val="475569"/>
          <w:sz w:val="20"/>
          <w:szCs w:val="20"/>
        </w:rPr>
        <w:t xml:space="preserve">Autor: Joswill Espinoza</w:t>
      </w:r>
    </w:p>
    <w:p>
      <w:r>
        <w:br w:type="page"/>
      </w:r>
    </w:p>
    <w:p>
      <w:pPr>
        <w:pStyle w:val="Heading1"/>
        <w:spacing w:after="200" w:before="48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t xml:space="preserve">1. Resumen Ejecutivo</w:t>
      </w:r>
    </w:p>
    <w:p>
      <w:pPr>
        <w:spacing w:after="160" w:line="288"/>
        <w:jc w:val="both"/>
      </w:pPr>
      <w:r>
        <w:rPr>
          <w:b w:val="false"/>
          <w:bCs w:val="false"/>
          <w:i w:val="false"/>
          <w:iCs w:val="false"/>
        </w:rPr>
        <w:t xml:space="preserve">SmartAssign es un sistema de software para plantas de manufactura que resuelve, en tiempo real y desde un dispositivo móvil en piso de producción, la asignación de personal a puestos de trabajo — hoy una decisión que en la mayoría de las plantas se sigue tomando de forma manual, en papel o en hojas de cálculo, sin trazabilidad y sin visibilidad inmediata de su impacto en el indicador que más le importa a Operaciones: el OEE (Overall Equipment Effectiveness).</w:t>
      </w:r>
    </w:p>
    <w:p>
      <w:pPr>
        <w:spacing w:after="160" w:line="288"/>
        <w:jc w:val="both"/>
      </w:pPr>
      <w:r>
        <w:rPr>
          <w:b w:val="false"/>
          <w:bCs w:val="false"/>
          <w:i w:val="false"/>
          <w:iCs w:val="false"/>
        </w:rPr>
        <w:t xml:space="preserve">El producto ya cuenta con un MVP funcional validado con datos reales de escala piloto (10 líneas de producción, más de 150 operarios, cerca de 100 puestos de trabajo) y cubre el ciclo completo de un turno: arranque, operación (asignación, relevos ergonómicos, paros técnicos, control de mermas) y cierre con cálculo real de OEE. Es, en esencia, un MES (Manufacturing Execution System) ligero, enfocado específicamente en el recurso humano de piso de planta — un ángulo que la mayoría de los MES tradicionales tratan como un dato secundario.</w:t>
      </w:r>
    </w:p>
    <w:p>
      <w:pPr>
        <w:spacing w:after="160" w:line="288"/>
        <w:jc w:val="both"/>
      </w:pPr>
      <w:r>
        <w:rPr>
          <w:b w:val="false"/>
          <w:bCs w:val="false"/>
          <w:i w:val="false"/>
          <w:iCs w:val="false"/>
        </w:rPr>
        <w:t xml:space="preserve">Este documento presenta el problema, la solución, el mercado, el modelo de negocio propuesto y el estado de avance del producto, como base para una conversación de piloto comercial o de inversión.</w:t>
      </w:r>
    </w:p>
    <w:p>
      <w:pPr>
        <w:pStyle w:val="Heading1"/>
        <w:spacing w:after="200" w:before="480"/>
      </w:pPr>
      <w:r>
        <w:t xml:space="preserve">2. El Problema</w:t>
      </w:r>
    </w:p>
    <w:p>
      <w:pPr>
        <w:spacing w:after="160" w:line="288"/>
        <w:jc w:val="both"/>
      </w:pPr>
      <w:r>
        <w:rPr>
          <w:b w:val="false"/>
          <w:bCs w:val="false"/>
          <w:i w:val="false"/>
          <w:iCs w:val="false"/>
        </w:rPr>
        <w:t xml:space="preserve">En una línea de producción típica, cada turno exige decenas de decisiones de asignación de personal: quién cubre qué puesto, quién releva a quién cuando alguien se fatiga o falta, qué hacer cuando la línea se detiene por un paro técnico, y cómo se documenta el desperdicio de material. Estas decisiones hoy suelen tomarse de memoria o en papel, por las siguientes razones estructurales:</w:t>
      </w:r>
    </w:p>
    <w:p>
      <w:pPr>
        <w:pStyle w:val="ListParagraph"/>
        <w:numPr>
          <w:ilvl w:val="0"/>
          <w:numId w:val="1"/>
        </w:numPr>
        <w:spacing w:after="100" w:line="276"/>
      </w:pPr>
      <w:r>
        <w:t xml:space="preserve">Ausentismo y rotación de última hora: el supervisor decide sobre la marcha quién cubre una vacante, sin un sistema que valide compatibilidad de rol, restricciones médicas o reglas ergonómicas de rotación.</w:t>
      </w:r>
    </w:p>
    <w:p>
      <w:pPr>
        <w:pStyle w:val="ListParagraph"/>
        <w:numPr>
          <w:ilvl w:val="0"/>
          <w:numId w:val="1"/>
        </w:numPr>
        <w:spacing w:after="100" w:line="276"/>
      </w:pPr>
      <w:r>
        <w:t xml:space="preserve">Fatiga y ergonomía sin seguimiento sistemático: no hay una regla automática que evite que un mismo operario repita la misma actividad físicamente demandante turno tras turno.</w:t>
      </w:r>
    </w:p>
    <w:p>
      <w:pPr>
        <w:pStyle w:val="ListParagraph"/>
        <w:numPr>
          <w:ilvl w:val="0"/>
          <w:numId w:val="1"/>
        </w:numPr>
        <w:spacing w:after="100" w:line="276"/>
      </w:pPr>
      <w:r>
        <w:t xml:space="preserve">Paros técnicos sin trazabilidad estructurada: la categoría, causa y duración del paro rara vez queda registrada de forma consistente, lo que hace casi imposible atacar sus causas raíz con datos.</w:t>
      </w:r>
    </w:p>
    <w:p>
      <w:pPr>
        <w:pStyle w:val="ListParagraph"/>
        <w:numPr>
          <w:ilvl w:val="0"/>
          <w:numId w:val="1"/>
        </w:numPr>
        <w:spacing w:after="100" w:line="276"/>
      </w:pPr>
      <w:r>
        <w:t xml:space="preserve">Mermas de material que no se capturan en el momento: el desperdicio de proceso se reporta tarde o no se reporta, y termina invisibilizado en el cálculo de calidad del OEE.</w:t>
      </w:r>
    </w:p>
    <w:p>
      <w:pPr>
        <w:pStyle w:val="ListParagraph"/>
        <w:numPr>
          <w:ilvl w:val="0"/>
          <w:numId w:val="1"/>
        </w:numPr>
        <w:spacing w:after="100" w:line="276"/>
      </w:pPr>
      <w:r>
        <w:t xml:space="preserve">El OEE se calcula tarde, manual o no se calcula en el turno: para cuando el dato llega a Dirección, ya no sirve para corregir la operación de ese día.</w:t>
      </w:r>
    </w:p>
    <w:p>
      <w:pPr>
        <w:spacing w:after="160" w:line="288"/>
        <w:jc w:val="both"/>
      </w:pPr>
      <w:r>
        <w:rPr>
          <w:b w:val="false"/>
          <w:bCs w:val="false"/>
          <w:i w:val="false"/>
          <w:iCs w:val="false"/>
        </w:rPr>
        <w:t xml:space="preserve">El resultado es una brecha de visibilidad exactamente en el punto de la operación donde más se pierde eficiencia: el piso de planta, en tiempo real.</w:t>
      </w:r>
    </w:p>
    <w:p>
      <w:pPr>
        <w:pStyle w:val="Heading1"/>
        <w:spacing w:after="200" w:before="480"/>
      </w:pPr>
      <w:r>
        <w:t xml:space="preserve">3. El Mercado: Industria 4.0</w:t>
      </w:r>
    </w:p>
    <w:p>
      <w:pPr>
        <w:spacing w:after="160" w:line="288"/>
        <w:jc w:val="both"/>
      </w:pPr>
      <w:r>
        <w:rPr>
          <w:b w:val="false"/>
          <w:bCs w:val="false"/>
          <w:i w:val="false"/>
          <w:iCs w:val="false"/>
        </w:rPr>
        <w:t xml:space="preserve">La Industria 4.0 propone conectar y digitalizar la planta — sensores, MES, gemelos digitales, analítica en tiempo real — pero la mayor parte de esa inversión histórica se ha dirigido a la máquina y al proceso, no al operario. Sin embargo, en operaciones de manufactura intensivas en mano de obra (alimentos y bebidas, empaque, ensamble), el factor humano sigue siendo la variable que más determina si una línea alcanza o no su meta de producción del día.</w:t>
      </w:r>
    </w:p>
    <w:p>
      <w:pPr>
        <w:spacing w:after="160" w:line="288"/>
        <w:jc w:val="both"/>
      </w:pPr>
      <w:r>
        <w:rPr>
          <w:b w:val="false"/>
          <w:bCs w:val="false"/>
          <w:i w:val="false"/>
          <w:iCs w:val="false"/>
        </w:rPr>
        <w:t xml:space="preserve">Esto abre un espacio claro para software especializado en la capa "humana" del piso de planta: asignación de personal, ergonomía, control de paros y mermas, todo alimentando el mismo indicador que ya usa toda la industria — el OEE — en vez de introducir un dashboard más, desconectado de la operación.</w:t>
      </w:r>
    </w:p>
    <w:p>
      <w:pPr>
        <w:spacing w:after="160" w:line="288"/>
        <w:jc w:val="both"/>
      </w:pPr>
      <w:r>
        <w:rPr>
          <w:b w:val="false"/>
          <w:bCs w:val="false"/>
          <w:i w:val="false"/>
          <w:iCs w:val="false"/>
        </w:rPr>
        <w:t xml:space="preserve">El mercado objetivo son plantas de manufactura discreta o de proceso, de tamaño mediano a grande, con líneas multi-turno y alta dependencia de personal operativo rotativo: alimentos y bebidas, empaque, ensamble ligero, textil. Este documento no fija cifras de mercado (TAM/SAM/SOM) porque requieren un estudio dedicado con el equipo comercial; el punto de partida es la validación técnica ya lograda en una operación piloto real.</w:t>
      </w:r>
    </w:p>
    <w:p>
      <w:pPr>
        <w:pStyle w:val="Heading1"/>
        <w:spacing w:after="200" w:before="480"/>
      </w:pPr>
      <w:r>
        <w:t xml:space="preserve">4. La Solución: SmartAssign</w:t>
      </w:r>
    </w:p>
    <w:p>
      <w:pPr>
        <w:spacing w:after="160" w:line="288"/>
        <w:jc w:val="both"/>
      </w:pPr>
      <w:r>
        <w:rPr>
          <w:b w:val="false"/>
          <w:bCs w:val="false"/>
          <w:i w:val="false"/>
          <w:iCs w:val="false"/>
        </w:rPr>
        <w:t xml:space="preserve">SmartAssign convierte la asignación de personal en un flujo digital, en tiempo real, operado desde el piso de planta:</w:t>
      </w:r>
    </w:p>
    <w:p>
      <w:pPr>
        <w:pStyle w:val="Heading2"/>
        <w:spacing w:after="160" w:before="320"/>
      </w:pPr>
      <w:r>
        <w:t xml:space="preserve">4.1 Propuesta de valor</w:t>
      </w:r>
    </w:p>
    <w:p>
      <w:pPr>
        <w:pStyle w:val="ListParagraph"/>
        <w:numPr>
          <w:ilvl w:val="0"/>
          <w:numId w:val="1"/>
        </w:numPr>
        <w:spacing w:after="100" w:line="276"/>
      </w:pPr>
      <w:r>
        <w:t xml:space="preserve">Asignación validada, no solo registrada: cada asignación se valida contra rol, restricciones médicas, sexo requerido por el puesto y la regla ergonómica de 24 horas, antes de confirmarse — evitando errores que hoy dependen de la memoria del supervisor.</w:t>
      </w:r>
    </w:p>
    <w:p>
      <w:pPr>
        <w:pStyle w:val="ListParagraph"/>
        <w:numPr>
          <w:ilvl w:val="0"/>
          <w:numId w:val="1"/>
        </w:numPr>
        <w:spacing w:after="100" w:line="276"/>
      </w:pPr>
      <w:r>
        <w:t xml:space="preserve">Ergonomía como ciudadano de primera clase: el sistema modela explícitamente la fatiga y el relevo en cascada, buscando primero un reemplazo local y, si no lo hay, reubicando entre líneas según prioridad de planta.</w:t>
      </w:r>
    </w:p>
    <w:p>
      <w:pPr>
        <w:pStyle w:val="ListParagraph"/>
        <w:numPr>
          <w:ilvl w:val="0"/>
          <w:numId w:val="1"/>
        </w:numPr>
        <w:spacing w:after="100" w:line="276"/>
      </w:pPr>
      <w:r>
        <w:t xml:space="preserve">Trazabilidad de paros y mermas en el momento en que ocurren, no días después.</w:t>
      </w:r>
    </w:p>
    <w:p>
      <w:pPr>
        <w:pStyle w:val="ListParagraph"/>
        <w:numPr>
          <w:ilvl w:val="0"/>
          <w:numId w:val="1"/>
        </w:numPr>
        <w:spacing w:after="100" w:line="276"/>
      </w:pPr>
      <w:r>
        <w:t xml:space="preserve">OEE real, calculado al cierre de cada turno, con la misma fórmula estándar de la industria (Disponibilidad × Rendimiento × Calidad) — visible de inmediato para el Coordinador de planta.</w:t>
      </w:r>
    </w:p>
    <w:p>
      <w:pPr>
        <w:pStyle w:val="ListParagraph"/>
        <w:numPr>
          <w:ilvl w:val="0"/>
          <w:numId w:val="1"/>
        </w:numPr>
        <w:spacing w:after="100" w:line="276"/>
      </w:pPr>
      <w:r>
        <w:t xml:space="preserve">Operación móvil: pensado para un dispositivo Android en piso de planta, con lectura de gafete/código, no para un supervisor sentado frente a una PC de oficina.</w:t>
      </w:r>
    </w:p>
    <w:p>
      <w:pPr>
        <w:pStyle w:val="Heading2"/>
        <w:spacing w:after="160" w:before="320"/>
      </w:pPr>
      <w:r>
        <w:t xml:space="preserve">4.2 Cómo se diferencia</w:t>
      </w:r>
    </w:p>
    <w:p>
      <w:pPr>
        <w:spacing w:after="160" w:line="288"/>
        <w:jc w:val="both"/>
      </w:pPr>
      <w:r>
        <w:rPr>
          <w:b w:val="false"/>
          <w:bCs w:val="false"/>
          <w:i w:val="false"/>
          <w:iCs w:val="false"/>
        </w:rPr>
        <w:t xml:space="preserve">A diferencia de un MES genérico centrado en la máquina, o de una hoja de cálculo compartida, SmartAssign está diseñado desde la restricción real del piso de planta: decisiones que se toman en segundos, con el operario físicamente frente al supervisor, y que necesitan quedar validadas y registradas sin fricción.</w:t>
      </w:r>
    </w:p>
    <w:p>
      <w:pPr>
        <w:pStyle w:val="Heading1"/>
        <w:spacing w:after="200" w:before="480"/>
      </w:pPr>
      <w:r>
        <w:t xml:space="preserve">5. Producto y Estado Actual</w:t>
      </w:r>
    </w:p>
    <w:p>
      <w:pPr>
        <w:pStyle w:val="Heading2"/>
        <w:spacing w:after="160" w:before="320"/>
      </w:pPr>
      <w:r>
        <w:t xml:space="preserve">5.1 Módulos construidos y validados</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2500"/>
        <w:gridCol w:w="6860"/>
      </w:tblGrid>
      <w:tr>
        <w:trPr>
          <w:tblHeader/>
        </w:trPr>
        <w:tc>
          <w:tcPr>
            <w:tcW w:type="dxa" w:w="2500"/>
            <w:shd w:fill="1E3A8A" w:val="clear"/>
            <w:tcMar>
              <w:top w:type="dxa" w:w="80"/>
              <w:left w:type="dxa" w:w="100"/>
              <w:bottom w:type="dxa" w:w="80"/>
              <w:right w:type="dxa" w:w="100"/>
            </w:tcMar>
            <w:vAlign w:val="center"/>
          </w:tcPr>
          <w:p>
            <w:r>
              <w:rPr>
                <w:b/>
                <w:bCs/>
                <w:color w:val="FFFFFF"/>
                <w:sz w:val="19"/>
                <w:szCs w:val="19"/>
              </w:rPr>
              <w:t xml:space="preserve">Módulo</w:t>
            </w:r>
          </w:p>
        </w:tc>
        <w:tc>
          <w:tcPr>
            <w:tcW w:type="dxa" w:w="6860"/>
            <w:shd w:fill="1E3A8A" w:val="clear"/>
            <w:tcMar>
              <w:top w:type="dxa" w:w="80"/>
              <w:left w:type="dxa" w:w="100"/>
              <w:bottom w:type="dxa" w:w="80"/>
              <w:right w:type="dxa" w:w="100"/>
            </w:tcMar>
            <w:vAlign w:val="center"/>
          </w:tcPr>
          <w:p>
            <w:r>
              <w:rPr>
                <w:b/>
                <w:bCs/>
                <w:color w:val="FFFFFF"/>
                <w:sz w:val="19"/>
                <w:szCs w:val="19"/>
              </w:rPr>
              <w:t xml:space="preserve">Qué resuelve</w:t>
            </w:r>
          </w:p>
        </w:tc>
      </w:tr>
      <w:tr>
        <w:tc>
          <w:tcPr>
            <w:tcW w:type="dxa" w:w="2500"/>
            <w:tcMar>
              <w:top w:type="dxa" w:w="80"/>
              <w:left w:type="dxa" w:w="100"/>
              <w:bottom w:type="dxa" w:w="80"/>
              <w:right w:type="dxa" w:w="100"/>
            </w:tcMar>
            <w:vAlign w:val="center"/>
          </w:tcPr>
          <w:p>
            <w:r>
              <w:rPr>
                <w:b w:val="false"/>
                <w:bCs w:val="false"/>
                <w:color w:val="0F172A"/>
                <w:sz w:val="19"/>
                <w:szCs w:val="19"/>
              </w:rPr>
              <w:t xml:space="preserve">Arranque de turno</w:t>
            </w:r>
          </w:p>
        </w:tc>
        <w:tc>
          <w:tcPr>
            <w:tcW w:type="dxa" w:w="6860"/>
            <w:tcMar>
              <w:top w:type="dxa" w:w="80"/>
              <w:left w:type="dxa" w:w="100"/>
              <w:bottom w:type="dxa" w:w="80"/>
              <w:right w:type="dxa" w:w="100"/>
            </w:tcMar>
            <w:vAlign w:val="center"/>
          </w:tcPr>
          <w:p>
            <w:r>
              <w:rPr>
                <w:b w:val="false"/>
                <w:bCs w:val="false"/>
                <w:color w:val="0F172A"/>
                <w:sz w:val="19"/>
                <w:szCs w:val="19"/>
              </w:rPr>
              <w:t xml:space="preserve">Activa las líneas del día con su SKU y auto-asigna a los operarios titulares de los puestos críticos.</w:t>
            </w:r>
          </w:p>
        </w:tc>
      </w:tr>
      <w:tr>
        <w:tc>
          <w:tcPr>
            <w:tcW w:type="dxa" w:w="2500"/>
            <w:shd w:fill="F8FAFC" w:val="clear"/>
            <w:tcMar>
              <w:top w:type="dxa" w:w="80"/>
              <w:left w:type="dxa" w:w="100"/>
              <w:bottom w:type="dxa" w:w="80"/>
              <w:right w:type="dxa" w:w="100"/>
            </w:tcMar>
            <w:vAlign w:val="center"/>
          </w:tcPr>
          <w:p>
            <w:r>
              <w:rPr>
                <w:b w:val="false"/>
                <w:bCs w:val="false"/>
                <w:color w:val="0F172A"/>
                <w:sz w:val="19"/>
                <w:szCs w:val="19"/>
              </w:rPr>
              <w:t xml:space="preserve">Asignación y relevos</w:t>
            </w:r>
          </w:p>
        </w:tc>
        <w:tc>
          <w:tcPr>
            <w:tcW w:type="dxa" w:w="6860"/>
            <w:shd w:fill="F8FAFC" w:val="clear"/>
            <w:tcMar>
              <w:top w:type="dxa" w:w="80"/>
              <w:left w:type="dxa" w:w="100"/>
              <w:bottom w:type="dxa" w:w="80"/>
              <w:right w:type="dxa" w:w="100"/>
            </w:tcMar>
            <w:vAlign w:val="center"/>
          </w:tcPr>
          <w:p>
            <w:r>
              <w:rPr>
                <w:b w:val="false"/>
                <w:bCs w:val="false"/>
                <w:color w:val="0F172A"/>
                <w:sz w:val="19"/>
                <w:szCs w:val="19"/>
              </w:rPr>
              <w:t xml:space="preserve">Asigna operarios a puestos con validación de compatibilidad, y gestiona el relevo ergonómico en cascada.</w:t>
            </w:r>
          </w:p>
        </w:tc>
      </w:tr>
      <w:tr>
        <w:tc>
          <w:tcPr>
            <w:tcW w:type="dxa" w:w="2500"/>
            <w:tcMar>
              <w:top w:type="dxa" w:w="80"/>
              <w:left w:type="dxa" w:w="100"/>
              <w:bottom w:type="dxa" w:w="80"/>
              <w:right w:type="dxa" w:w="100"/>
            </w:tcMar>
            <w:vAlign w:val="center"/>
          </w:tcPr>
          <w:p>
            <w:r>
              <w:rPr>
                <w:b w:val="false"/>
                <w:bCs w:val="false"/>
                <w:color w:val="0F172A"/>
                <w:sz w:val="19"/>
                <w:szCs w:val="19"/>
              </w:rPr>
              <w:t xml:space="preserve">Paros técnicos</w:t>
            </w:r>
          </w:p>
        </w:tc>
        <w:tc>
          <w:tcPr>
            <w:tcW w:type="dxa" w:w="6860"/>
            <w:tcMar>
              <w:top w:type="dxa" w:w="80"/>
              <w:left w:type="dxa" w:w="100"/>
              <w:bottom w:type="dxa" w:w="80"/>
              <w:right w:type="dxa" w:w="100"/>
            </w:tcMar>
            <w:vAlign w:val="center"/>
          </w:tcPr>
          <w:p>
            <w:r>
              <w:rPr>
                <w:b w:val="false"/>
                <w:bCs w:val="false"/>
                <w:color w:val="0F172A"/>
                <w:sz w:val="19"/>
                <w:szCs w:val="19"/>
              </w:rPr>
              <w:t xml:space="preserve">Registra inicio/fin de paro con categoría y causa, liberando automáticamente los puestos no críticos.</w:t>
            </w:r>
          </w:p>
        </w:tc>
      </w:tr>
      <w:tr>
        <w:tc>
          <w:tcPr>
            <w:tcW w:type="dxa" w:w="2500"/>
            <w:shd w:fill="F8FAFC" w:val="clear"/>
            <w:tcMar>
              <w:top w:type="dxa" w:w="80"/>
              <w:left w:type="dxa" w:w="100"/>
              <w:bottom w:type="dxa" w:w="80"/>
              <w:right w:type="dxa" w:w="100"/>
            </w:tcMar>
            <w:vAlign w:val="center"/>
          </w:tcPr>
          <w:p>
            <w:r>
              <w:rPr>
                <w:b w:val="false"/>
                <w:bCs w:val="false"/>
                <w:color w:val="0F172A"/>
                <w:sz w:val="19"/>
                <w:szCs w:val="19"/>
              </w:rPr>
              <w:t xml:space="preserve">Control de mermas</w:t>
            </w:r>
          </w:p>
        </w:tc>
        <w:tc>
          <w:tcPr>
            <w:tcW w:type="dxa" w:w="6860"/>
            <w:shd w:fill="F8FAFC" w:val="clear"/>
            <w:tcMar>
              <w:top w:type="dxa" w:w="80"/>
              <w:left w:type="dxa" w:w="100"/>
              <w:bottom w:type="dxa" w:w="80"/>
              <w:right w:type="dxa" w:w="100"/>
            </w:tcMar>
            <w:vAlign w:val="center"/>
          </w:tcPr>
          <w:p>
            <w:r>
              <w:rPr>
                <w:b w:val="false"/>
                <w:bCs w:val="false"/>
                <w:color w:val="0F172A"/>
                <w:sz w:val="19"/>
                <w:szCs w:val="19"/>
              </w:rPr>
              <w:t xml:space="preserve">Captura en vivo el desperdicio de material por línea, con alerta y justificación obligatoria sobre el 5%.</w:t>
            </w:r>
          </w:p>
        </w:tc>
      </w:tr>
      <w:tr>
        <w:tc>
          <w:tcPr>
            <w:tcW w:type="dxa" w:w="2500"/>
            <w:tcMar>
              <w:top w:type="dxa" w:w="80"/>
              <w:left w:type="dxa" w:w="100"/>
              <w:bottom w:type="dxa" w:w="80"/>
              <w:right w:type="dxa" w:w="100"/>
            </w:tcMar>
            <w:vAlign w:val="center"/>
          </w:tcPr>
          <w:p>
            <w:r>
              <w:rPr>
                <w:b w:val="false"/>
                <w:bCs w:val="false"/>
                <w:color w:val="0F172A"/>
                <w:sz w:val="19"/>
                <w:szCs w:val="19"/>
              </w:rPr>
              <w:t xml:space="preserve">Cierre de turno y OEE</w:t>
            </w:r>
          </w:p>
        </w:tc>
        <w:tc>
          <w:tcPr>
            <w:tcW w:type="dxa" w:w="6860"/>
            <w:tcMar>
              <w:top w:type="dxa" w:w="80"/>
              <w:left w:type="dxa" w:w="100"/>
              <w:bottom w:type="dxa" w:w="80"/>
              <w:right w:type="dxa" w:w="100"/>
            </w:tcMar>
            <w:vAlign w:val="center"/>
          </w:tcPr>
          <w:p>
            <w:r>
              <w:rPr>
                <w:b w:val="false"/>
                <w:bCs w:val="false"/>
                <w:color w:val="0F172A"/>
                <w:sz w:val="19"/>
                <w:szCs w:val="19"/>
              </w:rPr>
              <w:t xml:space="preserve">Calcula el OEE real del turno y lo consolida en el histórico de planta, liberando la línea para el siguiente turno.</w:t>
            </w:r>
          </w:p>
        </w:tc>
      </w:tr>
      <w:tr>
        <w:tc>
          <w:tcPr>
            <w:tcW w:type="dxa" w:w="2500"/>
            <w:shd w:fill="F8FAFC" w:val="clear"/>
            <w:tcMar>
              <w:top w:type="dxa" w:w="80"/>
              <w:left w:type="dxa" w:w="100"/>
              <w:bottom w:type="dxa" w:w="80"/>
              <w:right w:type="dxa" w:w="100"/>
            </w:tcMar>
            <w:vAlign w:val="center"/>
          </w:tcPr>
          <w:p>
            <w:r>
              <w:rPr>
                <w:b w:val="false"/>
                <w:bCs w:val="false"/>
                <w:color w:val="0F172A"/>
                <w:sz w:val="19"/>
                <w:szCs w:val="19"/>
              </w:rPr>
              <w:t xml:space="preserve">Panel de Coordinador e Historial</w:t>
            </w:r>
          </w:p>
        </w:tc>
        <w:tc>
          <w:tcPr>
            <w:tcW w:type="dxa" w:w="6860"/>
            <w:shd w:fill="F8FAFC" w:val="clear"/>
            <w:tcMar>
              <w:top w:type="dxa" w:w="80"/>
              <w:left w:type="dxa" w:w="100"/>
              <w:bottom w:type="dxa" w:w="80"/>
              <w:right w:type="dxa" w:w="100"/>
            </w:tcMar>
            <w:vAlign w:val="center"/>
          </w:tcPr>
          <w:p>
            <w:r>
              <w:rPr>
                <w:b w:val="false"/>
                <w:bCs w:val="false"/>
                <w:color w:val="0F172A"/>
                <w:sz w:val="19"/>
                <w:szCs w:val="19"/>
              </w:rPr>
              <w:t xml:space="preserve">Visibilidad consolidada de toda la planta en tiempo real y por fecha histórica.</w:t>
            </w:r>
          </w:p>
        </w:tc>
      </w:tr>
    </w:tbl>
    <w:p>
      <w:pPr>
        <w:pStyle w:val="Heading2"/>
        <w:spacing w:after="160" w:before="320"/>
      </w:pPr>
      <w:r>
        <w:t xml:space="preserve">5.2 Validación técnica</w:t>
      </w:r>
    </w:p>
    <w:p>
      <w:pPr>
        <w:spacing w:after="160" w:line="288"/>
        <w:jc w:val="both"/>
      </w:pPr>
      <w:r>
        <w:rPr>
          <w:b w:val="false"/>
          <w:bCs w:val="false"/>
          <w:i w:val="false"/>
          <w:iCs w:val="false"/>
        </w:rPr>
        <w:t xml:space="preserve">El sistema fue validado con datos reales de escala piloto — 10 líneas de producción, más de 150 operarios y cerca de 100 puestos de trabajo — y cada módulo cuenta con pruebas automatizadas de extremo a extremo (incluyendo casos de error: intentos de acceso fuera de rol, estados inválidos, límites de negocio) ejecutadas contra el servidor real, no solo contra datos simulados.</w:t>
      </w:r>
    </w:p>
    <w:p>
      <w:pPr>
        <w:pStyle w:val="Heading2"/>
        <w:spacing w:after="160" w:before="320"/>
      </w:pPr>
      <w:r>
        <w:t xml:space="preserve">5.3 Arquitectura (resumen)</w:t>
      </w:r>
    </w:p>
    <w:p>
      <w:pPr>
        <w:spacing w:after="160" w:line="288"/>
        <w:jc w:val="both"/>
      </w:pPr>
      <w:r>
        <w:rPr>
          <w:b w:val="false"/>
          <w:bCs w:val="false"/>
          <w:i w:val="false"/>
          <w:iCs w:val="false"/>
        </w:rPr>
        <w:t xml:space="preserve">Aplicación web/móvil (React, empaquetable a Android vía Capacitor) sobre una API propia (Node.js/Express) y base de datos relacional (SQL Server), con actualización en tiempo real entre todos los supervisores conectados. El detalle completo de la arquitectura está disponible en el documento técnico complementario de este proyecto.</w:t>
      </w:r>
    </w:p>
    <w:p>
      <w:pPr>
        <w:pStyle w:val="Heading1"/>
        <w:spacing w:after="200" w:before="480"/>
      </w:pPr>
      <w:r>
        <w:t xml:space="preserve">6. Modelo de Negocio Propuesto</w:t>
      </w:r>
    </w:p>
    <w:p>
      <w:pPr>
        <w:spacing w:after="160" w:line="288"/>
        <w:jc w:val="both"/>
      </w:pPr>
      <w:r>
        <w:rPr>
          <w:b w:val="false"/>
          <w:bCs w:val="false"/>
          <w:i w:val="false"/>
          <w:iCs w:val="false"/>
        </w:rPr>
        <w:t xml:space="preserve">Se propone un modelo de licenciamiento tipo SaaS B2B, alineado al estándar del software de piso de planta (MES/analítica industrial), sujeto a validación con el equipo comercial antes de fijarse como definitivo:</w:t>
      </w:r>
    </w:p>
    <w:p>
      <w:pPr>
        <w:pStyle w:val="ListParagraph"/>
        <w:numPr>
          <w:ilvl w:val="0"/>
          <w:numId w:val="1"/>
        </w:numPr>
        <w:spacing w:after="100" w:line="276"/>
      </w:pPr>
      <w:r>
        <w:t xml:space="preserve">Licenciamiento por planta o por línea activa, con cobro recurrente mensual o anual — el patrón más común en software de manufactura, donde el valor escala con la cantidad de líneas cubiertas.</w:t>
      </w:r>
    </w:p>
    <w:p>
      <w:pPr>
        <w:pStyle w:val="ListParagraph"/>
        <w:numPr>
          <w:ilvl w:val="0"/>
          <w:numId w:val="1"/>
        </w:numPr>
        <w:spacing w:after="100" w:line="276"/>
      </w:pPr>
      <w:r>
        <w:t xml:space="preserve">Servicio de implementación inicial (carga de puestos, operarios, reglas ergonómicas y SKU de la planta cliente) como ingreso de arranque de cada cuenta.</w:t>
      </w:r>
    </w:p>
    <w:p>
      <w:pPr>
        <w:pStyle w:val="ListParagraph"/>
        <w:numPr>
          <w:ilvl w:val="0"/>
          <w:numId w:val="1"/>
        </w:numPr>
        <w:spacing w:after="100" w:line="276"/>
      </w:pPr>
      <w:r>
        <w:t xml:space="preserve">Nivel de soporte y capacitación diferenciado para plantas multi-turno o multi-planta.</w:t>
      </w:r>
    </w:p>
    <w:p>
      <w:pPr>
        <w:spacing w:after="160" w:line="288"/>
        <w:jc w:val="both"/>
      </w:pPr>
      <w:r>
        <w:rPr>
          <w:b w:val="false"/>
          <w:bCs w:val="false"/>
          <w:i w:val="false"/>
          <w:iCs w:val="false"/>
        </w:rPr>
        <w:t xml:space="preserve">No se incluyen aquí montos de precio ni proyecciones financieras: al no existir todavía un cliente de pago, cualquier cifra sería especulativa. El paso recomendado (sección 8) es validar disposición a pagar con un piloto pago acotado antes de fijar tarifas.</w:t>
      </w:r>
    </w:p>
    <w:p>
      <w:pPr>
        <w:pStyle w:val="Heading1"/>
        <w:spacing w:after="200" w:before="480"/>
      </w:pPr>
      <w:r>
        <w:t xml:space="preserve">7. Impacto Esperado</w:t>
      </w:r>
    </w:p>
    <w:p>
      <w:pPr>
        <w:spacing w:after="160" w:line="288"/>
        <w:jc w:val="both"/>
      </w:pPr>
      <w:r>
        <w:rPr>
          <w:b w:val="false"/>
          <w:bCs w:val="false"/>
          <w:i w:val="false"/>
          <w:iCs w:val="false"/>
        </w:rPr>
        <w:t xml:space="preserve">El estándar de referencia de la industria (Lean Manufacturing) considera un OEE de clase mundial a partir de 85%, mientras que operaciones de ensamble/empaque sin gestión activa suelen ubicarse en un rango de 40%–60%. SmartAssign no promete por sí solo cerrar esa brecha —el OEE depende de muchas variables además de la asignación de personal—, pero ataca directamente dos de sus tres componentes:</w:t>
      </w:r>
    </w:p>
    <w:p>
      <w:pPr>
        <w:pStyle w:val="ListParagraph"/>
        <w:numPr>
          <w:ilvl w:val="0"/>
          <w:numId w:val="1"/>
        </w:numPr>
        <w:spacing w:after="100" w:line="276"/>
      </w:pPr>
      <w:r>
        <w:t xml:space="preserve">Disponibilidad: al registrar cada paro con categoría y causa desde el minuto uno, la planta gana la trazabilidad necesaria para atacar las causas raíz que hoy quedan invisibles.</w:t>
      </w:r>
    </w:p>
    <w:p>
      <w:pPr>
        <w:pStyle w:val="ListParagraph"/>
        <w:numPr>
          <w:ilvl w:val="0"/>
          <w:numId w:val="1"/>
        </w:numPr>
        <w:spacing w:after="100" w:line="276"/>
      </w:pPr>
      <w:r>
        <w:t xml:space="preserve">Calidad: al capturar la merma de proceso en el momento en que ocurre —y no días después—, el dato de calidad del OEE deja de ser una estimación y empieza a reflejar la realidad del turno.</w:t>
      </w:r>
    </w:p>
    <w:p>
      <w:pPr>
        <w:spacing w:after="160" w:line="288"/>
        <w:jc w:val="both"/>
      </w:pPr>
      <w:r>
        <w:rPr>
          <w:b w:val="false"/>
          <w:bCs w:val="false"/>
          <w:i w:val="false"/>
          <w:iCs w:val="false"/>
        </w:rPr>
        <w:t xml:space="preserve">El impacto adicional, más difícil de cuantificar pero igual de real, es la reducción del tiempo de decisión del supervisor en piso (cada asignación validada en segundos en vez de resuelta a memoria) y la disminución del riesgo ergonómico al hacer explícita y sistemática la regla de rotación de 24 horas.</w:t>
      </w:r>
    </w:p>
    <w:p>
      <w:pPr>
        <w:pStyle w:val="Heading1"/>
        <w:spacing w:after="200" w:before="480"/>
      </w:pPr>
      <w:r>
        <w:t xml:space="preserve">8. Roadmap</w:t>
      </w:r>
    </w:p>
    <w:p>
      <w:pPr>
        <w:pStyle w:val="Heading2"/>
        <w:spacing w:after="160" w:before="320"/>
      </w:pPr>
      <w:r>
        <w:t xml:space="preserve">8.1 Corto plazo (siguiente iteración del producto)</w:t>
      </w:r>
    </w:p>
    <w:p>
      <w:pPr>
        <w:pStyle w:val="ListParagraph"/>
        <w:numPr>
          <w:ilvl w:val="0"/>
          <w:numId w:val="1"/>
        </w:numPr>
        <w:spacing w:after="100" w:line="276"/>
      </w:pPr>
      <w:r>
        <w:t xml:space="preserve">Intercambio local de operarios entre puestos dentro de la misma línea.</w:t>
      </w:r>
    </w:p>
    <w:p>
      <w:pPr>
        <w:pStyle w:val="ListParagraph"/>
        <w:numPr>
          <w:ilvl w:val="0"/>
          <w:numId w:val="1"/>
        </w:numPr>
        <w:spacing w:after="100" w:line="276"/>
      </w:pPr>
      <w:r>
        <w:t xml:space="preserve">Planificación del turno siguiente (T+1) desde el panel del Coordinador.</w:t>
      </w:r>
    </w:p>
    <w:p>
      <w:pPr>
        <w:pStyle w:val="ListParagraph"/>
        <w:numPr>
          <w:ilvl w:val="0"/>
          <w:numId w:val="1"/>
        </w:numPr>
        <w:spacing w:after="100" w:line="276"/>
      </w:pPr>
      <w:r>
        <w:t xml:space="preserve">Sugerencias automatizadas de rotación ergonómica basadas en el historial de fatiga acumulado.</w:t>
      </w:r>
    </w:p>
    <w:p>
      <w:pPr>
        <w:pStyle w:val="Heading2"/>
        <w:spacing w:after="160" w:before="320"/>
      </w:pPr>
      <w:r>
        <w:t xml:space="preserve">8.2 Mediano plazo</w:t>
      </w:r>
    </w:p>
    <w:p>
      <w:pPr>
        <w:pStyle w:val="ListParagraph"/>
        <w:numPr>
          <w:ilvl w:val="0"/>
          <w:numId w:val="1"/>
        </w:numPr>
        <w:spacing w:after="100" w:line="276"/>
      </w:pPr>
      <w:r>
        <w:t xml:space="preserve">Desglose histórico de mermas por material a través de turnos, para análisis de causa raíz por SKU.</w:t>
      </w:r>
    </w:p>
    <w:p>
      <w:pPr>
        <w:pStyle w:val="ListParagraph"/>
        <w:numPr>
          <w:ilvl w:val="0"/>
          <w:numId w:val="1"/>
        </w:numPr>
        <w:spacing w:after="100" w:line="276"/>
      </w:pPr>
      <w:r>
        <w:t xml:space="preserve">Soporte multi-planta desde una misma cuenta de Coordinación.</w:t>
      </w:r>
    </w:p>
    <w:p>
      <w:pPr>
        <w:pStyle w:val="ListParagraph"/>
        <w:numPr>
          <w:ilvl w:val="0"/>
          <w:numId w:val="1"/>
        </w:numPr>
        <w:spacing w:after="100" w:line="276"/>
      </w:pPr>
      <w:r>
        <w:t xml:space="preserve">Alertas proactivas (paro prolongado, línea con cobertura crítica) hacia supervisión y mandos medios.</w:t>
      </w:r>
    </w:p>
    <w:p>
      <w:pPr>
        <w:pStyle w:val="Heading2"/>
        <w:spacing w:after="160" w:before="320"/>
      </w:pPr>
      <w:r>
        <w:t xml:space="preserve">8.3 Largo plazo</w:t>
      </w:r>
    </w:p>
    <w:p>
      <w:pPr>
        <w:pStyle w:val="ListParagraph"/>
        <w:numPr>
          <w:ilvl w:val="0"/>
          <w:numId w:val="1"/>
        </w:numPr>
        <w:spacing w:after="100" w:line="276"/>
      </w:pPr>
      <w:r>
        <w:t xml:space="preserve">Analítica predictiva de fatiga y de riesgo de paro.</w:t>
      </w:r>
    </w:p>
    <w:p>
      <w:pPr>
        <w:pStyle w:val="ListParagraph"/>
        <w:numPr>
          <w:ilvl w:val="0"/>
          <w:numId w:val="1"/>
        </w:numPr>
        <w:spacing w:after="100" w:line="276"/>
      </w:pPr>
      <w:r>
        <w:t xml:space="preserve">Integración con sistemas ERP/MES existentes de la planta cliente.</w:t>
      </w:r>
    </w:p>
    <w:p>
      <w:pPr>
        <w:pStyle w:val="Heading2"/>
        <w:spacing w:after="160" w:before="320"/>
      </w:pPr>
      <w:r>
        <w:t xml:space="preserve">8.4 Próximo paso recomendado</w:t>
      </w:r>
    </w:p>
    <w:p>
      <w:pPr>
        <w:spacing w:after="160" w:line="288"/>
        <w:jc w:val="both"/>
      </w:pPr>
      <w:r>
        <w:rPr>
          <w:b w:val="false"/>
          <w:bCs w:val="false"/>
          <w:i w:val="false"/>
          <w:iCs w:val="false"/>
        </w:rPr>
        <w:t xml:space="preserve">Un piloto comercial acotado (una planta, un número reducido de líneas, 4–8 semanas) con métricas de éxito definidas de antemano: adopción real por parte de los supervisores, cobertura de trazabilidad de paros y mermas, y variación del OEE registrado frente al método de medición actual de la planta cliente.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2026-08-07T23:20:03.137Z</dcterms:created>
  <dcterms:modified xsi:type="dcterms:W3CDTF">2026-08-07T23:20:03.138Z</dcterms:modified>
</cp:coreProperties>
</file>

<file path=docProps/custom.xml><?xml version="1.0" encoding="utf-8"?>
<Properties xmlns="http://schemas.openxmlformats.org/officeDocument/2006/custom-properties" xmlns:vt="http://schemas.openxmlformats.org/officeDocument/2006/docPropsVTypes"/>
</file>