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7131F33" w14:textId="77777777" w:rsidR="003808DF" w:rsidRDefault="00062676">
      <w:pPr>
        <w:pBdr>
          <w:top w:val="nil"/>
          <w:left w:val="nil"/>
          <w:bottom w:val="nil"/>
          <w:right w:val="nil"/>
          <w:between w:val="nil"/>
        </w:pBdr>
        <w:tabs>
          <w:tab w:val="center" w:pos="4419"/>
          <w:tab w:val="right" w:pos="8838"/>
        </w:tabs>
        <w:spacing w:after="0" w:line="240" w:lineRule="auto"/>
        <w:jc w:val="center"/>
        <w:rPr>
          <w:b/>
          <w:bCs/>
          <w:color w:val="000000"/>
          <w:sz w:val="26"/>
          <w:szCs w:val="26"/>
        </w:rPr>
      </w:pPr>
      <w:r>
        <w:rPr>
          <w:b/>
          <w:bCs/>
          <w:color w:val="000000"/>
          <w:sz w:val="26"/>
          <w:szCs w:val="26"/>
        </w:rPr>
        <w:t>Reporte de pautado de resolución del desafío</w:t>
      </w:r>
    </w:p>
    <w:p w14:paraId="03A094B7" w14:textId="77777777" w:rsidR="003808DF" w:rsidRDefault="003808DF">
      <w:pPr>
        <w:pBdr>
          <w:top w:val="nil"/>
          <w:left w:val="nil"/>
          <w:bottom w:val="nil"/>
          <w:right w:val="nil"/>
          <w:between w:val="nil"/>
        </w:pBdr>
        <w:tabs>
          <w:tab w:val="center" w:pos="4419"/>
          <w:tab w:val="right" w:pos="8838"/>
        </w:tabs>
        <w:spacing w:after="0" w:line="240" w:lineRule="auto"/>
        <w:jc w:val="center"/>
        <w:rPr>
          <w:b/>
          <w:bCs/>
          <w:smallCaps/>
          <w:color w:val="000000"/>
          <w:sz w:val="20"/>
          <w:szCs w:val="20"/>
        </w:rPr>
      </w:pPr>
    </w:p>
    <w:p w14:paraId="4275D1E6" w14:textId="77777777" w:rsidR="003808DF" w:rsidRDefault="00062676">
      <w:pPr>
        <w:ind w:left="284"/>
        <w:jc w:val="both"/>
        <w:rPr>
          <w:b/>
          <w:bCs/>
          <w:smallCaps/>
          <w:sz w:val="20"/>
          <w:szCs w:val="20"/>
        </w:rPr>
      </w:pPr>
      <w:r>
        <w:rPr>
          <w:b/>
          <w:bCs/>
          <w:smallCaps/>
          <w:sz w:val="20"/>
          <w:szCs w:val="20"/>
        </w:rPr>
        <w:t xml:space="preserve">EQUIPO: </w:t>
      </w:r>
      <w:bookmarkStart w:id="0" w:name="bookmark=id.7emf0s4mrc43" w:colFirst="0" w:colLast="0"/>
      <w:bookmarkEnd w:id="0"/>
      <w:r>
        <w:rPr>
          <w:b/>
          <w:bCs/>
          <w:smallCaps/>
          <w:sz w:val="20"/>
          <w:szCs w:val="20"/>
        </w:rPr>
        <w:t>ACME</w:t>
      </w:r>
    </w:p>
    <w:p w14:paraId="3D023ED8" w14:textId="77777777" w:rsidR="003808DF" w:rsidRDefault="00062676">
      <w:pPr>
        <w:ind w:left="284"/>
        <w:jc w:val="both"/>
        <w:rPr>
          <w:b/>
          <w:bCs/>
          <w:smallCaps/>
          <w:sz w:val="20"/>
          <w:szCs w:val="20"/>
        </w:rPr>
      </w:pPr>
      <w:r>
        <w:rPr>
          <w:b/>
          <w:bCs/>
          <w:smallCaps/>
          <w:sz w:val="20"/>
          <w:szCs w:val="20"/>
        </w:rPr>
        <w:t xml:space="preserve">SEDE: </w:t>
      </w:r>
      <w:bookmarkStart w:id="1" w:name="bookmark=id.k4fc0gb3tkrw" w:colFirst="0" w:colLast="0"/>
      <w:bookmarkEnd w:id="1"/>
      <w:r>
        <w:rPr>
          <w:b/>
          <w:bCs/>
          <w:smallCaps/>
          <w:sz w:val="20"/>
          <w:szCs w:val="20"/>
        </w:rPr>
        <w:t>Universidad Tecnológica La Salle (ULSA), León, Nicaragua</w:t>
      </w:r>
    </w:p>
    <w:p w14:paraId="1A31B997" w14:textId="77777777" w:rsidR="003808DF" w:rsidRDefault="00062676">
      <w:pPr>
        <w:ind w:left="284"/>
        <w:jc w:val="both"/>
        <w:rPr>
          <w:b/>
          <w:bCs/>
          <w:sz w:val="20"/>
          <w:szCs w:val="20"/>
        </w:rPr>
      </w:pPr>
      <w:r>
        <w:rPr>
          <w:b/>
          <w:bCs/>
          <w:smallCaps/>
          <w:sz w:val="20"/>
          <w:szCs w:val="20"/>
        </w:rPr>
        <w:t>DESAFÍO SELECCIONADO</w:t>
      </w:r>
      <w:r>
        <w:rPr>
          <w:b/>
          <w:bCs/>
          <w:sz w:val="20"/>
          <w:szCs w:val="20"/>
        </w:rPr>
        <w:t xml:space="preserve">: </w:t>
      </w:r>
      <w:bookmarkStart w:id="2" w:name="bookmark=id.fh6s6f821za8" w:colFirst="0" w:colLast="0"/>
      <w:bookmarkEnd w:id="2"/>
      <w:r>
        <w:rPr>
          <w:b/>
          <w:bCs/>
          <w:sz w:val="20"/>
          <w:szCs w:val="20"/>
        </w:rPr>
        <w:t>04 - Manejo ecológico de residuos de poda y biomasa vegetal urbana</w:t>
      </w:r>
    </w:p>
    <w:p w14:paraId="00A99686" w14:textId="77777777" w:rsidR="003808DF" w:rsidRDefault="003808DF">
      <w:pPr>
        <w:pBdr>
          <w:top w:val="nil"/>
          <w:left w:val="nil"/>
          <w:bottom w:val="nil"/>
          <w:right w:val="nil"/>
          <w:between w:val="nil"/>
        </w:pBdr>
        <w:spacing w:after="0"/>
        <w:ind w:left="720"/>
        <w:jc w:val="both"/>
        <w:rPr>
          <w:color w:val="000000"/>
          <w:sz w:val="20"/>
          <w:szCs w:val="20"/>
        </w:rPr>
      </w:pPr>
    </w:p>
    <w:p w14:paraId="05003CCB" w14:textId="77777777" w:rsidR="003808DF" w:rsidRDefault="00062676">
      <w:pPr>
        <w:numPr>
          <w:ilvl w:val="0"/>
          <w:numId w:val="1"/>
        </w:numPr>
        <w:pBdr>
          <w:top w:val="nil"/>
          <w:left w:val="nil"/>
          <w:bottom w:val="nil"/>
          <w:right w:val="nil"/>
          <w:between w:val="nil"/>
        </w:pBdr>
        <w:jc w:val="both"/>
        <w:rPr>
          <w:b/>
          <w:bCs/>
          <w:color w:val="000000"/>
          <w:sz w:val="20"/>
          <w:szCs w:val="20"/>
        </w:rPr>
      </w:pPr>
      <w:r>
        <w:rPr>
          <w:b/>
          <w:bCs/>
          <w:color w:val="000000"/>
          <w:sz w:val="20"/>
          <w:szCs w:val="20"/>
        </w:rPr>
        <w:t>DESCRIPCIÓN DE LA PROBLEMÁTICA (1250 caracteres)</w:t>
      </w:r>
    </w:p>
    <w:p w14:paraId="7528EE5E" w14:textId="77777777" w:rsidR="003808DF" w:rsidRDefault="00062676">
      <w:pPr>
        <w:jc w:val="both"/>
        <w:rPr>
          <w:sz w:val="20"/>
          <w:szCs w:val="20"/>
        </w:rPr>
      </w:pPr>
      <w:r>
        <w:rPr>
          <w:sz w:val="20"/>
          <w:szCs w:val="20"/>
        </w:rPr>
        <w:t xml:space="preserve">Describa brevemente la problemática elegida. ¿Cuáles pueden ser las principales causas? ¿Cuál es el verdadero problema a resolver? </w:t>
      </w:r>
    </w:p>
    <w:p w14:paraId="3139DC70" w14:textId="77777777" w:rsidR="00E72C14" w:rsidRDefault="00E72C14" w:rsidP="00E72C14">
      <w:pPr>
        <w:pStyle w:val="NormalWeb"/>
        <w:pBdr>
          <w:top w:val="single" w:sz="4" w:space="1" w:color="000000"/>
          <w:left w:val="single" w:sz="4" w:space="4" w:color="000000"/>
          <w:bottom w:val="single" w:sz="4" w:space="1" w:color="000000"/>
          <w:right w:val="single" w:sz="4" w:space="4" w:color="000000"/>
        </w:pBdr>
        <w:spacing w:before="0" w:beforeAutospacing="0" w:after="160" w:afterAutospacing="0"/>
      </w:pPr>
      <w:bookmarkStart w:id="3" w:name="bookmark=id.1hnyemn7r85b" w:colFirst="0" w:colLast="0"/>
      <w:bookmarkEnd w:id="3"/>
      <w:r>
        <w:rPr>
          <w:rFonts w:ascii="Calibri" w:hAnsi="Calibri" w:cs="Calibri"/>
          <w:color w:val="000000"/>
          <w:sz w:val="20"/>
          <w:szCs w:val="20"/>
        </w:rPr>
        <w:t xml:space="preserve">Actualmente son pocas las experiencias de centros urbanos especializados en recibir y aprovechar los residuos de poda; una de ellas es Proyecto Hormiga, en Argentina (Silbert Voldman et al., 2025). Así, esta materia prima potencialmente valiosa puede convertirse en un problema ambiental, económico y logístico para ciudades de Latinoamérica. En América Latina y el Caribe el 52 % de los residuos urbanos es orgánico, incluida la poda de calles, parques y jardines; solo cerca del 1 % se trata por compostaje, digestión o incineración y el 26,8 % termina en botaderos a cielo abierto (Correal y Rihm, 2022). Los residuos verdes pesan entre el 6 % y el 60 % de la basura municipal, según los casos recopilados por Garrido et al. (2021), no una medición de León. En Nicaragua, la estrategia de 2011 señalaba que la leña provenía casi toda de bosques naturales (Ministerio de Energía y Minas et al., 2011). La poda llega mezclada y dispersa, y pocas veces se separa o se conecta con quienes compran abono y leña. El verdadero problema no es qué hacer con la poda, sino que la ciudad rompe el ciclo local de la materia orgánica: la exporta a un vertedero o la convierte en humo, mientras sus suelos pueden aprovecharla (De Anda-Trasviña et al., 2021).</w:t>
      </w:r>
    </w:p>
    <w:p w14:paraId="3E6BBF37" w14:textId="77777777" w:rsidR="003808DF" w:rsidRPr="00E72C14" w:rsidRDefault="003808DF">
      <w:pPr>
        <w:jc w:val="both"/>
        <w:rPr>
          <w:sz w:val="20"/>
          <w:szCs w:val="20"/>
          <w:lang w:val="es-GT"/>
        </w:rPr>
      </w:pPr>
    </w:p>
    <w:p w14:paraId="469381CA" w14:textId="77777777" w:rsidR="003808DF" w:rsidRDefault="00062676">
      <w:pPr>
        <w:numPr>
          <w:ilvl w:val="0"/>
          <w:numId w:val="1"/>
        </w:numPr>
        <w:pBdr>
          <w:top w:val="nil"/>
          <w:left w:val="nil"/>
          <w:bottom w:val="nil"/>
          <w:right w:val="nil"/>
          <w:between w:val="nil"/>
        </w:pBdr>
        <w:jc w:val="both"/>
        <w:rPr>
          <w:b/>
          <w:bCs/>
          <w:color w:val="000000"/>
          <w:sz w:val="20"/>
          <w:szCs w:val="20"/>
        </w:rPr>
      </w:pPr>
      <w:r>
        <w:rPr>
          <w:b/>
          <w:bCs/>
          <w:color w:val="000000"/>
          <w:sz w:val="20"/>
          <w:szCs w:val="20"/>
        </w:rPr>
        <w:t>DESCRIPCIÓN DE LA SOLUCIÓN (1250 caracteres)</w:t>
      </w:r>
    </w:p>
    <w:p w14:paraId="23E6EFF0" w14:textId="77777777" w:rsidR="003808DF" w:rsidRDefault="00062676">
      <w:pPr>
        <w:jc w:val="both"/>
        <w:rPr>
          <w:sz w:val="20"/>
          <w:szCs w:val="20"/>
        </w:rPr>
      </w:pPr>
      <w:r>
        <w:rPr>
          <w:sz w:val="20"/>
          <w:szCs w:val="20"/>
        </w:rPr>
        <w:t>Describa brevemente el producto/servicio y por qué lo considera una solución a la problemática elegida. ¿Por qué esta propuesta es una buena solución al problema? ¿Por qué se diferencia de otras propuestas existentes? Describa brevemente la tecnología seleccionada, el funcionamiento, las necesidades para su implementación, entre otras.</w:t>
      </w:r>
    </w:p>
    <w:p w14:paraId="05F83119" w14:textId="77777777" w:rsidR="00E72C14" w:rsidRPr="00E72C14" w:rsidRDefault="00E72C14" w:rsidP="00E72C14">
      <w:pPr>
        <w:pBdr>
          <w:top w:val="single" w:sz="4" w:space="1" w:color="000000"/>
          <w:left w:val="single" w:sz="4" w:space="4" w:color="000000"/>
          <w:bottom w:val="single" w:sz="4" w:space="1" w:color="000000"/>
          <w:right w:val="single" w:sz="4" w:space="4" w:color="000000"/>
        </w:pBdr>
        <w:jc w:val="both"/>
        <w:rPr>
          <w:sz w:val="20"/>
          <w:szCs w:val="20"/>
        </w:rPr>
      </w:pPr>
      <w:bookmarkStart w:id="4" w:name="bookmark=id.fm2ujm30ols2" w:colFirst="0" w:colLast="0"/>
      <w:bookmarkEnd w:id="4"/>
      <w:r>
        <w:rPr>
          <w:sz w:val="20"/>
          <w:szCs w:val="20"/>
        </w:rPr>
        <w:t xml:space="preserve">Centros de acopio distribuidos en la ciudad, donde se podrán llevar los residuos de poda urbanos.  Estos centros tendrán la capacidad de clasificar en leña y residuos, hojas y ramas pequeñas, para compostaje y tratarlos según su utilidad. La comunidad puede depositar poda y residuos de jardinería limpios, sin alimentos ni otros residuos, en el centro de acopio, así como comprar abono y leña o canjear puntos por abono, según la disponibilidad. Como alternativa, se propone una alianza con trabajadores independientes que den servicios de transporte desde el lugar de poda al centro de acopio y distribuir el producto del centro de acopio hacia los compradores. </w:t>
      </w:r>
    </w:p>
    <w:p w14:paraId="1D804DCC" w14:textId="77777777" w:rsidR="00E72C14" w:rsidRPr="00E72C14" w:rsidRDefault="00E72C14" w:rsidP="00E72C14">
      <w:pPr>
        <w:pBdr>
          <w:top w:val="single" w:sz="4" w:space="1" w:color="000000"/>
          <w:left w:val="single" w:sz="4" w:space="4" w:color="000000"/>
          <w:bottom w:val="single" w:sz="4" w:space="1" w:color="000000"/>
          <w:right w:val="single" w:sz="4" w:space="4" w:color="000000"/>
        </w:pBdr>
        <w:jc w:val="both"/>
        <w:rPr>
          <w:sz w:val="20"/>
          <w:szCs w:val="20"/>
        </w:rPr>
      </w:pPr>
      <w:r>
        <w:rPr>
          <w:sz w:val="20"/>
          <w:szCs w:val="20"/>
        </w:rPr>
        <w:t xml:space="preserve">Los centros utilizarán trituradoras comerciales con motor eléctrico, buscando reducir los costos de operación; una minicargadora para voltear las pilas de compost y una zaranda para separar el abono fino. Los troncos se cortarán con motosierra y se secarán bajo techo. La calidad se controlará con termómetros, medidores de humedad y análisis de laboratorio.</w:t>
      </w:r>
    </w:p>
    <w:p w14:paraId="6D8F7D96" w14:textId="5E354A0C" w:rsidR="003808DF" w:rsidRDefault="00E72C14" w:rsidP="00E72C14">
      <w:pPr>
        <w:pBdr>
          <w:top w:val="single" w:sz="4" w:space="1" w:color="000000"/>
          <w:left w:val="single" w:sz="4" w:space="4" w:color="000000"/>
          <w:bottom w:val="single" w:sz="4" w:space="1" w:color="000000"/>
          <w:right w:val="single" w:sz="4" w:space="4" w:color="000000"/>
        </w:pBdr>
        <w:jc w:val="both"/>
        <w:rPr>
          <w:sz w:val="20"/>
          <w:szCs w:val="20"/>
        </w:rPr>
      </w:pPr>
      <w:r>
        <w:rPr>
          <w:sz w:val="20"/>
          <w:szCs w:val="20"/>
        </w:rPr>
        <w:t xml:space="preserve">Para conectar a ciudadanos, centros de acopio, transportistas y compradores, se desarrollará una aplicación web progresiva (PWA), accesible desde el navegador e instalable en el celular.</w:t>
      </w:r>
    </w:p>
    <w:p w14:paraId="34D1D48F" w14:textId="77777777" w:rsidR="003808DF" w:rsidRDefault="00062676">
      <w:pPr>
        <w:pageBreakBefore/>
        <w:numPr>
          <w:ilvl w:val="0"/>
          <w:numId w:val="1"/>
        </w:numPr>
        <w:pBdr>
          <w:top w:val="nil"/>
          <w:left w:val="nil"/>
          <w:bottom w:val="nil"/>
          <w:right w:val="nil"/>
          <w:between w:val="nil"/>
        </w:pBdr>
        <w:jc w:val="both"/>
        <w:rPr>
          <w:b/>
          <w:bCs/>
          <w:color w:val="000000"/>
          <w:sz w:val="20"/>
          <w:szCs w:val="20"/>
        </w:rPr>
      </w:pPr>
      <w:r>
        <w:rPr>
          <w:b/>
          <w:bCs/>
          <w:color w:val="000000"/>
          <w:sz w:val="20"/>
          <w:szCs w:val="20"/>
        </w:rPr>
        <w:t>IMPACTO (1000 caracteres)</w:t>
      </w:r>
    </w:p>
    <w:p w14:paraId="70D44F88" w14:textId="77777777" w:rsidR="003808DF" w:rsidRDefault="00062676">
      <w:pPr>
        <w:jc w:val="both"/>
        <w:rPr>
          <w:sz w:val="20"/>
          <w:szCs w:val="20"/>
        </w:rPr>
      </w:pPr>
      <w:r>
        <w:rPr>
          <w:sz w:val="20"/>
          <w:szCs w:val="20"/>
        </w:rPr>
        <w:t>Describa brevemente el impacto social y/o ambiental que genera la propuesta de solución.</w:t>
      </w:r>
    </w:p>
    <w:p w14:paraId="1BFC0F97" w14:textId="7140BA94" w:rsidR="003808DF" w:rsidRDefault="00E72C14">
      <w:pPr>
        <w:pBdr>
          <w:top w:val="single" w:sz="4" w:space="1" w:color="000000"/>
          <w:left w:val="single" w:sz="4" w:space="4" w:color="000000"/>
          <w:bottom w:val="single" w:sz="4" w:space="1" w:color="000000"/>
          <w:right w:val="single" w:sz="4" w:space="4" w:color="000000"/>
        </w:pBdr>
        <w:jc w:val="both"/>
        <w:rPr>
          <w:sz w:val="20"/>
          <w:szCs w:val="20"/>
        </w:rPr>
      </w:pPr>
      <w:bookmarkStart w:id="5" w:name="bookmark=id.jr9nhn6odm9p" w:colFirst="0" w:colLast="0"/>
      <w:bookmarkEnd w:id="5"/>
      <w:r>
        <w:rPr>
          <w:sz w:val="20"/>
          <w:szCs w:val="20"/>
        </w:rPr>
        <w:t xml:space="preserve">La creación de centros de acopio podría contribuir a generar oportunidades económicas en la ciudad al incorporar transportistas independientes y operarios en el centro, lo que crearía fuentes de ingresos y fortalecería los servicios locales, como sucedió en la cooperativa El Álamo de Buenos Aires (Alessio detto Grassi, 2023). Al transformar la biomasa en leña y compost, se reduciría la disposición inadecuada de estos y la contaminación causada por su quema. Como referencia externa, Proyecto Hormiga (s. f.) informa haber evitado 666,25 t de CO₂ equivalente con su gestión de residuos mediante compostaje aeróbico; no es un resultado de ReVerde. La plataforma digital facilitaría la coordinación entre abastecedores, centros de acopio y compradores. Así, la iniciativa impulsaría una economía circular que generaría valor a partir de recursos desaprovechados y favorecería la conservación de los recursos naturales al disminuir la dependencia de materias primas provenientes de bosques.</w:t>
      </w:r>
    </w:p>
    <w:p w14:paraId="2FEEDF03" w14:textId="77777777" w:rsidR="003808DF" w:rsidRDefault="00062676">
      <w:pPr>
        <w:numPr>
          <w:ilvl w:val="0"/>
          <w:numId w:val="1"/>
        </w:numPr>
        <w:pBdr>
          <w:top w:val="nil"/>
          <w:left w:val="nil"/>
          <w:bottom w:val="nil"/>
          <w:right w:val="nil"/>
          <w:between w:val="nil"/>
        </w:pBdr>
        <w:jc w:val="both"/>
        <w:rPr>
          <w:b/>
          <w:bCs/>
          <w:color w:val="000000"/>
          <w:sz w:val="20"/>
          <w:szCs w:val="20"/>
        </w:rPr>
      </w:pPr>
      <w:r>
        <w:rPr>
          <w:b/>
          <w:bCs/>
          <w:color w:val="000000"/>
          <w:sz w:val="20"/>
          <w:szCs w:val="20"/>
        </w:rPr>
        <w:t>INNOVACIÓN (1000 caracteres)</w:t>
      </w:r>
    </w:p>
    <w:p w14:paraId="79EE30AE" w14:textId="77777777" w:rsidR="003808DF" w:rsidRDefault="00062676">
      <w:pPr>
        <w:jc w:val="both"/>
        <w:rPr>
          <w:sz w:val="20"/>
          <w:szCs w:val="20"/>
        </w:rPr>
      </w:pPr>
      <w:r>
        <w:rPr>
          <w:sz w:val="20"/>
          <w:szCs w:val="20"/>
        </w:rPr>
        <w:t>Fundamente brevemente por qué considera que esta propuesta representa una solución innovadora a la problemática seleccionada.</w:t>
      </w:r>
    </w:p>
    <w:p w14:paraId="41CE8510" w14:textId="11515EB4" w:rsidR="003808DF" w:rsidRDefault="00E72C14">
      <w:pPr>
        <w:pBdr>
          <w:top w:val="single" w:sz="4" w:space="1" w:color="000000"/>
          <w:left w:val="single" w:sz="4" w:space="4" w:color="000000"/>
          <w:bottom w:val="single" w:sz="4" w:space="1" w:color="000000"/>
          <w:right w:val="single" w:sz="4" w:space="4" w:color="000000"/>
        </w:pBdr>
        <w:jc w:val="both"/>
        <w:rPr>
          <w:sz w:val="20"/>
          <w:szCs w:val="20"/>
        </w:rPr>
      </w:pPr>
      <w:bookmarkStart w:id="6" w:name="bookmark=id.8v3gv05jw31z" w:colFirst="0" w:colLast="0"/>
      <w:bookmarkEnd w:id="6"/>
      <w:r>
        <w:rPr>
          <w:sz w:val="20"/>
          <w:szCs w:val="20"/>
        </w:rPr>
        <w:t xml:space="preserve">La innovación de ReVerde consiste en conectar una red de centros de acopio con ciudadanos, transportistas independientes y compradores mediante una sola plataforma. La app coordinará la recogida de poda y la venta de abono y leña, aprovechando el viaje de regreso de los transportistas para entregar los productos. Cada lote tendrá un código QR que permitirá consultar su origen y cómo fue procesado. Además, el registro de horas de uso y toneladas trituradas ayudará a programar el mantenimiento de las máquinas y prevenir interrupciones como las que, por fallas de maquinaria y de abastecimiento, llevaron a la cooperativa que en 2022 desarrolló Siempremonte a dejar de producir enmiendas y sustratos en 2023 (Silbert Voldman et al., 2025). Así, ReVerde integra el aprovechamiento de la poda con su transporte, comercialización y seguimiento, en un modelo adaptable a otras ciudades de Latinoamérica.</w:t>
      </w:r>
    </w:p>
    <w:p w14:paraId="2AD38869" w14:textId="77777777" w:rsidR="003808DF" w:rsidRDefault="00062676">
      <w:pPr>
        <w:numPr>
          <w:ilvl w:val="0"/>
          <w:numId w:val="1"/>
        </w:numPr>
        <w:pBdr>
          <w:top w:val="nil"/>
          <w:left w:val="nil"/>
          <w:bottom w:val="nil"/>
          <w:right w:val="nil"/>
          <w:between w:val="nil"/>
        </w:pBdr>
        <w:jc w:val="both"/>
        <w:rPr>
          <w:b/>
          <w:bCs/>
          <w:color w:val="000000"/>
          <w:sz w:val="20"/>
          <w:szCs w:val="20"/>
        </w:rPr>
      </w:pPr>
      <w:r>
        <w:rPr>
          <w:b/>
          <w:bCs/>
          <w:color w:val="000000"/>
          <w:sz w:val="20"/>
          <w:szCs w:val="20"/>
        </w:rPr>
        <w:t>PRE FACTIBILIDAD ECONÓMICA, SOCIAL Y SUSTENTABILIDAD AMBIENTAL (1500 caracteres)</w:t>
      </w:r>
    </w:p>
    <w:p w14:paraId="1024F692" w14:textId="77777777" w:rsidR="003808DF" w:rsidRDefault="00062676">
      <w:pPr>
        <w:jc w:val="both"/>
        <w:rPr>
          <w:sz w:val="20"/>
          <w:szCs w:val="20"/>
        </w:rPr>
      </w:pPr>
      <w:r>
        <w:rPr>
          <w:sz w:val="20"/>
          <w:szCs w:val="20"/>
        </w:rPr>
        <w:t xml:space="preserve">Describa brevemente las razones que hacen de esta propuesta una propuesta sostenible en el tiempo. Fundamente por qué considera que esta propuesta es presupuestariamente abordable, por qué es viable o aceptable socialmente </w:t>
      </w:r>
    </w:p>
    <w:p w14:paraId="425F2729" w14:textId="41821839" w:rsidR="001F6D2B" w:rsidRPr="001F6D2B" w:rsidRDefault="001F6D2B" w:rsidP="001F6D2B">
      <w:pPr>
        <w:pBdr>
          <w:top w:val="single" w:sz="4" w:space="1" w:color="000000"/>
          <w:left w:val="single" w:sz="4" w:space="4" w:color="000000"/>
          <w:right w:val="single" w:sz="4" w:space="4" w:color="000000"/>
        </w:pBdr>
        <w:spacing w:line="240" w:lineRule="auto"/>
        <w:jc w:val="both"/>
        <w:rPr>
          <w:rFonts w:ascii="Times New Roman" w:eastAsia="Times New Roman" w:hAnsi="Times New Roman" w:cs="Times New Roman"/>
          <w:sz w:val="24"/>
          <w:szCs w:val="24"/>
          <w:lang w:val="es-GT"/>
        </w:rPr>
      </w:pPr>
      <w:bookmarkStart w:id="7" w:name="bookmark=id.lvjjzipmsrub" w:colFirst="0" w:colLast="0"/>
      <w:bookmarkEnd w:id="7"/>
      <w:r>
        <w:rPr>
          <w:rFonts w:eastAsia="Times New Roman"/>
          <w:color w:val="000000"/>
          <w:sz w:val="20"/>
          <w:szCs w:val="20"/>
          <w:lang w:val="es-GT"/>
        </w:rPr>
        <w:t xml:space="preserve">ReVerde prevé una inversión inicial de US$9,500 a US$12,430, según cálculos actualizados del equipo. El uso de activos municipales en comodato reduciría la inversión, sujeto a convenios. Las trituradoras eléctricas no requieren gasolina para triturar; sus costos dependerán del consumo, la instalación y el mantenimiento. Los ingresos provendrán de acuerdos de recepción de poda y venta de abono y leña seca. Se estima un equilibrio de 740 t/año y una meta de 1,000 t/año, sujetos a los precios y costos previstos. Se reservará capital de trabajo para operar mientras madura el compost y se concretan las primeras ventas.</w:t>
      </w:r>
    </w:p>
    <w:p w14:paraId="576E1607" w14:textId="77777777" w:rsidR="001F6D2B" w:rsidRPr="001F6D2B" w:rsidRDefault="001F6D2B" w:rsidP="001F6D2B">
      <w:pPr>
        <w:pBdr>
          <w:left w:val="single" w:sz="4" w:space="4" w:color="000000"/>
          <w:right w:val="single" w:sz="4" w:space="4" w:color="000000"/>
        </w:pBdr>
        <w:spacing w:line="240" w:lineRule="auto"/>
        <w:jc w:val="both"/>
        <w:rPr>
          <w:rFonts w:ascii="Times New Roman" w:eastAsia="Times New Roman" w:hAnsi="Times New Roman" w:cs="Times New Roman"/>
          <w:sz w:val="24"/>
          <w:szCs w:val="24"/>
          <w:lang w:val="es-GT"/>
        </w:rPr>
      </w:pPr>
      <w:r w:rsidRPr="001F6D2B">
        <w:rPr>
          <w:rFonts w:eastAsia="Times New Roman"/>
          <w:color w:val="000000"/>
          <w:sz w:val="20"/>
          <w:szCs w:val="20"/>
          <w:lang w:val="es-GT"/>
        </w:rPr>
        <w:t>En lo social, se propone crear empleo para operarios y oportunidades para transportistas locales, con capacitación, protección personal y prestaciones laborales. La plataforma coordinará recogidas y entregas para aprovechar viajes de regreso y reducir recorridos vacíos. Los vecinos recibirán puntos por entregar poda limpia, canjeables por abono o productos y servicios de negocios aliados, mediante acuerdos.</w:t>
      </w:r>
    </w:p>
    <w:p w14:paraId="354FE4FB" w14:textId="77777777" w:rsidR="001F6D2B" w:rsidRPr="001F6D2B" w:rsidRDefault="001F6D2B" w:rsidP="001F6D2B">
      <w:pPr>
        <w:pBdr>
          <w:left w:val="single" w:sz="4" w:space="4" w:color="000000"/>
          <w:bottom w:val="single" w:sz="4" w:space="1" w:color="000000"/>
          <w:right w:val="single" w:sz="4" w:space="4" w:color="000000"/>
        </w:pBdr>
        <w:spacing w:line="240" w:lineRule="auto"/>
        <w:jc w:val="both"/>
        <w:rPr>
          <w:rFonts w:ascii="Times New Roman" w:eastAsia="Times New Roman" w:hAnsi="Times New Roman" w:cs="Times New Roman"/>
          <w:sz w:val="24"/>
          <w:szCs w:val="24"/>
          <w:lang w:val="es-GT"/>
        </w:rPr>
      </w:pPr>
      <w:r w:rsidRPr="001F6D2B">
        <w:rPr>
          <w:rFonts w:eastAsia="Times New Roman"/>
          <w:color w:val="000000"/>
          <w:sz w:val="20"/>
          <w:szCs w:val="20"/>
          <w:lang w:val="es-GT"/>
        </w:rPr>
        <w:t>En lo ambiental, el aprovechamiento de la poda busca reducir su quema y disposición en vertederos, producir abono y sustituir parte de la leña extraída de bosques. Se propone captar lluvia y reutilizar agua apta para el compostaje, con drenajes y control de escurrimientos. El consumo de agua y los beneficios ambientales se medirán en el piloto. La continuidad dependerá del abastecimiento, las ventas, los convenios municipales y el control de calidad.</w:t>
      </w:r>
    </w:p>
    <w:p w14:paraId="182C108F" w14:textId="77777777" w:rsidR="003808DF" w:rsidRDefault="00062676">
      <w:pPr>
        <w:pageBreakBefore/>
        <w:numPr>
          <w:ilvl w:val="0"/>
          <w:numId w:val="1"/>
        </w:numPr>
        <w:pBdr>
          <w:top w:val="nil"/>
          <w:left w:val="nil"/>
          <w:bottom w:val="nil"/>
          <w:right w:val="nil"/>
          <w:between w:val="nil"/>
        </w:pBdr>
        <w:spacing w:after="0"/>
        <w:jc w:val="both"/>
        <w:rPr>
          <w:b/>
          <w:bCs/>
          <w:color w:val="000000"/>
          <w:sz w:val="20"/>
          <w:szCs w:val="20"/>
        </w:rPr>
      </w:pPr>
      <w:r>
        <w:rPr>
          <w:b/>
          <w:bCs/>
          <w:color w:val="000000"/>
          <w:sz w:val="20"/>
          <w:szCs w:val="20"/>
        </w:rPr>
        <w:t>PROPUESTAS QUE DESCARTARON</w:t>
      </w:r>
    </w:p>
    <w:p w14:paraId="6D840D98" w14:textId="77777777" w:rsidR="003808DF" w:rsidRDefault="00062676">
      <w:pPr>
        <w:pBdr>
          <w:top w:val="nil"/>
          <w:left w:val="nil"/>
          <w:bottom w:val="nil"/>
          <w:right w:val="nil"/>
          <w:between w:val="nil"/>
        </w:pBdr>
        <w:ind w:left="644"/>
        <w:jc w:val="both"/>
        <w:rPr>
          <w:color w:val="000000"/>
        </w:rPr>
      </w:pPr>
      <w:r>
        <w:rPr>
          <w:color w:val="000000"/>
        </w:rPr>
        <w:t xml:space="preserve">Enumere, en caso de haber descartado ideas, las diferentes propuestas que han analizado hasta elegir la actual y mencione brevemente el </w:t>
      </w:r>
      <w:proofErr w:type="spellStart"/>
      <w:r>
        <w:rPr>
          <w:color w:val="000000"/>
        </w:rPr>
        <w:t>porque</w:t>
      </w:r>
      <w:proofErr w:type="spellEnd"/>
      <w:r>
        <w:rPr>
          <w:color w:val="000000"/>
        </w:rPr>
        <w:t>.</w:t>
      </w:r>
    </w:p>
    <w:p w14:paraId="40E6AA2D" w14:textId="77777777" w:rsidR="00E72C14" w:rsidRPr="00E72C14" w:rsidRDefault="00E72C14" w:rsidP="001F6D2B">
      <w:pPr>
        <w:pBdr>
          <w:top w:val="single" w:sz="4" w:space="1" w:color="000000"/>
          <w:left w:val="single" w:sz="4" w:space="4" w:color="000000"/>
          <w:right w:val="single" w:sz="4" w:space="4" w:color="000000"/>
        </w:pBdr>
        <w:spacing w:line="240" w:lineRule="auto"/>
        <w:rPr>
          <w:rFonts w:ascii="Times New Roman" w:eastAsia="Times New Roman" w:hAnsi="Times New Roman" w:cs="Times New Roman"/>
          <w:sz w:val="24"/>
          <w:szCs w:val="24"/>
          <w:lang w:val="es-GT"/>
        </w:rPr>
      </w:pPr>
      <w:bookmarkStart w:id="8" w:name="bookmark=id.lu0mqt998543" w:colFirst="0" w:colLast="0"/>
      <w:bookmarkEnd w:id="8"/>
      <w:r>
        <w:rPr>
          <w:rFonts w:eastAsia="Times New Roman"/>
          <w:color w:val="000000"/>
          <w:lang w:val="es-GT"/>
        </w:rPr>
        <w:t xml:space="preserve">1) Quema controlada de poda: descartada por la contaminación del aire, el riesgo de incendio y porque desperdicia el valor orgánico.</w:t>
      </w:r>
      <w:r>
        <w:rPr>
          <w:rFonts w:eastAsia="Times New Roman"/>
          <w:color w:val="000000"/>
          <w:lang w:val="es-GT"/>
        </w:rPr>
        <w:br/>
      </w:r>
      <w:r>
        <w:rPr>
          <w:rFonts w:eastAsia="Times New Roman"/>
          <w:color w:val="000000"/>
          <w:lang w:val="es-GT"/>
        </w:rPr>
        <w:t xml:space="preserve">2) Biodigestor y biogás: costo y complejidad altos para un municipio con recursos limitados, y la poda leñosa se degrada lentamente en estos sistemas.</w:t>
      </w:r>
      <w:r>
        <w:rPr>
          <w:rFonts w:eastAsia="Times New Roman"/>
          <w:color w:val="000000"/>
          <w:lang w:val="es-GT"/>
        </w:rPr>
        <w:br/>
      </w:r>
      <w:r>
        <w:rPr>
          <w:rFonts w:eastAsia="Times New Roman"/>
          <w:color w:val="000000"/>
          <w:lang w:val="es-GT"/>
        </w:rPr>
        <w:t xml:space="preserve">3) Biochar o pirólisis: requiere equipo y control de temperatura; lo dejamos como posible fase 2.</w:t>
      </w:r>
      <w:r>
        <w:rPr>
          <w:rFonts w:eastAsia="Times New Roman"/>
          <w:color w:val="000000"/>
          <w:lang w:val="es-GT"/>
        </w:rPr>
        <w:br/>
      </w:r>
      <w:r>
        <w:rPr>
          <w:rFonts w:eastAsia="Times New Roman"/>
          <w:color w:val="000000"/>
          <w:lang w:val="es-GT"/>
        </w:rPr>
        <w:t xml:space="preserve">4) Briquetas o pellets para energía: exige secado, maquinaria y validar un mercado; se prioriza la leña seca.</w:t>
      </w:r>
      <w:r>
        <w:rPr>
          <w:rFonts w:eastAsia="Times New Roman"/>
          <w:color w:val="000000"/>
          <w:lang w:val="es-GT"/>
        </w:rPr>
        <w:br/>
      </w:r>
      <w:r>
        <w:rPr>
          <w:rFonts w:eastAsia="Times New Roman"/>
          <w:color w:val="000000"/>
          <w:lang w:val="es-GT"/>
        </w:rPr>
        <w:t xml:space="preserve">5) Planta centralizada de compostaje industrial: inversión alta y mayor transporte; preferimos un modelo pequeño y replicable.</w:t>
      </w:r>
    </w:p>
    <w:p w14:paraId="6C1B486D" w14:textId="4FC503DD" w:rsidR="00E72C14" w:rsidRPr="00E72C14" w:rsidRDefault="00E72C14" w:rsidP="001F6D2B">
      <w:pPr>
        <w:pBdr>
          <w:left w:val="single" w:sz="4" w:space="4" w:color="000000"/>
          <w:right w:val="single" w:sz="4" w:space="4" w:color="000000"/>
        </w:pBdr>
        <w:spacing w:line="240" w:lineRule="auto"/>
        <w:rPr>
          <w:rFonts w:ascii="Times New Roman" w:eastAsia="Times New Roman" w:hAnsi="Times New Roman" w:cs="Times New Roman"/>
          <w:sz w:val="24"/>
          <w:szCs w:val="24"/>
          <w:lang w:val="es-GT"/>
        </w:rPr>
      </w:pPr>
      <w:r>
        <w:rPr>
          <w:rFonts w:eastAsia="Times New Roman"/>
          <w:color w:val="000000"/>
          <w:lang w:val="es-GT"/>
        </w:rPr>
        <w:t xml:space="preserve">6) Producción de sustratos formulados (tierra preparada para la venta): alto coste de inversión inicial y de mantenimiento; el compost se vende como enmienda orgánica a granel.</w:t>
      </w:r>
    </w:p>
    <w:p w14:paraId="6DB673C2" w14:textId="0837625B" w:rsidR="00E72C14" w:rsidRPr="00E72C14" w:rsidRDefault="00E72C14" w:rsidP="001F6D2B">
      <w:pPr>
        <w:pBdr>
          <w:left w:val="single" w:sz="4" w:space="4" w:color="000000"/>
          <w:right w:val="single" w:sz="4" w:space="4" w:color="000000"/>
        </w:pBdr>
        <w:spacing w:line="240" w:lineRule="auto"/>
        <w:rPr>
          <w:rFonts w:ascii="Times New Roman" w:eastAsia="Times New Roman" w:hAnsi="Times New Roman" w:cs="Times New Roman"/>
          <w:sz w:val="24"/>
          <w:szCs w:val="24"/>
          <w:lang w:val="es-GT"/>
        </w:rPr>
      </w:pPr>
      <w:r>
        <w:rPr>
          <w:rFonts w:eastAsia="Times New Roman"/>
          <w:color w:val="000000"/>
          <w:lang w:val="es-GT"/>
        </w:rPr>
        <w:t xml:space="preserve">7) Restaurantes y panaderías como mercado principal: se descarta como único mercado por falta de evidencia local de demanda suficiente; siguen como compradores potenciales por validar en el piloto.</w:t>
      </w:r>
    </w:p>
    <w:p w14:paraId="0B83C48D" w14:textId="77777777" w:rsidR="00E72C14" w:rsidRPr="00E72C14" w:rsidRDefault="00E72C14" w:rsidP="001F6D2B">
      <w:pPr>
        <w:pBdr>
          <w:left w:val="single" w:sz="4" w:space="4" w:color="000000"/>
          <w:bottom w:val="single" w:sz="4" w:space="1" w:color="000000"/>
          <w:right w:val="single" w:sz="4" w:space="4" w:color="000000"/>
        </w:pBdr>
        <w:spacing w:line="240" w:lineRule="auto"/>
        <w:rPr>
          <w:rFonts w:ascii="Times New Roman" w:eastAsia="Times New Roman" w:hAnsi="Times New Roman" w:cs="Times New Roman"/>
          <w:sz w:val="24"/>
          <w:szCs w:val="24"/>
          <w:lang w:val="es-GT"/>
        </w:rPr>
      </w:pPr>
      <w:r>
        <w:rPr>
          <w:rFonts w:eastAsia="Times New Roman"/>
          <w:color w:val="000000"/>
          <w:lang w:val="es-GT"/>
        </w:rPr>
        <w:t xml:space="preserve">8) Página web que conectaba vecinos, donde mandaba aviso de podas locales y los demás usuarios podían ir a recoger los residuos orgánicos: no interviene ningún proceso de tratamiento ni de control de calidad.</w:t>
      </w:r>
    </w:p>
    <w:p w14:paraId="548D00BF" w14:textId="77777777" w:rsidR="003808DF" w:rsidRDefault="00062676">
      <w:pPr>
        <w:numPr>
          <w:ilvl w:val="0"/>
          <w:numId w:val="1"/>
        </w:numPr>
        <w:pBdr>
          <w:top w:val="nil"/>
          <w:left w:val="nil"/>
          <w:bottom w:val="nil"/>
          <w:right w:val="nil"/>
          <w:between w:val="nil"/>
        </w:pBdr>
        <w:jc w:val="both"/>
        <w:rPr>
          <w:b/>
          <w:bCs/>
          <w:color w:val="000000"/>
          <w:sz w:val="20"/>
          <w:szCs w:val="20"/>
        </w:rPr>
      </w:pPr>
      <w:r>
        <w:rPr>
          <w:b/>
          <w:bCs/>
          <w:color w:val="000000"/>
          <w:sz w:val="20"/>
          <w:szCs w:val="20"/>
        </w:rPr>
        <w:t>REFERENCIAS</w:t>
      </w:r>
    </w:p>
    <w:p w14:paraId="406275EE" w14:textId="77777777" w:rsidR="003808DF" w:rsidRDefault="00062676">
      <w:pPr>
        <w:jc w:val="both"/>
      </w:pPr>
      <w:r>
        <w:t>Escriba aquí todas las fuentes de información que consultaron y de las que obtuvieron información para construir su propuesta incluyendo las relacionadas a la inteligencia artificial.</w:t>
      </w:r>
    </w:p>
    <w:p>
      <w:pPr>
        <w:pBdr>
          <w:top w:val="single" w:sz="4" w:space="1" w:color="000000"/>
          <w:left w:val="single" w:sz="4" w:space="4" w:color="000000"/>
          <w:bottom w:val="single" w:sz="4" w:space="1" w:color="000000"/>
          <w:right w:val="single" w:sz="4" w:space="4" w:color="000000"/>
        </w:pBdr>
        <w:ind w:left="360" w:hanging="360"/>
        <w:rPr>
          <w:sz w:val="20"/>
          <w:szCs w:val="20"/>
          <w:lang w:val="es-GT"/>
        </w:rPr>
      </w:pPr>
      <w:r>
        <w:rPr>
          <w:sz w:val="20"/>
          <w:szCs w:val="20"/>
          <w:lang w:val="es-GT"/>
        </w:rPr>
        <w:t xml:space="preserve">Alessio detto Grassi, C. (2023). </w:t>
      </w:r>
      <w:r>
        <w:rPr>
          <w:i/>
          <w:iCs/>
          <w:sz w:val="20"/>
          <w:szCs w:val="20"/>
          <w:lang w:val="es-GT"/>
        </w:rPr>
        <w:t xml:space="preserve">Cooperative El Álamo: Informal recyclers ('waste pickers') cooperative in Buenos Aires</w:t>
      </w:r>
      <w:r>
        <w:rPr>
          <w:sz w:val="20"/>
          <w:szCs w:val="20"/>
          <w:lang w:val="es-GT"/>
        </w:rPr>
        <w:t xml:space="preserve">. Circle Economy. </w:t>
      </w:r>
      <w:hyperlink r:id="rId8" w:history="1">
        <w:r>
          <w:rPr>
            <w:rStyle w:val="Hipervnculo"/>
            <w:sz w:val="20"/>
            <w:szCs w:val="20"/>
            <w:lang w:val="es-GT"/>
          </w:rPr>
          <w:t xml:space="preserve">https://circle-economy.com/knowledge-hub/article/7031</w:t>
        </w:r>
      </w:hyperlink>
    </w:p>
    <w:p>
      <w:pPr>
        <w:pBdr>
          <w:top w:val="single" w:sz="4" w:space="1" w:color="000000"/>
          <w:left w:val="single" w:sz="4" w:space="4" w:color="000000"/>
          <w:bottom w:val="single" w:sz="4" w:space="1" w:color="000000"/>
          <w:right w:val="single" w:sz="4" w:space="4" w:color="000000"/>
        </w:pBdr>
        <w:ind w:left="360" w:hanging="360"/>
        <w:rPr>
          <w:sz w:val="20"/>
          <w:szCs w:val="20"/>
          <w:lang w:val="es-GT"/>
        </w:rPr>
      </w:pPr>
      <w:r>
        <w:rPr>
          <w:sz w:val="20"/>
          <w:szCs w:val="20"/>
          <w:lang w:val="es-GT"/>
        </w:rPr>
        <w:t xml:space="preserve">Correal, M., y Rihm, A. (2022). </w:t>
      </w:r>
      <w:r>
        <w:rPr>
          <w:i/>
          <w:iCs/>
          <w:sz w:val="20"/>
          <w:szCs w:val="20"/>
          <w:lang w:val="es-GT"/>
        </w:rPr>
        <w:t xml:space="preserve">Hacia la valorización de residuos sólidos en América Latina y el Caribe. Conceptos básicos, análisis de viabilidad y recomendaciones de políticas públicas</w:t>
      </w:r>
      <w:r>
        <w:rPr>
          <w:sz w:val="20"/>
          <w:szCs w:val="20"/>
          <w:lang w:val="es-GT"/>
        </w:rPr>
        <w:t xml:space="preserve"> (C. M. Pasquetti y A. Abrodos, Eds.). Banco Interamericano de Desarrollo. </w:t>
      </w:r>
      <w:hyperlink r:id="rId9" w:history="1">
        <w:r>
          <w:rPr>
            <w:rStyle w:val="Hipervnculo"/>
            <w:sz w:val="20"/>
            <w:szCs w:val="20"/>
            <w:lang w:val="es-GT"/>
          </w:rPr>
          <w:t xml:space="preserve">https://doi.org/10.18235/0003971</w:t>
        </w:r>
      </w:hyperlink>
    </w:p>
    <w:p>
      <w:pPr>
        <w:pBdr>
          <w:top w:val="single" w:sz="4" w:space="1" w:color="000000"/>
          <w:left w:val="single" w:sz="4" w:space="4" w:color="000000"/>
          <w:bottom w:val="single" w:sz="4" w:space="1" w:color="000000"/>
          <w:right w:val="single" w:sz="4" w:space="4" w:color="000000"/>
        </w:pBdr>
        <w:ind w:left="360" w:hanging="360"/>
        <w:rPr>
          <w:sz w:val="20"/>
          <w:szCs w:val="20"/>
          <w:lang w:val="es-GT"/>
        </w:rPr>
      </w:pPr>
      <w:r>
        <w:rPr>
          <w:sz w:val="20"/>
          <w:szCs w:val="20"/>
          <w:lang w:val="es-GT"/>
        </w:rPr>
        <w:t xml:space="preserve">De Anda-Trasviña, A., García-Galindo, E., Peña-Castañón, A., Seminario-Peña, J., y Nieto-Garibay, A. (2021). Residuos orgánicos: ¿basura o recurso? </w:t>
      </w:r>
      <w:r>
        <w:rPr>
          <w:i/>
          <w:iCs/>
          <w:sz w:val="20"/>
          <w:szCs w:val="20"/>
          <w:lang w:val="es-GT"/>
        </w:rPr>
        <w:t xml:space="preserve">Recursos Naturales y Sociedad, 7</w:t>
      </w:r>
      <w:r>
        <w:rPr>
          <w:sz w:val="20"/>
          <w:szCs w:val="20"/>
          <w:lang w:val="es-GT"/>
        </w:rPr>
        <w:t xml:space="preserve">(3), 19–42. </w:t>
      </w:r>
      <w:hyperlink r:id="rId19" w:history="1">
        <w:r>
          <w:rPr>
            <w:rStyle w:val="Hipervnculo"/>
            <w:sz w:val="20"/>
            <w:szCs w:val="20"/>
            <w:lang w:val="es-GT"/>
          </w:rPr>
          <w:t xml:space="preserve">https://doi.org/10.18846/renaysoc.2021.07.07.03.0004</w:t>
        </w:r>
      </w:hyperlink>
    </w:p>
    <w:p>
      <w:pPr>
        <w:pBdr>
          <w:top w:val="single" w:sz="4" w:space="1" w:color="000000"/>
          <w:left w:val="single" w:sz="4" w:space="4" w:color="000000"/>
          <w:bottom w:val="single" w:sz="4" w:space="1" w:color="000000"/>
          <w:right w:val="single" w:sz="4" w:space="4" w:color="000000"/>
        </w:pBdr>
        <w:ind w:left="360" w:hanging="360"/>
        <w:rPr>
          <w:sz w:val="20"/>
          <w:szCs w:val="20"/>
          <w:lang w:val="es-GT"/>
        </w:rPr>
      </w:pPr>
      <w:r>
        <w:rPr>
          <w:sz w:val="20"/>
          <w:szCs w:val="20"/>
          <w:lang w:val="es-GT"/>
        </w:rPr>
        <w:t xml:space="preserve">Garrido, G. J., Pettigiani, E., Silbert Voldman, V., Mazzeo, N., y Cruz, N. (2021). </w:t>
      </w:r>
      <w:r>
        <w:rPr>
          <w:i/>
          <w:iCs/>
          <w:sz w:val="20"/>
          <w:szCs w:val="20"/>
          <w:lang w:val="es-GT"/>
        </w:rPr>
        <w:t xml:space="preserve">Guía para una gestión integral de residuos verdes municipales: Herramientas para planificar en el territorio</w:t>
      </w:r>
      <w:r>
        <w:rPr>
          <w:sz w:val="20"/>
          <w:szCs w:val="20"/>
          <w:lang w:val="es-GT"/>
        </w:rPr>
        <w:t xml:space="preserve">. Instituto Nacional de Tecnología Industrial. </w:t>
      </w:r>
      <w:hyperlink r:id="rId10" w:history="1">
        <w:r>
          <w:rPr>
            <w:rStyle w:val="Hipervnculo"/>
            <w:sz w:val="20"/>
            <w:szCs w:val="20"/>
            <w:lang w:val="es-GT"/>
          </w:rPr>
          <w:t xml:space="preserve">https://ledslac.org/wp-content/uploads/2021/07/cuadernillo-gestion-residuos-verdes_2021-1.pdf</w:t>
        </w:r>
      </w:hyperlink>
    </w:p>
    <w:p>
      <w:pPr>
        <w:pBdr>
          <w:top w:val="single" w:sz="4" w:space="1" w:color="000000"/>
          <w:left w:val="single" w:sz="4" w:space="4" w:color="000000"/>
          <w:bottom w:val="single" w:sz="4" w:space="1" w:color="000000"/>
          <w:right w:val="single" w:sz="4" w:space="4" w:color="000000"/>
        </w:pBdr>
        <w:ind w:left="360" w:hanging="360"/>
        <w:rPr>
          <w:sz w:val="20"/>
          <w:szCs w:val="20"/>
          <w:lang w:val="es-GT"/>
        </w:rPr>
      </w:pPr>
      <w:r>
        <w:rPr>
          <w:sz w:val="20"/>
          <w:szCs w:val="20"/>
          <w:lang w:val="es-GT"/>
        </w:rPr>
        <w:t xml:space="preserve">Ministerio de Energía y Minas, Instituto Nacional Forestal, Ministerio del Ambiente y los Recursos Naturales, y Ministerio Agropecuario y Forestal. (2011). </w:t>
      </w:r>
      <w:r>
        <w:rPr>
          <w:i/>
          <w:iCs/>
          <w:sz w:val="20"/>
          <w:szCs w:val="20"/>
          <w:lang w:val="es-GT"/>
        </w:rPr>
        <w:t xml:space="preserve">Estrategia Nacional de Leña y Carbón Vegetal de Nicaragua, 2011–2021</w:t>
      </w:r>
      <w:r>
        <w:rPr>
          <w:sz w:val="20"/>
          <w:szCs w:val="20"/>
          <w:lang w:val="es-GT"/>
        </w:rPr>
        <w:t xml:space="preserve">. Gobierno de Nicaragua. </w:t>
      </w:r>
      <w:hyperlink r:id="rId20" w:history="1">
        <w:r>
          <w:rPr>
            <w:rStyle w:val="Hipervnculo"/>
            <w:sz w:val="20"/>
            <w:szCs w:val="20"/>
            <w:lang w:val="es-GT"/>
          </w:rPr>
          <w:t xml:space="preserve">https://marena.gob.ni/Enderedd/wp-content/uploads/Docs/Documentos%20Tecnicos/estrategia_lena_carbon%20en%20Nicaragua.pdf</w:t>
        </w:r>
      </w:hyperlink>
    </w:p>
    <w:p>
      <w:pPr>
        <w:pBdr>
          <w:top w:val="single" w:sz="4" w:space="1" w:color="000000"/>
          <w:left w:val="single" w:sz="4" w:space="4" w:color="000000"/>
          <w:bottom w:val="single" w:sz="4" w:space="1" w:color="000000"/>
          <w:right w:val="single" w:sz="4" w:space="4" w:color="000000"/>
        </w:pBdr>
        <w:ind w:left="360" w:hanging="360"/>
        <w:rPr>
          <w:sz w:val="20"/>
          <w:szCs w:val="20"/>
          <w:lang w:val="es-GT"/>
        </w:rPr>
      </w:pPr>
      <w:r>
        <w:rPr>
          <w:sz w:val="20"/>
          <w:szCs w:val="20"/>
          <w:lang w:val="es-GT"/>
        </w:rPr>
        <w:t xml:space="preserve">Proyecto Hormiga. (s. f.). </w:t>
      </w:r>
      <w:r>
        <w:rPr>
          <w:i/>
          <w:iCs/>
          <w:sz w:val="20"/>
          <w:szCs w:val="20"/>
          <w:lang w:val="es-GT"/>
        </w:rPr>
        <w:t xml:space="preserve">Valorización de residuos de poda urbana y biomasa vegetal</w:t>
      </w:r>
      <w:r>
        <w:rPr>
          <w:sz w:val="20"/>
          <w:szCs w:val="20"/>
          <w:lang w:val="es-GT"/>
        </w:rPr>
        <w:t xml:space="preserve">. </w:t>
      </w:r>
      <w:hyperlink r:id="rId12" w:history="1">
        <w:r>
          <w:rPr>
            <w:rStyle w:val="Hipervnculo"/>
            <w:sz w:val="20"/>
            <w:szCs w:val="20"/>
            <w:lang w:val="es-GT"/>
          </w:rPr>
          <w:t xml:space="preserve">https://www.proyectohormiga.com.ar/valorizacion-residuos-poda</w:t>
        </w:r>
      </w:hyperlink>
    </w:p>
    <w:p>
      <w:pPr>
        <w:pBdr>
          <w:top w:val="single" w:sz="4" w:space="1" w:color="000000"/>
          <w:left w:val="single" w:sz="4" w:space="4" w:color="000000"/>
          <w:bottom w:val="single" w:sz="4" w:space="1" w:color="000000"/>
          <w:right w:val="single" w:sz="4" w:space="4" w:color="000000"/>
        </w:pBdr>
        <w:ind w:left="360" w:hanging="360"/>
        <w:rPr>
          <w:sz w:val="20"/>
          <w:szCs w:val="20"/>
          <w:lang w:val="es-GT"/>
        </w:rPr>
      </w:pPr>
      <w:r>
        <w:rPr>
          <w:sz w:val="20"/>
          <w:szCs w:val="20"/>
          <w:lang w:val="es-GT"/>
        </w:rPr>
        <w:t xml:space="preserve">Silbert Voldman, V., Ringuelet, A., Herrera Bolzón, A. H., y Gaona Flores, M. A. (2025). </w:t>
      </w:r>
      <w:r>
        <w:rPr>
          <w:i/>
          <w:iCs/>
          <w:sz w:val="20"/>
          <w:szCs w:val="20"/>
          <w:lang w:val="es-GT"/>
        </w:rPr>
        <w:t xml:space="preserve">Guía técnica para el diseño de plantas de compostaje de poda urbana</w:t>
      </w:r>
      <w:r>
        <w:rPr>
          <w:sz w:val="20"/>
          <w:szCs w:val="20"/>
          <w:lang w:val="es-GT"/>
        </w:rPr>
        <w:t xml:space="preserve">. Instituto Nacional de Tecnología Industrial. </w:t>
      </w:r>
      <w:hyperlink r:id="rId21" w:history="1">
        <w:r>
          <w:rPr>
            <w:rStyle w:val="Hipervnculo"/>
            <w:sz w:val="20"/>
            <w:szCs w:val="20"/>
            <w:lang w:val="es-GT"/>
          </w:rPr>
          <w:t xml:space="preserve">https://www.argentina.gob.ar/inta/ciap/guia-tecnica-para-el-diseno-de-plantas-de-compostaje-de-poda-urbana</w:t>
        </w:r>
      </w:hyperlink>
    </w:p>
    <w:p w14:paraId="4A21213F" w14:textId="77777777" w:rsidR="00E72C14" w:rsidRPr="00E72C14" w:rsidRDefault="00E72C14" w:rsidP="00E72C14">
      <w:pPr>
        <w:pBdr>
          <w:top w:val="single" w:sz="4" w:space="1" w:color="000000"/>
          <w:left w:val="single" w:sz="4" w:space="4" w:color="000000"/>
          <w:bottom w:val="single" w:sz="4" w:space="1" w:color="000000"/>
          <w:right w:val="single" w:sz="4" w:space="4" w:color="000000"/>
        </w:pBdr>
        <w:ind w:left="360" w:hanging="360"/>
        <w:rPr>
          <w:sz w:val="20"/>
          <w:szCs w:val="20"/>
          <w:lang w:val="es-GT"/>
        </w:rPr>
      </w:pPr>
      <w:proofErr w:type="gramStart"/>
      <w:r w:rsidRPr="00E72C14">
        <w:rPr>
          <w:b/>
          <w:bCs/>
          <w:sz w:val="20"/>
          <w:szCs w:val="20"/>
          <w:lang w:val="es-GT"/>
        </w:rPr>
        <w:t>Herramientas de inteligencia artificial y software</w:t>
      </w:r>
      <w:proofErr w:type="gramEnd"/>
    </w:p>
    <w:p>
      <w:pPr>
        <w:pBdr>
          <w:top w:val="single" w:sz="4" w:space="1" w:color="000000"/>
          <w:left w:val="single" w:sz="4" w:space="4" w:color="000000"/>
          <w:bottom w:val="single" w:sz="4" w:space="1" w:color="000000"/>
          <w:right w:val="single" w:sz="4" w:space="4" w:color="000000"/>
        </w:pBdr>
        <w:ind w:left="360" w:hanging="360"/>
        <w:rPr>
          <w:sz w:val="20"/>
          <w:szCs w:val="20"/>
          <w:lang w:val="es-GT"/>
        </w:rPr>
      </w:pPr>
      <w:r>
        <w:rPr>
          <w:sz w:val="20"/>
          <w:szCs w:val="20"/>
          <w:lang w:val="es-GT"/>
        </w:rPr>
        <w:t xml:space="preserve">Anthropic. (2026). </w:t>
      </w:r>
      <w:r>
        <w:rPr>
          <w:i/>
          <w:iCs/>
          <w:sz w:val="20"/>
          <w:szCs w:val="20"/>
          <w:lang w:val="es-GT"/>
        </w:rPr>
        <w:t xml:space="preserve">Claude (versión Opus 5.5)</w:t>
      </w:r>
      <w:r>
        <w:rPr>
          <w:sz w:val="20"/>
          <w:szCs w:val="20"/>
          <w:lang w:val="es-GT"/>
        </w:rPr>
        <w:t xml:space="preserve"> [Modelo de lenguaje de gran tamaño]. </w:t>
      </w:r>
      <w:hyperlink r:id="rId13" w:history="1">
        <w:r>
          <w:rPr>
            <w:rStyle w:val="Hipervnculo"/>
            <w:sz w:val="20"/>
            <w:szCs w:val="20"/>
            <w:lang w:val="es-GT"/>
          </w:rPr>
          <w:t xml:space="preserve">https://claude.ai</w:t>
        </w:r>
      </w:hyperlink>
      <w:r>
        <w:rPr>
          <w:sz w:val="20"/>
          <w:szCs w:val="20"/>
          <w:lang w:val="es-GT"/>
        </w:rPr>
        <w:t xml:space="preserve">. Asistente de IA usado el 16 y 17/10/2026 para buscar páginas y documentos de referencia, que el equipo filtró y revisó, y para el código base de la maqueta web, que el equipo revisó y editó.</w:t>
      </w:r>
    </w:p>
    <w:p>
      <w:pPr>
        <w:pBdr>
          <w:top w:val="single" w:sz="4" w:space="1" w:color="000000"/>
          <w:left w:val="single" w:sz="4" w:space="4" w:color="000000"/>
          <w:bottom w:val="single" w:sz="4" w:space="1" w:color="000000"/>
          <w:right w:val="single" w:sz="4" w:space="4" w:color="000000"/>
        </w:pBdr>
        <w:ind w:left="360" w:hanging="360"/>
        <w:rPr>
          <w:sz w:val="20"/>
          <w:szCs w:val="20"/>
          <w:lang w:val="es-GT"/>
        </w:rPr>
      </w:pPr>
      <w:r>
        <w:rPr>
          <w:sz w:val="20"/>
          <w:szCs w:val="20"/>
          <w:lang w:val="es-GT"/>
        </w:rPr>
        <w:t xml:space="preserve">Blender Foundation. (2025). </w:t>
      </w:r>
      <w:r>
        <w:rPr>
          <w:i/>
          <w:iCs/>
          <w:sz w:val="20"/>
          <w:szCs w:val="20"/>
          <w:lang w:val="es-GT"/>
        </w:rPr>
        <w:t xml:space="preserve">Blender (versión 4.5.3 LTS)</w:t>
      </w:r>
      <w:r>
        <w:rPr>
          <w:sz w:val="20"/>
          <w:szCs w:val="20"/>
          <w:lang w:val="es-GT"/>
        </w:rPr>
        <w:t xml:space="preserve"> [Software de modelado y animación 3D]. </w:t>
      </w:r>
      <w:hyperlink r:id="rId22" w:history="1">
        <w:r>
          <w:rPr>
            <w:rStyle w:val="Hipervnculo"/>
            <w:sz w:val="20"/>
            <w:szCs w:val="20"/>
            <w:lang w:val="es-GT"/>
          </w:rPr>
          <w:t xml:space="preserve">https://www.blender.org/releases/4-5/</w:t>
        </w:r>
      </w:hyperlink>
      <w:r>
        <w:rPr>
          <w:sz w:val="20"/>
          <w:szCs w:val="20"/>
          <w:lang w:val="es-GT"/>
        </w:rPr>
        <w:t xml:space="preserve">. Software usado para generar y renderizar el modelo 3D conceptual.</w:t>
      </w:r>
    </w:p>
    <w:p>
      <w:pPr>
        <w:pBdr>
          <w:top w:val="single" w:sz="4" w:space="1" w:color="000000"/>
          <w:left w:val="single" w:sz="4" w:space="4" w:color="000000"/>
          <w:bottom w:val="single" w:sz="4" w:space="1" w:color="000000"/>
          <w:right w:val="single" w:sz="4" w:space="4" w:color="000000"/>
        </w:pBdr>
        <w:ind w:left="360" w:hanging="360"/>
        <w:rPr>
          <w:sz w:val="20"/>
          <w:szCs w:val="20"/>
          <w:lang w:val="es-GT"/>
        </w:rPr>
      </w:pPr>
      <w:r>
        <w:rPr>
          <w:sz w:val="20"/>
          <w:szCs w:val="20"/>
          <w:lang w:val="es-GT"/>
        </w:rPr>
        <w:t xml:space="preserve">Google. (2026). </w:t>
      </w:r>
      <w:r>
        <w:rPr>
          <w:i/>
          <w:iCs/>
          <w:sz w:val="20"/>
          <w:szCs w:val="20"/>
          <w:lang w:val="es-GT"/>
        </w:rPr>
        <w:t xml:space="preserve">Gemini (versión 3.8 Flash)</w:t>
      </w:r>
      <w:r>
        <w:rPr>
          <w:sz w:val="20"/>
          <w:szCs w:val="20"/>
          <w:lang w:val="es-GT"/>
        </w:rPr>
        <w:t xml:space="preserve"> [Modelo de lenguaje de gran tamaño]. </w:t>
      </w:r>
      <w:hyperlink r:id="rId15" w:history="1">
        <w:r>
          <w:rPr>
            <w:rStyle w:val="Hipervnculo"/>
            <w:sz w:val="20"/>
            <w:szCs w:val="20"/>
            <w:lang w:val="es-GT"/>
          </w:rPr>
          <w:t xml:space="preserve">https://gemini.google.com</w:t>
        </w:r>
      </w:hyperlink>
      <w:r>
        <w:rPr>
          <w:sz w:val="20"/>
          <w:szCs w:val="20"/>
          <w:lang w:val="es-GT"/>
        </w:rPr>
        <w:t xml:space="preserve">. Asistente de IA usado el 16 y 17/10/2026 para elaborar un listado aproximado de inversión, base de una cotización aproximada; buscar páginas y documentos de referencia, que el equipo filtró; y comparar propuestas.</w:t>
      </w:r>
    </w:p>
    <w:p>
      <w:pPr>
        <w:pBdr>
          <w:top w:val="single" w:sz="4" w:space="1" w:color="000000"/>
          <w:left w:val="single" w:sz="4" w:space="4" w:color="000000"/>
          <w:bottom w:val="single" w:sz="4" w:space="1" w:color="000000"/>
          <w:right w:val="single" w:sz="4" w:space="4" w:color="000000"/>
        </w:pBdr>
        <w:ind w:left="360" w:hanging="360"/>
        <w:rPr>
          <w:sz w:val="20"/>
          <w:szCs w:val="20"/>
          <w:lang w:val="es-GT"/>
        </w:rPr>
      </w:pPr>
      <w:r>
        <w:rPr>
          <w:sz w:val="20"/>
          <w:szCs w:val="20"/>
          <w:lang w:val="es-GT"/>
        </w:rPr>
        <w:t xml:space="preserve">OpenAI. (2025). </w:t>
      </w:r>
      <w:r>
        <w:rPr>
          <w:i/>
          <w:iCs/>
          <w:sz w:val="20"/>
          <w:szCs w:val="20"/>
          <w:lang w:val="es-GT"/>
        </w:rPr>
        <w:t xml:space="preserve">ChatGPT (versión GPT-4o mini)</w:t>
      </w:r>
      <w:r>
        <w:rPr>
          <w:sz w:val="20"/>
          <w:szCs w:val="20"/>
          <w:lang w:val="es-GT"/>
        </w:rPr>
        <w:t xml:space="preserve"> [Modelo de lenguaje de gran tamaño]. </w:t>
      </w:r>
      <w:hyperlink r:id="rId14" w:history="1">
        <w:r>
          <w:rPr>
            <w:rStyle w:val="Hipervnculo"/>
            <w:sz w:val="20"/>
            <w:szCs w:val="20"/>
            <w:lang w:val="es-GT"/>
          </w:rPr>
          <w:t xml:space="preserve">https://openai.com/</w:t>
        </w:r>
      </w:hyperlink>
      <w:r>
        <w:rPr>
          <w:sz w:val="20"/>
          <w:szCs w:val="20"/>
          <w:lang w:val="es-GT"/>
        </w:rPr>
        <w:t xml:space="preserve">. Asistente de IA usado el 16 y 17/10/2026 para elaborar una matriz de comparación y selección entre listados de inversión.</w:t>
      </w:r>
    </w:p>
    <w:p>
      <w:pPr>
        <w:pBdr>
          <w:top w:val="single" w:sz="4" w:space="1" w:color="000000"/>
          <w:left w:val="single" w:sz="4" w:space="4" w:color="000000"/>
          <w:bottom w:val="single" w:sz="4" w:space="1" w:color="000000"/>
          <w:right w:val="single" w:sz="4" w:space="4" w:color="000000"/>
        </w:pBdr>
        <w:ind w:left="360" w:hanging="360"/>
        <w:rPr>
          <w:sz w:val="20"/>
          <w:szCs w:val="20"/>
          <w:lang w:val="es-GT"/>
        </w:rPr>
      </w:pPr>
      <w:r>
        <w:rPr>
          <w:sz w:val="20"/>
          <w:szCs w:val="20"/>
          <w:lang w:val="es-GT"/>
        </w:rPr>
        <w:t xml:space="preserve">OpenAI. (2026). </w:t>
      </w:r>
      <w:r>
        <w:rPr>
          <w:i/>
          <w:iCs/>
          <w:sz w:val="20"/>
          <w:szCs w:val="20"/>
          <w:lang w:val="es-GT"/>
        </w:rPr>
        <w:t xml:space="preserve">Codex</w:t>
      </w:r>
      <w:r>
        <w:rPr>
          <w:sz w:val="20"/>
          <w:szCs w:val="20"/>
          <w:lang w:val="es-GT"/>
        </w:rPr>
        <w:t xml:space="preserve"> [Asistente de inteligencia artificial]. </w:t>
      </w:r>
      <w:hyperlink r:id="rId23" w:history="1">
        <w:r>
          <w:rPr>
            <w:rStyle w:val="Hipervnculo"/>
            <w:sz w:val="20"/>
            <w:szCs w:val="20"/>
            <w:lang w:val="es-GT"/>
          </w:rPr>
          <w:t xml:space="preserve">https://openai.com/codex/</w:t>
        </w:r>
      </w:hyperlink>
      <w:r>
        <w:rPr>
          <w:sz w:val="20"/>
          <w:szCs w:val="20"/>
          <w:lang w:val="es-GT"/>
        </w:rPr>
        <w:t xml:space="preserve">. Asistente de IA usado el 16 y 17/10/2026 para revisar textos, citas y cálculos documentados, editar la maqueta web, generar el modelo 3D conceptual mediante código en Blender y producir videos demostrativos; el equipo revisó los resultados.</w:t>
      </w:r>
    </w:p>
    <w:p w14:paraId="7DB0CA11" w14:textId="77777777" w:rsidR="003808DF" w:rsidRDefault="003808DF"/>
    <w:p w14:paraId="0244DE93" w14:textId="77777777" w:rsidR="003808DF" w:rsidRDefault="003808DF"/>
    <w:sectPr w:rsidR="003808DF">
      <w:headerReference w:type="default" r:id="rId16"/>
      <w:pgSz w:w="11906" w:h="16838"/>
      <w:pgMar w:top="1843" w:right="1701" w:bottom="1418"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0AAA114" w14:textId="77777777" w:rsidR="000F184B" w:rsidRDefault="000F184B">
      <w:pPr>
        <w:spacing w:after="0" w:line="240" w:lineRule="auto"/>
      </w:pPr>
      <w:r>
        <w:separator/>
      </w:r>
    </w:p>
  </w:endnote>
  <w:endnote w:type="continuationSeparator" w:id="0">
    <w:p w14:paraId="29A4470C" w14:textId="77777777" w:rsidR="000F184B" w:rsidRDefault="000F184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embedRegular r:id="rId1" w:fontKey="{BAE45026-6087-48D4-BD26-1E31378DD7E8}"/>
    <w:embedBold r:id="rId2" w:fontKey="{9BEF0487-C88B-49AD-A1E3-D304191FDFB1}"/>
    <w:embedItalic r:id="rId3" w:fontKey="{14DAC53E-F51E-421B-8062-605DF77FCE2A}"/>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Regular r:id="rId4" w:fontKey="{0056B53E-62F5-49C1-A891-FC4708F51A85}"/>
    <w:embedItalic r:id="rId5" w:fontKey="{617192D6-73BA-4429-BF81-4279C6778139}"/>
  </w:font>
  <w:font w:name="Calibri Light">
    <w:panose1 w:val="020F0302020204030204"/>
    <w:charset w:val="00"/>
    <w:family w:val="swiss"/>
    <w:pitch w:val="variable"/>
    <w:sig w:usb0="E4002EFF" w:usb1="C200247B" w:usb2="00000009" w:usb3="00000000" w:csb0="000001FF" w:csb1="00000000"/>
    <w:embedRegular r:id="rId6" w:fontKey="{729A2C75-2D49-4452-BE83-026B6383B44F}"/>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083A0FF" w14:textId="77777777" w:rsidR="000F184B" w:rsidRDefault="000F184B">
      <w:pPr>
        <w:spacing w:after="0" w:line="240" w:lineRule="auto"/>
      </w:pPr>
      <w:r>
        <w:separator/>
      </w:r>
    </w:p>
  </w:footnote>
  <w:footnote w:type="continuationSeparator" w:id="0">
    <w:p w14:paraId="24CF7224" w14:textId="77777777" w:rsidR="000F184B" w:rsidRDefault="000F184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F43925" w14:textId="77777777" w:rsidR="003808DF" w:rsidRDefault="00062676">
    <w:pPr>
      <w:pBdr>
        <w:top w:val="nil"/>
        <w:left w:val="nil"/>
        <w:bottom w:val="nil"/>
        <w:right w:val="nil"/>
        <w:between w:val="nil"/>
      </w:pBdr>
      <w:tabs>
        <w:tab w:val="center" w:pos="4419"/>
        <w:tab w:val="right" w:pos="8838"/>
      </w:tabs>
      <w:spacing w:after="0" w:line="240" w:lineRule="auto"/>
      <w:rPr>
        <w:color w:val="000000"/>
      </w:rPr>
    </w:pPr>
    <w:r>
      <w:rPr>
        <w:noProof/>
      </w:rPr>
      <w:drawing>
        <wp:anchor distT="0" distB="0" distL="0" distR="0" simplePos="0" relativeHeight="251658240" behindDoc="1" locked="0" layoutInCell="1" hidden="0" allowOverlap="1" wp14:anchorId="5CBA0141" wp14:editId="66CF00AA">
          <wp:simplePos x="0" y="0"/>
          <wp:positionH relativeFrom="column">
            <wp:posOffset>-1080134</wp:posOffset>
          </wp:positionH>
          <wp:positionV relativeFrom="paragraph">
            <wp:posOffset>-450214</wp:posOffset>
          </wp:positionV>
          <wp:extent cx="7551792" cy="10680316"/>
          <wp:effectExtent l="0" t="0" r="0" b="0"/>
          <wp:wrapNone/>
          <wp:docPr id="2115448970" name="image1.png" descr="Imagen que contiene Interfaz de usuario gráfic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1.png" descr="Imagen que contiene Interfaz de usuario gráfica&#10;&#10;El contenido generado por IA puede ser incorrecto."/>
                  <pic:cNvPicPr preferRelativeResize="0"/>
                </pic:nvPicPr>
                <pic:blipFill>
                  <a:blip r:embed="rId1"/>
                  <a:srcRect/>
                  <a:stretch>
                    <a:fillRect/>
                  </a:stretch>
                </pic:blipFill>
                <pic:spPr>
                  <a:xfrm>
                    <a:off x="0" y="0"/>
                    <a:ext cx="7551792" cy="10680316"/>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AE4C84"/>
    <w:multiLevelType w:val="multilevel"/>
    <w:tmpl w:val="67D6FA7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9"/>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808DF"/>
    <w:rsid w:val="00001178"/>
    <w:rsid w:val="00062676"/>
    <w:rsid w:val="000F184B"/>
    <w:rsid w:val="00127962"/>
    <w:rsid w:val="001F6D2B"/>
    <w:rsid w:val="00303E1F"/>
    <w:rsid w:val="003808DF"/>
    <w:rsid w:val="004760D5"/>
    <w:rsid w:val="005D0684"/>
    <w:rsid w:val="0067656A"/>
    <w:rsid w:val="009900C8"/>
    <w:rsid w:val="00B02D25"/>
    <w:rsid w:val="00B62665"/>
    <w:rsid w:val="00E72C14"/>
  </w:rsids>
  <m:mathPr>
    <m:mathFont m:val="Cambria Math"/>
    <m:brkBin m:val="before"/>
    <m:brkBinSub m:val="--"/>
    <m:smallFrac m:val="0"/>
    <m:dispDef/>
    <m:lMargin m:val="0"/>
    <m:rMargin m:val="0"/>
    <m:defJc m:val="centerGroup"/>
    <m:wrapIndent m:val="1440"/>
    <m:intLim m:val="subSup"/>
    <m:naryLim m:val="undOvr"/>
  </m:mathPr>
  <w:themeFontLang w:val="es-G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2D8C22"/>
  <w15:docId w15:val="{DB786B42-3236-4ED8-987E-FC30EDDF87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s-MX" w:eastAsia="es-GT"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bCs/>
      <w:sz w:val="48"/>
      <w:szCs w:val="48"/>
    </w:rPr>
  </w:style>
  <w:style w:type="paragraph" w:styleId="Ttulo2">
    <w:name w:val="heading 2"/>
    <w:basedOn w:val="Normal"/>
    <w:next w:val="Normal"/>
    <w:uiPriority w:val="9"/>
    <w:semiHidden/>
    <w:unhideWhenUsed/>
    <w:qFormat/>
    <w:pPr>
      <w:keepNext/>
      <w:keepLines/>
      <w:spacing w:before="360" w:after="80"/>
      <w:outlineLvl w:val="1"/>
    </w:pPr>
    <w:rPr>
      <w:b/>
      <w:bCs/>
      <w:sz w:val="36"/>
      <w:szCs w:val="36"/>
    </w:rPr>
  </w:style>
  <w:style w:type="paragraph" w:styleId="Ttulo3">
    <w:name w:val="heading 3"/>
    <w:basedOn w:val="Normal"/>
    <w:next w:val="Normal"/>
    <w:uiPriority w:val="9"/>
    <w:semiHidden/>
    <w:unhideWhenUsed/>
    <w:qFormat/>
    <w:pPr>
      <w:keepNext/>
      <w:keepLines/>
      <w:spacing w:before="280" w:after="80"/>
      <w:outlineLvl w:val="2"/>
    </w:pPr>
    <w:rPr>
      <w:b/>
      <w:bCs/>
      <w:sz w:val="28"/>
      <w:szCs w:val="28"/>
    </w:rPr>
  </w:style>
  <w:style w:type="paragraph" w:styleId="Ttulo4">
    <w:name w:val="heading 4"/>
    <w:basedOn w:val="Normal"/>
    <w:next w:val="Normal"/>
    <w:uiPriority w:val="9"/>
    <w:semiHidden/>
    <w:unhideWhenUsed/>
    <w:qFormat/>
    <w:pPr>
      <w:keepNext/>
      <w:keepLines/>
      <w:spacing w:before="240" w:after="40"/>
      <w:outlineLvl w:val="3"/>
    </w:pPr>
    <w:rPr>
      <w:b/>
      <w:bCs/>
      <w:sz w:val="24"/>
      <w:szCs w:val="24"/>
    </w:rPr>
  </w:style>
  <w:style w:type="paragraph" w:styleId="Ttulo5">
    <w:name w:val="heading 5"/>
    <w:basedOn w:val="Normal"/>
    <w:next w:val="Normal"/>
    <w:uiPriority w:val="9"/>
    <w:semiHidden/>
    <w:unhideWhenUsed/>
    <w:qFormat/>
    <w:pPr>
      <w:keepNext/>
      <w:keepLines/>
      <w:spacing w:before="220" w:after="40"/>
      <w:outlineLvl w:val="4"/>
    </w:pPr>
    <w:rPr>
      <w:b/>
      <w:bCs/>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paragraph" w:styleId="Prrafodelista">
    <w:name w:val="List Paragraph"/>
    <w:basedOn w:val="Normal"/>
    <w:uiPriority w:val="34"/>
    <w:qFormat/>
    <w:rsid w:val="00F6780D"/>
    <w:pPr>
      <w:ind w:left="720"/>
      <w:contextualSpacing/>
    </w:pPr>
    <w:rPr>
      <w:rFonts w:ascii="Georgia" w:hAnsi="Georgia"/>
      <w:lang w:val="es-AR"/>
    </w:rPr>
  </w:style>
  <w:style w:type="paragraph" w:styleId="Encabezado">
    <w:name w:val="header"/>
    <w:basedOn w:val="Normal"/>
    <w:link w:val="EncabezadoCar"/>
    <w:uiPriority w:val="99"/>
    <w:unhideWhenUsed/>
    <w:rsid w:val="00F6780D"/>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F6780D"/>
  </w:style>
  <w:style w:type="paragraph" w:styleId="Piedepgina">
    <w:name w:val="footer"/>
    <w:basedOn w:val="Normal"/>
    <w:link w:val="PiedepginaCar"/>
    <w:uiPriority w:val="99"/>
    <w:unhideWhenUsed/>
    <w:rsid w:val="00F6780D"/>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F6780D"/>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character" w:styleId="Hipervnculo">
    <w:name w:val="Hyperlink"/>
    <w:basedOn w:val="Fuentedeprrafopredeter"/>
    <w:uiPriority w:val="99"/>
    <w:unhideWhenUsed/>
    <w:rsid w:val="004760D5"/>
    <w:rPr>
      <w:color w:val="0563C1" w:themeColor="hyperlink"/>
      <w:u w:val="single"/>
    </w:rPr>
  </w:style>
  <w:style w:type="character" w:styleId="Mencinsinresolver">
    <w:name w:val="Unresolved Mention"/>
    <w:basedOn w:val="Fuentedeprrafopredeter"/>
    <w:uiPriority w:val="99"/>
    <w:semiHidden/>
    <w:unhideWhenUsed/>
    <w:rsid w:val="004760D5"/>
    <w:rPr>
      <w:color w:val="605E5C"/>
      <w:shd w:val="clear" w:color="auto" w:fill="E1DFDD"/>
    </w:rPr>
  </w:style>
  <w:style w:type="character" w:styleId="Hipervnculovisitado">
    <w:name w:val="FollowedHyperlink"/>
    <w:basedOn w:val="Fuentedeprrafopredeter"/>
    <w:uiPriority w:val="99"/>
    <w:semiHidden/>
    <w:unhideWhenUsed/>
    <w:rsid w:val="00127962"/>
    <w:rPr>
      <w:color w:val="954F72" w:themeColor="followedHyperlink"/>
      <w:u w:val="single"/>
    </w:rPr>
  </w:style>
  <w:style w:type="paragraph" w:styleId="NormalWeb">
    <w:name w:val="Normal (Web)"/>
    <w:basedOn w:val="Normal"/>
    <w:uiPriority w:val="99"/>
    <w:semiHidden/>
    <w:unhideWhenUsed/>
    <w:rsid w:val="00E72C14"/>
    <w:pPr>
      <w:spacing w:before="100" w:beforeAutospacing="1" w:after="100" w:afterAutospacing="1" w:line="240" w:lineRule="auto"/>
    </w:pPr>
    <w:rPr>
      <w:rFonts w:ascii="Times New Roman" w:eastAsia="Times New Roman" w:hAnsi="Times New Roman" w:cs="Times New Roman"/>
      <w:sz w:val="24"/>
      <w:szCs w:val="24"/>
      <w:lang w:val="es-G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96228983">
      <w:bodyDiv w:val="1"/>
      <w:marLeft w:val="0"/>
      <w:marRight w:val="0"/>
      <w:marTop w:val="0"/>
      <w:marBottom w:val="0"/>
      <w:divBdr>
        <w:top w:val="none" w:sz="0" w:space="0" w:color="auto"/>
        <w:left w:val="none" w:sz="0" w:space="0" w:color="auto"/>
        <w:bottom w:val="none" w:sz="0" w:space="0" w:color="auto"/>
        <w:right w:val="none" w:sz="0" w:space="0" w:color="auto"/>
      </w:divBdr>
    </w:div>
    <w:div w:id="1786077899">
      <w:bodyDiv w:val="1"/>
      <w:marLeft w:val="0"/>
      <w:marRight w:val="0"/>
      <w:marTop w:val="0"/>
      <w:marBottom w:val="0"/>
      <w:divBdr>
        <w:top w:val="none" w:sz="0" w:space="0" w:color="auto"/>
        <w:left w:val="none" w:sz="0" w:space="0" w:color="auto"/>
        <w:bottom w:val="none" w:sz="0" w:space="0" w:color="auto"/>
        <w:right w:val="none" w:sz="0" w:space="0" w:color="auto"/>
      </w:divBdr>
    </w:div>
    <w:div w:id="1796368395">
      <w:bodyDiv w:val="1"/>
      <w:marLeft w:val="0"/>
      <w:marRight w:val="0"/>
      <w:marTop w:val="0"/>
      <w:marBottom w:val="0"/>
      <w:divBdr>
        <w:top w:val="none" w:sz="0" w:space="0" w:color="auto"/>
        <w:left w:val="none" w:sz="0" w:space="0" w:color="auto"/>
        <w:bottom w:val="none" w:sz="0" w:space="0" w:color="auto"/>
        <w:right w:val="none" w:sz="0" w:space="0" w:color="auto"/>
      </w:divBdr>
    </w:div>
    <w:div w:id="1838156649">
      <w:bodyDiv w:val="1"/>
      <w:marLeft w:val="0"/>
      <w:marRight w:val="0"/>
      <w:marTop w:val="0"/>
      <w:marBottom w:val="0"/>
      <w:divBdr>
        <w:top w:val="none" w:sz="0" w:space="0" w:color="auto"/>
        <w:left w:val="none" w:sz="0" w:space="0" w:color="auto"/>
        <w:bottom w:val="none" w:sz="0" w:space="0" w:color="auto"/>
        <w:right w:val="none" w:sz="0" w:space="0" w:color="auto"/>
      </w:divBdr>
    </w:div>
    <w:div w:id="192533349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circle-economy.com/knowledge-hub/article/7031" TargetMode="External"/><Relationship Id="rId13" Type="http://schemas.openxmlformats.org/officeDocument/2006/relationships/hyperlink" Target="https://claude.ai"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proyectohormiga.com.ar/valorizacion-residuos-poda"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cibnor.gob.mx/revista-rns/pdfs/vol1num3EE/3_RESIDUOS.pdf" TargetMode="External"/><Relationship Id="rId5" Type="http://schemas.openxmlformats.org/officeDocument/2006/relationships/webSettings" Target="webSettings.xml"/><Relationship Id="rId15" Type="http://schemas.openxmlformats.org/officeDocument/2006/relationships/hyperlink" Target="https://gemini.google.com" TargetMode="External"/><Relationship Id="rId10" Type="http://schemas.openxmlformats.org/officeDocument/2006/relationships/hyperlink" Target="https://ledslac.org/wp-content/uploads/2021/07/cuadernillo-gestion-residuos-verdes_2021-1.pdf" TargetMode="External"/><Relationship Id="rId4" Type="http://schemas.openxmlformats.org/officeDocument/2006/relationships/settings" Target="settings.xml"/><Relationship Id="rId9" Type="http://schemas.openxmlformats.org/officeDocument/2006/relationships/hyperlink" Target="https://doi.org/10.18235/0003971" TargetMode="External"/><Relationship Id="rId14" Type="http://schemas.openxmlformats.org/officeDocument/2006/relationships/hyperlink" Target="https://openai.com/" TargetMode="External"/><Relationship Id="rId19" Type="http://schemas.openxmlformats.org/officeDocument/2006/relationships/hyperlink" Target="https://doi.org/10.18846/renaysoc.2021.07.07.03.0004" TargetMode="External"/><Relationship Id="rId20" Type="http://schemas.openxmlformats.org/officeDocument/2006/relationships/hyperlink" Target="https://marena.gob.ni/Enderedd/wp-content/uploads/Docs/Documentos%20Tecnicos/estrategia_lena_carbon%20en%20Nicaragua.pdf" TargetMode="External"/><Relationship Id="rId21" Type="http://schemas.openxmlformats.org/officeDocument/2006/relationships/hyperlink" Target="https://www.argentina.gob.ar/inta/ciap/guia-tecnica-para-el-diseno-de-plantas-de-compostaje-de-poda-urbana" TargetMode="External"/><Relationship Id="rId22" Type="http://schemas.openxmlformats.org/officeDocument/2006/relationships/hyperlink" Target="https://www.blender.org/releases/4-5/" TargetMode="External"/><Relationship Id="rId23" Type="http://schemas.openxmlformats.org/officeDocument/2006/relationships/hyperlink" Target="https://openai.com/codex/"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BMCrvF3PQddrFNWtsvTfp4Ze2WA==">CgMxLjAyD2lkLjdlbWYwczRtcmM0MzIPaWQuazRmYzBnYjN0a3J3Mg9pZC5maDZzNmY4MjF6YTgyD2lkLjFobnllbW43cjg1YjIPaWQuZm0ydWptMzBvbHMyMg9pZC5qcjluaG42b2RtOXAyD2lkLjh2M2d2MDVqdzMxejIPaWQubHZqanppcG1zcnViMg9pZC5sdTBtcXQ5OTg1NDMyD2lkLml3bGtqaGplaW9lbDgAciExVjhIaHRrLXlWam44UEFMLVdzZ19Hdl9xU09vRHJUWnY=</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4</Pages>
  <Words>1739</Words>
  <Characters>9565</Characters>
  <Application>Microsoft Office Word</Application>
  <DocSecurity>0</DocSecurity>
  <Lines>79</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11282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Eduardo  Montalvo Mancilla</dc:creator>
  <cp:lastModifiedBy>andyy •</cp:lastModifiedBy>
  <cp:revision>2</cp:revision>
  <dcterms:created xsi:type="dcterms:W3CDTF">2026-10-17T14:54:00Z</dcterms:created>
  <dcterms:modified xsi:type="dcterms:W3CDTF">2026-10-17T14:54:00Z</dcterms:modified>
</cp:coreProperties>
</file>