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31F33" w14:textId="77777777" w:rsidR="003808DF" w:rsidRDefault="00062676">
      <w:pPr>
        <w:pBdr>
          <w:top w:val="nil"/>
          <w:left w:val="nil"/>
          <w:bottom w:val="nil"/>
          <w:right w:val="nil"/>
          <w:between w:val="nil"/>
        </w:pBdr>
        <w:tabs>
          <w:tab w:val="center" w:pos="4419"/>
          <w:tab w:val="right" w:pos="8838"/>
        </w:tabs>
        <w:spacing w:after="0" w:line="240" w:lineRule="auto"/>
        <w:jc w:val="center"/>
        <w:rPr>
          <w:b/>
          <w:bCs/>
          <w:color w:val="000000"/>
          <w:sz w:val="26"/>
          <w:szCs w:val="26"/>
        </w:rPr>
      </w:pPr>
      <w:r>
        <w:rPr>
          <w:b/>
          <w:bCs/>
          <w:color w:val="000000"/>
          <w:sz w:val="26"/>
          <w:szCs w:val="26"/>
        </w:rPr>
        <w:t>Reporte de pautado de resolución del desafío</w:t>
      </w:r>
    </w:p>
    <w:p w14:paraId="03A094B7" w14:textId="77777777" w:rsidR="003808DF" w:rsidRDefault="003808DF">
      <w:pPr>
        <w:pBdr>
          <w:top w:val="nil"/>
          <w:left w:val="nil"/>
          <w:bottom w:val="nil"/>
          <w:right w:val="nil"/>
          <w:between w:val="nil"/>
        </w:pBdr>
        <w:tabs>
          <w:tab w:val="center" w:pos="4419"/>
          <w:tab w:val="right" w:pos="8838"/>
        </w:tabs>
        <w:spacing w:after="0" w:line="240" w:lineRule="auto"/>
        <w:jc w:val="center"/>
        <w:rPr>
          <w:b/>
          <w:bCs/>
          <w:smallCaps/>
          <w:color w:val="000000"/>
          <w:sz w:val="20"/>
          <w:szCs w:val="20"/>
        </w:rPr>
      </w:pPr>
    </w:p>
    <w:p w14:paraId="4275D1E6" w14:textId="77777777" w:rsidR="003808DF" w:rsidRDefault="00062676">
      <w:pPr>
        <w:ind w:left="284"/>
        <w:jc w:val="both"/>
        <w:rPr>
          <w:b/>
          <w:bCs/>
          <w:smallCaps/>
          <w:sz w:val="20"/>
          <w:szCs w:val="20"/>
        </w:rPr>
      </w:pPr>
      <w:r>
        <w:rPr>
          <w:b/>
          <w:bCs/>
          <w:smallCaps/>
          <w:sz w:val="20"/>
          <w:szCs w:val="20"/>
        </w:rPr>
        <w:t xml:space="preserve">EQUIPO: </w:t>
      </w:r>
      <w:bookmarkStart w:id="0" w:name="bookmark=id.7emf0s4mrc43" w:colFirst="0" w:colLast="0"/>
      <w:bookmarkEnd w:id="0"/>
      <w:r>
        <w:rPr>
          <w:b/>
          <w:bCs/>
          <w:smallCaps/>
          <w:sz w:val="20"/>
          <w:szCs w:val="20"/>
        </w:rPr>
        <w:t>ACME</w:t>
      </w:r>
    </w:p>
    <w:p w14:paraId="3D023ED8" w14:textId="77777777" w:rsidR="003808DF" w:rsidRDefault="00062676">
      <w:pPr>
        <w:ind w:left="284"/>
        <w:jc w:val="both"/>
        <w:rPr>
          <w:b/>
          <w:bCs/>
          <w:smallCaps/>
          <w:sz w:val="20"/>
          <w:szCs w:val="20"/>
        </w:rPr>
      </w:pPr>
      <w:r>
        <w:rPr>
          <w:b/>
          <w:bCs/>
          <w:smallCaps/>
          <w:sz w:val="20"/>
          <w:szCs w:val="20"/>
        </w:rPr>
        <w:t xml:space="preserve">SEDE: </w:t>
      </w:r>
      <w:bookmarkStart w:id="1" w:name="bookmark=id.k4fc0gb3tkrw" w:colFirst="0" w:colLast="0"/>
      <w:bookmarkEnd w:id="1"/>
      <w:r>
        <w:rPr>
          <w:b/>
          <w:bCs/>
          <w:smallCaps/>
          <w:sz w:val="20"/>
          <w:szCs w:val="20"/>
        </w:rPr>
        <w:t>Universidad Tecnológica La Salle (ULSA), León, Nicaragua</w:t>
      </w:r>
    </w:p>
    <w:p w14:paraId="1A31B997" w14:textId="77777777" w:rsidR="003808DF" w:rsidRDefault="00062676">
      <w:pPr>
        <w:ind w:left="284"/>
        <w:jc w:val="both"/>
        <w:rPr>
          <w:b/>
          <w:bCs/>
          <w:sz w:val="20"/>
          <w:szCs w:val="20"/>
        </w:rPr>
      </w:pPr>
      <w:r>
        <w:rPr>
          <w:b/>
          <w:bCs/>
          <w:smallCaps/>
          <w:sz w:val="20"/>
          <w:szCs w:val="20"/>
        </w:rPr>
        <w:t>DESAFÍO SELECCIONADO</w:t>
      </w:r>
      <w:r>
        <w:rPr>
          <w:b/>
          <w:bCs/>
          <w:sz w:val="20"/>
          <w:szCs w:val="20"/>
        </w:rPr>
        <w:t xml:space="preserve">: </w:t>
      </w:r>
      <w:bookmarkStart w:id="2" w:name="bookmark=id.fh6s6f821za8" w:colFirst="0" w:colLast="0"/>
      <w:bookmarkEnd w:id="2"/>
      <w:r>
        <w:rPr>
          <w:b/>
          <w:bCs/>
          <w:sz w:val="20"/>
          <w:szCs w:val="20"/>
        </w:rPr>
        <w:t>04 - Manejo ecológico de residuos de poda y biomasa vegetal urbana</w:t>
      </w:r>
    </w:p>
    <w:p w14:paraId="00A99686" w14:textId="77777777" w:rsidR="003808DF" w:rsidRDefault="003808DF">
      <w:pPr>
        <w:pBdr>
          <w:top w:val="nil"/>
          <w:left w:val="nil"/>
          <w:bottom w:val="nil"/>
          <w:right w:val="nil"/>
          <w:between w:val="nil"/>
        </w:pBdr>
        <w:spacing w:after="0"/>
        <w:ind w:left="720"/>
        <w:jc w:val="both"/>
        <w:rPr>
          <w:color w:val="000000"/>
          <w:sz w:val="20"/>
          <w:szCs w:val="20"/>
        </w:rPr>
      </w:pPr>
    </w:p>
    <w:p w14:paraId="05003CCB" w14:textId="77777777" w:rsidR="003808DF" w:rsidRDefault="00062676">
      <w:pPr>
        <w:keepNext/>
        <w:numPr>
          <w:ilvl w:val="0"/>
          <w:numId w:val="1"/>
        </w:numPr>
        <w:pBdr>
          <w:top w:val="nil"/>
          <w:left w:val="nil"/>
          <w:bottom w:val="nil"/>
          <w:right w:val="nil"/>
          <w:between w:val="nil"/>
        </w:pBdr>
        <w:jc w:val="both"/>
        <w:rPr>
          <w:b/>
          <w:bCs/>
          <w:color w:val="000000"/>
          <w:sz w:val="20"/>
          <w:szCs w:val="20"/>
        </w:rPr>
      </w:pPr>
      <w:r>
        <w:rPr>
          <w:b/>
          <w:bCs/>
          <w:color w:val="000000"/>
          <w:sz w:val="20"/>
          <w:szCs w:val="20"/>
        </w:rPr>
        <w:t>DESCRIPCIÓN DE LA PROBLEMÁTICA (1250 caracteres)</w:t>
      </w:r>
    </w:p>
    <w:p w14:paraId="7528EE5E" w14:textId="77777777" w:rsidR="003808DF" w:rsidRDefault="00062676">
      <w:pPr>
        <w:keepNext/>
        <w:jc w:val="both"/>
        <w:rPr>
          <w:sz w:val="20"/>
          <w:szCs w:val="20"/>
        </w:rPr>
      </w:pPr>
      <w:r>
        <w:rPr>
          <w:sz w:val="20"/>
          <w:szCs w:val="20"/>
        </w:rPr>
        <w:t xml:space="preserve">Describa brevemente la problemática elegida. ¿Cuáles pueden ser las principales causas? ¿Cuál es el verdadero problema a resolver? </w:t>
      </w:r>
    </w:p>
    <w:p w14:paraId="3139DC70" w14:textId="77777777" w:rsidR="00E72C14" w:rsidRDefault="00E72C14" w:rsidP="00E72C14">
      <w:pPr>
        <w:pStyle w:val="NormalWeb"/>
        <w:keepLines/>
        <w:widowControl/>
        <w:pBdr>
          <w:top w:val="single" w:sz="4" w:space="1" w:color="000000"/>
          <w:left w:val="single" w:sz="4" w:space="4" w:color="000000"/>
          <w:bottom w:val="single" w:sz="4" w:space="1" w:color="000000"/>
          <w:right w:val="single" w:sz="4" w:space="4" w:color="000000"/>
        </w:pBdr>
        <w:spacing w:before="0" w:beforeAutospacing="0" w:after="160" w:afterAutospacing="0"/>
      </w:pPr>
      <w:r>
        <w:rPr>
          <w:rFonts w:ascii="Calibri" w:hAnsi="Calibri"/>
          <w:b w:val="0"/>
          <w:color w:val="000000"/>
          <w:sz w:val="20"/>
        </w:rPr>
        <w:t>La poda urbana puede convertirse en un problema ambiental, económico y logístico cuando falta coordinación para separarla, tratarla y comercializarla. Existen experiencias de aprovechamiento, como Proyecto Hormiga en Argentina (Silbert Voldman et al., 2025). En América Latina y el Caribe, el 52 % de los residuos urbanos es orgánico; del total de residuos urbanos, cerca del 1 % se trata por compostaje, digestión o incineración y el 26,8 % termina en botaderos a cielo abierto (Correal y Rihm, 2022). Los residuos verdes representan entre el 6 % y el 60 % de la basura municipal en los casos recopilados por Garrido et al. (2021); este rango no es una medición de León. En Nicaragua, la estrategia de 2011 señalaba que casi toda la leña provenía de bosques naturales (Ministerio de Energía y Minas et al., 2011). ReVerde aborda la desconexión entre quienes generan poda, quienes la transportan y quienes pueden aprovecharla. Su separación y tratamiento permitirían recuperar materia orgánica útil para los suelos (De Anda-Trasviña et al., 2021).</w:t>
      </w:r>
    </w:p>
    <w:p w14:paraId="3E6BBF37" w14:textId="77777777" w:rsidR="003808DF" w:rsidRPr="00E72C14" w:rsidRDefault="003808DF">
      <w:pPr>
        <w:jc w:val="both"/>
        <w:rPr>
          <w:sz w:val="20"/>
          <w:szCs w:val="20"/>
          <w:lang w:val="es-GT"/>
        </w:rPr>
      </w:pPr>
    </w:p>
    <w:p w14:paraId="469381CA" w14:textId="77777777" w:rsidR="003808DF" w:rsidRDefault="00062676">
      <w:pPr>
        <w:keepNext/>
        <w:numPr>
          <w:ilvl w:val="0"/>
          <w:numId w:val="1"/>
        </w:numPr>
        <w:pBdr>
          <w:top w:val="nil"/>
          <w:left w:val="nil"/>
          <w:bottom w:val="nil"/>
          <w:right w:val="nil"/>
          <w:between w:val="nil"/>
        </w:pBdr>
        <w:jc w:val="both"/>
        <w:rPr>
          <w:b/>
          <w:bCs/>
          <w:color w:val="000000"/>
          <w:sz w:val="20"/>
          <w:szCs w:val="20"/>
        </w:rPr>
      </w:pPr>
      <w:r>
        <w:rPr>
          <w:b/>
          <w:bCs/>
          <w:color w:val="000000"/>
          <w:sz w:val="20"/>
          <w:szCs w:val="20"/>
        </w:rPr>
        <w:t>DESCRIPCIÓN DE LA SOLUCIÓN (1250 caracteres)</w:t>
      </w:r>
    </w:p>
    <w:p w14:paraId="23E6EFF0" w14:textId="77777777" w:rsidR="003808DF" w:rsidRDefault="00062676">
      <w:pPr>
        <w:keepNext/>
        <w:jc w:val="both"/>
        <w:rPr>
          <w:sz w:val="20"/>
          <w:szCs w:val="20"/>
        </w:rPr>
      </w:pPr>
      <w:r>
        <w:rPr>
          <w:sz w:val="20"/>
          <w:szCs w:val="20"/>
        </w:rPr>
        <w:t>Describa brevemente el producto/servicio y por qué lo considera una solución a la problemática elegida. ¿Por qué esta propuesta es una buena solución al problema? ¿Por qué se diferencia de otras propuestas existentes? Describa brevemente la tecnología seleccionada, el funcionamiento, las necesidades para su implementación, entre otras.</w:t>
      </w:r>
    </w:p>
    <w:p w14:paraId="05F83119" w14:textId="77777777" w:rsidR="00E72C14" w:rsidRPr="00E72C14" w:rsidRDefault="00E72C14" w:rsidP="00E72C14">
      <w:pPr>
        <w:widowControl/>
        <w:pBdr>
          <w:top w:val="single" w:sz="4" w:space="1" w:color="000000"/>
          <w:left w:val="single" w:sz="4" w:space="4" w:color="000000"/>
          <w:bottom w:val="single" w:sz="4" w:space="1" w:color="000000"/>
          <w:right w:val="single" w:sz="4" w:space="4" w:color="000000"/>
        </w:pBdr>
        <w:jc w:val="both"/>
        <w:rPr>
          <w:sz w:val="20"/>
          <w:szCs w:val="20"/>
        </w:rPr>
      </w:pPr>
      <w:r>
        <w:rPr>
          <w:rFonts w:ascii="Calibri" w:hAnsi="Calibri"/>
          <w:b w:val="0"/>
          <w:color w:val="000000"/>
          <w:sz w:val="20"/>
        </w:rPr>
        <w:t>ReVerde propone centros de acopio y tratamiento distribuidos en la ciudad para recibir residuos limpios de poda y jardinería. Las hojas y ramas delgadas se destinarán al compostaje y los troncos, a leña seca. Los vecinos podrán llevar su poda o solicitar su recogida a transportistas independientes. El abono y la leña se venderán según disponibilidad; los vecinos también podrán canjear puntos por abono, conforme al programa de incentivos.</w:t>
      </w:r>
    </w:p>
    <w:p w14:paraId="1D804DCC" w14:textId="77777777" w:rsidR="00E72C14" w:rsidRPr="00E72C14" w:rsidRDefault="00E72C14" w:rsidP="00E72C14">
      <w:pPr>
        <w:widowControl/>
        <w:pBdr>
          <w:top w:val="single" w:sz="4" w:space="1" w:color="000000"/>
          <w:left w:val="single" w:sz="4" w:space="4" w:color="000000"/>
          <w:bottom w:val="single" w:sz="4" w:space="1" w:color="000000"/>
          <w:right w:val="single" w:sz="4" w:space="4" w:color="000000"/>
        </w:pBdr>
        <w:jc w:val="both"/>
        <w:rPr>
          <w:sz w:val="20"/>
          <w:szCs w:val="20"/>
        </w:rPr>
      </w:pPr>
      <w:r>
        <w:rPr>
          <w:rFonts w:ascii="Calibri" w:hAnsi="Calibri"/>
          <w:b w:val="0"/>
          <w:color w:val="000000"/>
          <w:sz w:val="20"/>
        </w:rPr>
        <w:t>Los centros utilizarán trituradoras comerciales con motor eléctrico, buscando reducir costos de operación; una minicargadora para voltear las pilas de compost y una zaranda para separar el abono fino. Los troncos se cortarán con motosierra, se rajarán y se secarán bajo techo. La calidad se controlará con termómetros, medidores de humedad y análisis de laboratorio. La implementación requerirá terreno, suministro eléctrico adecuado, drenajes y convenios de abastecimiento.</w:t>
      </w:r>
    </w:p>
    <w:p w14:paraId="6D8F7D96" w14:textId="5E354A0C" w:rsidR="003808DF" w:rsidRDefault="00E72C14" w:rsidP="00E72C14">
      <w:pPr>
        <w:widowControl/>
        <w:pBdr>
          <w:top w:val="single" w:sz="4" w:space="1" w:color="000000"/>
          <w:left w:val="single" w:sz="4" w:space="4" w:color="000000"/>
          <w:bottom w:val="single" w:sz="4" w:space="1" w:color="000000"/>
          <w:right w:val="single" w:sz="4" w:space="4" w:color="000000"/>
        </w:pBdr>
        <w:jc w:val="both"/>
        <w:rPr>
          <w:sz w:val="20"/>
          <w:szCs w:val="20"/>
        </w:rPr>
      </w:pPr>
      <w:r>
        <w:rPr>
          <w:rFonts w:ascii="Calibri" w:hAnsi="Calibri"/>
          <w:b w:val="0"/>
          <w:color w:val="000000"/>
          <w:sz w:val="20"/>
        </w:rPr>
        <w:t>Una aplicación web progresiva (PWA), accesible desde el navegador e instalable en el celular, conectará a ciudadanos, centros, transportistas y compradores para coordinar recogidas, entregas y ventas.</w:t>
      </w:r>
    </w:p>
    <w:p w14:paraId="34D1D48F" w14:textId="77777777" w:rsidR="003808DF" w:rsidRDefault="00062676">
      <w:pPr>
        <w:keepNext/>
        <w:numPr>
          <w:ilvl w:val="0"/>
          <w:numId w:val="1"/>
        </w:numPr>
        <w:pBdr>
          <w:top w:val="nil"/>
          <w:left w:val="nil"/>
          <w:bottom w:val="nil"/>
          <w:right w:val="nil"/>
          <w:between w:val="nil"/>
        </w:pBdr>
        <w:jc w:val="both"/>
        <w:rPr>
          <w:b/>
          <w:bCs/>
          <w:color w:val="000000"/>
          <w:sz w:val="20"/>
          <w:szCs w:val="20"/>
        </w:rPr>
      </w:pPr>
      <w:r>
        <w:rPr>
          <w:b/>
          <w:bCs/>
          <w:color w:val="000000"/>
          <w:sz w:val="20"/>
          <w:szCs w:val="20"/>
        </w:rPr>
        <w:t>IMPACTO (1000 caracteres)</w:t>
      </w:r>
    </w:p>
    <w:p w14:paraId="70D44F88" w14:textId="77777777" w:rsidR="003808DF" w:rsidRDefault="00062676">
      <w:pPr>
        <w:keepNext/>
        <w:jc w:val="both"/>
        <w:rPr>
          <w:sz w:val="20"/>
          <w:szCs w:val="20"/>
        </w:rPr>
      </w:pPr>
      <w:r>
        <w:rPr>
          <w:sz w:val="20"/>
          <w:szCs w:val="20"/>
        </w:rPr>
        <w:t>Describa brevemente el impacto social y/o ambiental que genera la propuesta de solución.</w:t>
      </w:r>
    </w:p>
    <w:p w14:paraId="1BFC0F97" w14:textId="7140BA94" w:rsidR="003808DF" w:rsidRDefault="00E72C14">
      <w:pPr>
        <w:keepLines/>
        <w:widowControl/>
        <w:pBdr>
          <w:top w:val="single" w:sz="4" w:space="1" w:color="000000"/>
          <w:left w:val="single" w:sz="4" w:space="4" w:color="000000"/>
          <w:bottom w:val="single" w:sz="4" w:space="1" w:color="000000"/>
          <w:right w:val="single" w:sz="4" w:space="4" w:color="000000"/>
        </w:pBdr>
        <w:jc w:val="both"/>
        <w:rPr>
          <w:sz w:val="20"/>
          <w:szCs w:val="20"/>
        </w:rPr>
      </w:pPr>
      <w:r>
        <w:rPr>
          <w:rFonts w:ascii="Calibri" w:hAnsi="Calibri"/>
          <w:b w:val="0"/>
          <w:color w:val="000000"/>
          <w:sz w:val="20"/>
        </w:rPr>
        <w:t>Los centros de acopio podrían generar empleo para operarios y oportunidades de ingreso para transportistas locales. La cooperativa El Álamo de Buenos Aires ofrece un antecedente de inclusión laboral en el reciclaje, aunque no de tratamiento de poda (Alessio detto Grassi, 2023). Transformar hojas y ramas en compost busca reducir la quema y el envío de poda a vertederos; aprovechar los troncos como leña seca podría sustituir parte de la madera extraída de bosques. Como referencia externa, Proyecto Hormiga (s. f.) informa haber evitado 666,25 t de CO₂ equivalente mediante su gestión de residuos de poda; no es un resultado de ReVerde. La plataforma facilitará la coordinación entre generadores, transportistas, centros y compradores, y los incentivos promoverán la entrega de poda limpia. En el piloto se medirán toneladas recibidas y aprovechadas, empleos e ingresos generados y beneficios ambientales.</w:t>
      </w:r>
    </w:p>
    <w:p w14:paraId="2FEEDF03" w14:textId="77777777" w:rsidR="003808DF" w:rsidRDefault="00062676">
      <w:pPr>
        <w:keepNext/>
        <w:numPr>
          <w:ilvl w:val="0"/>
          <w:numId w:val="1"/>
        </w:numPr>
        <w:pBdr>
          <w:top w:val="nil"/>
          <w:left w:val="nil"/>
          <w:bottom w:val="nil"/>
          <w:right w:val="nil"/>
          <w:between w:val="nil"/>
        </w:pBdr>
        <w:jc w:val="both"/>
        <w:rPr>
          <w:b/>
          <w:bCs/>
          <w:color w:val="000000"/>
          <w:sz w:val="20"/>
          <w:szCs w:val="20"/>
        </w:rPr>
      </w:pPr>
      <w:r>
        <w:rPr>
          <w:b/>
          <w:bCs/>
          <w:color w:val="000000"/>
          <w:sz w:val="20"/>
          <w:szCs w:val="20"/>
        </w:rPr>
        <w:t>INNOVACIÓN (1000 caracteres)</w:t>
      </w:r>
    </w:p>
    <w:p w14:paraId="79EE30AE" w14:textId="77777777" w:rsidR="003808DF" w:rsidRDefault="00062676">
      <w:pPr>
        <w:keepNext/>
        <w:jc w:val="both"/>
        <w:rPr>
          <w:sz w:val="20"/>
          <w:szCs w:val="20"/>
        </w:rPr>
      </w:pPr>
      <w:r>
        <w:rPr>
          <w:sz w:val="20"/>
          <w:szCs w:val="20"/>
        </w:rPr>
        <w:t>Fundamente brevemente por qué considera que esta propuesta representa una solución innovadora a la problemática seleccionada.</w:t>
      </w:r>
    </w:p>
    <w:p w14:paraId="41CE8510" w14:textId="11515EB4" w:rsidR="003808DF" w:rsidRDefault="00E72C14">
      <w:pPr>
        <w:keepLines/>
        <w:widowControl/>
        <w:pBdr>
          <w:top w:val="single" w:sz="4" w:space="1" w:color="000000"/>
          <w:left w:val="single" w:sz="4" w:space="4" w:color="000000"/>
          <w:bottom w:val="single" w:sz="4" w:space="1" w:color="000000"/>
          <w:right w:val="single" w:sz="4" w:space="4" w:color="000000"/>
        </w:pBdr>
        <w:jc w:val="both"/>
        <w:rPr>
          <w:sz w:val="20"/>
          <w:szCs w:val="20"/>
        </w:rPr>
      </w:pPr>
      <w:r>
        <w:rPr>
          <w:rFonts w:ascii="Calibri" w:hAnsi="Calibri"/>
          <w:b w:val="0"/>
          <w:color w:val="000000"/>
          <w:sz w:val="20"/>
        </w:rPr>
        <w:t>La innovación de ReVerde consiste en integrar centros de acopio, ciudadanos, transportistas independientes y compradores en una plataforma. La app coordinará la recogida de poda y la venta de abono y leña, buscando aprovechar los viajes de regreso para entregar productos. Un mapa mostrará los centros cercanos y cada lote tendrá un código QR para consultar su origen y procesamiento. El registro de horas de uso y toneladas trituradas ayudará a programar el mantenimiento y reducir interrupciones. La Cooperativa Proyecto Hormiga dejó de producir enmiendas y sustratos en 2023 por dificultades en la provisión municipal de material triturado, asociadas al mantenimiento de las máquinas y a la puesta a punto de una trituradora (Silbert Voldman et al., 2025). ReVerde combina tratamiento, logística, comercialización y seguimiento en un modelo adaptable a otras ciudades de Latinoamérica.</w:t>
      </w:r>
    </w:p>
    <w:p w14:paraId="2AD38869" w14:textId="77777777" w:rsidR="003808DF" w:rsidRDefault="00062676">
      <w:pPr>
        <w:keepNext/>
        <w:widowControl/>
        <w:numPr>
          <w:ilvl w:val="0"/>
          <w:numId w:val="1"/>
        </w:numPr>
        <w:pBdr>
          <w:top w:val="nil"/>
          <w:left w:val="nil"/>
          <w:bottom w:val="nil"/>
          <w:right w:val="nil"/>
          <w:between w:val="nil"/>
        </w:pBdr>
        <w:jc w:val="both"/>
        <w:rPr>
          <w:b/>
          <w:bCs/>
          <w:color w:val="000000"/>
          <w:sz w:val="20"/>
          <w:szCs w:val="20"/>
        </w:rPr>
      </w:pPr>
      <w:r>
        <w:rPr>
          <w:rFonts w:ascii="Calibri" w:hAnsi="Calibri"/>
          <w:b/>
          <w:color w:val="000000"/>
          <w:sz w:val="20"/>
        </w:rPr>
        <w:t>PREFACTIBILIDAD ECONÓMICA, SOCIAL Y SUSTENTABILIDAD AMBIENTAL (1500 caracteres)</w:t>
      </w:r>
    </w:p>
    <w:p w14:paraId="1024F692" w14:textId="77777777" w:rsidR="003808DF" w:rsidRDefault="00062676">
      <w:pPr>
        <w:keepNext/>
        <w:jc w:val="both"/>
        <w:rPr>
          <w:sz w:val="20"/>
          <w:szCs w:val="20"/>
        </w:rPr>
      </w:pPr>
      <w:r>
        <w:rPr>
          <w:sz w:val="20"/>
          <w:szCs w:val="20"/>
        </w:rPr>
        <w:t xml:space="preserve">Describa brevemente las razones que hacen de esta propuesta una propuesta sostenible en el tiempo. Fundamente por qué considera que esta propuesta es presupuestariamente abordable, por qué es viable o aceptable socialmente </w:t>
      </w:r>
    </w:p>
    <w:p w14:paraId="425F2729" w14:textId="41821839" w:rsidR="001F6D2B" w:rsidRPr="001F6D2B" w:rsidRDefault="001F6D2B" w:rsidP="001F6D2B">
      <w:pPr>
        <w:widowControl/>
        <w:pBdr>
          <w:top w:val="single" w:sz="4" w:space="1" w:color="000000"/>
          <w:left w:val="single" w:sz="4" w:space="4" w:color="000000"/>
          <w:right w:val="single" w:sz="4" w:space="4" w:color="000000"/>
        </w:pBdr>
        <w:spacing w:line="240" w:lineRule="auto"/>
        <w:jc w:val="both"/>
        <w:rPr>
          <w:rFonts w:ascii="Times New Roman" w:eastAsia="Times New Roman" w:hAnsi="Times New Roman" w:cs="Times New Roman"/>
          <w:sz w:val="24"/>
          <w:szCs w:val="24"/>
          <w:lang w:val="es-GT"/>
        </w:rPr>
      </w:pPr>
      <w:r>
        <w:rPr>
          <w:rFonts w:ascii="Calibri" w:hAnsi="Calibri"/>
          <w:b w:val="0"/>
          <w:color w:val="000000"/>
          <w:sz w:val="20"/>
        </w:rPr>
        <w:t>ReVerde prevé una inversión inicial de US$9,500 a US$12,430, según cálculos actualizados del equipo. El uso de activos municipales en comodato reduciría la inversión, sujeto a convenios. Las trituradoras eléctricas no requieren gasolina para triturar; sus costos dependerán del consumo, la instalación y el mantenimiento. Los ingresos provendrán de acuerdos de recepción de poda y venta de abono y leña seca. Se estima un equilibrio de 740 t/año y una meta de 1,000 t/año, sujetos a los precios y costos previstos. Se reservará capital de trabajo para operar mientras madura el compost y se concretan las primeras ventas.</w:t>
      </w:r>
    </w:p>
    <w:p w14:paraId="576E1607" w14:textId="77777777" w:rsidR="001F6D2B" w:rsidRPr="001F6D2B" w:rsidRDefault="001F6D2B" w:rsidP="001F6D2B">
      <w:pPr>
        <w:widowControl/>
        <w:pBdr>
          <w:left w:val="single" w:sz="4" w:space="4" w:color="000000"/>
          <w:right w:val="single" w:sz="4" w:space="4" w:color="000000"/>
        </w:pBdr>
        <w:spacing w:line="240" w:lineRule="auto"/>
        <w:jc w:val="both"/>
        <w:rPr>
          <w:rFonts w:ascii="Times New Roman" w:eastAsia="Times New Roman" w:hAnsi="Times New Roman" w:cs="Times New Roman"/>
          <w:sz w:val="24"/>
          <w:szCs w:val="24"/>
          <w:lang w:val="es-GT"/>
        </w:rPr>
      </w:pPr>
      <w:r>
        <w:rPr>
          <w:rFonts w:ascii="Calibri" w:hAnsi="Calibri"/>
          <w:b w:val="0"/>
          <w:color w:val="000000"/>
          <w:sz w:val="20"/>
        </w:rPr>
        <w:t>En lo social, se propone crear empleo para operarios y oportunidades para transportistas locales, con capacitación, protección personal y prestaciones laborales. La plataforma coordinará recogidas y entregas para aprovechar viajes de regreso y reducir recorridos vacíos. Los vecinos recibirán puntos por entregar poda limpia, canjeables por abono o productos y servicios de negocios aliados, mediante acuerdos.</w:t>
      </w:r>
    </w:p>
    <w:p w14:paraId="354FE4FB" w14:textId="77777777" w:rsidR="001F6D2B" w:rsidRPr="001F6D2B" w:rsidRDefault="001F6D2B" w:rsidP="001F6D2B">
      <w:pPr>
        <w:widowControl/>
        <w:pBdr>
          <w:left w:val="single" w:sz="4" w:space="4" w:color="000000"/>
          <w:bottom w:val="single" w:sz="4" w:space="1" w:color="000000"/>
          <w:right w:val="single" w:sz="4" w:space="4" w:color="000000"/>
        </w:pBdr>
        <w:spacing w:line="240" w:lineRule="auto"/>
        <w:jc w:val="both"/>
        <w:rPr>
          <w:rFonts w:ascii="Times New Roman" w:eastAsia="Times New Roman" w:hAnsi="Times New Roman" w:cs="Times New Roman"/>
          <w:sz w:val="24"/>
          <w:szCs w:val="24"/>
          <w:lang w:val="es-GT"/>
        </w:rPr>
      </w:pPr>
      <w:r>
        <w:rPr>
          <w:rFonts w:ascii="Calibri" w:hAnsi="Calibri"/>
          <w:b w:val="0"/>
          <w:color w:val="000000"/>
          <w:sz w:val="20"/>
        </w:rPr>
        <w:t>En lo ambiental, el aprovechamiento de la poda busca reducir su quema y disposición en vertederos, producir abono y sustituir parte de la leña extraída de bosques. Se propone captar lluvia y reutilizar agua apta para el compostaje, con drenajes y control de escurrimientos. El consumo de agua y los beneficios ambientales se medirán en el piloto. La continuidad dependerá del abastecimiento, las ventas, los convenios municipales y el control de calidad.</w:t>
      </w:r>
    </w:p>
    <w:p w14:paraId="182C108F" w14:textId="77777777" w:rsidR="003808DF" w:rsidRDefault="00062676">
      <w:pPr>
        <w:keepNext/>
        <w:numPr>
          <w:ilvl w:val="0"/>
          <w:numId w:val="1"/>
        </w:numPr>
        <w:pBdr>
          <w:top w:val="nil"/>
          <w:left w:val="nil"/>
          <w:bottom w:val="nil"/>
          <w:right w:val="nil"/>
          <w:between w:val="nil"/>
        </w:pBdr>
        <w:spacing w:after="0"/>
        <w:jc w:val="both"/>
        <w:rPr>
          <w:b/>
          <w:bCs/>
          <w:color w:val="000000"/>
          <w:sz w:val="20"/>
          <w:szCs w:val="20"/>
        </w:rPr>
      </w:pPr>
      <w:r>
        <w:rPr>
          <w:b/>
          <w:bCs/>
          <w:color w:val="000000"/>
          <w:sz w:val="20"/>
          <w:szCs w:val="20"/>
        </w:rPr>
        <w:t>PROPUESTAS QUE DESCARTARON</w:t>
      </w:r>
    </w:p>
    <w:p w14:paraId="6D840D98" w14:textId="77777777" w:rsidR="003808DF" w:rsidRDefault="00062676">
      <w:pPr>
        <w:keepNext/>
        <w:widowControl/>
        <w:pBdr>
          <w:top w:val="nil"/>
          <w:left w:val="nil"/>
          <w:bottom w:val="nil"/>
          <w:right w:val="nil"/>
          <w:between w:val="nil"/>
        </w:pBdr>
        <w:ind w:left="644"/>
        <w:jc w:val="both"/>
        <w:rPr>
          <w:color w:val="000000"/>
        </w:rPr>
      </w:pPr>
      <w:r>
        <w:rPr>
          <w:rFonts w:ascii="Calibri" w:hAnsi="Calibri"/>
          <w:b w:val="0"/>
          <w:color w:val="000000"/>
          <w:sz w:val="20"/>
        </w:rPr>
        <w:t>Enumere, en caso de haber descartado ideas, las diferentes propuestas que han analizado hasta elegir la actual y mencione brevemente el porqué.</w:t>
      </w:r>
    </w:p>
    <w:p w14:paraId="40E6AA2D" w14:textId="77777777" w:rsidR="00E72C14" w:rsidRPr="00E72C14" w:rsidRDefault="00E72C14" w:rsidP="001F6D2B">
      <w:pPr>
        <w:widowControl/>
        <w:pBdr>
          <w:top w:val="single" w:sz="4" w:space="1" w:color="000000"/>
          <w:left w:val="single" w:sz="4" w:space="4" w:color="000000"/>
          <w:right w:val="single" w:sz="4" w:space="4" w:color="000000"/>
          <w:bottom w:val="single" w:sz="4" w:space="1" w:color="000000"/>
        </w:pBdr>
        <w:spacing w:line="240" w:lineRule="auto"/>
        <w:rPr>
          <w:rFonts w:ascii="Times New Roman" w:eastAsia="Times New Roman" w:hAnsi="Times New Roman" w:cs="Times New Roman"/>
          <w:sz w:val="24"/>
          <w:szCs w:val="24"/>
          <w:lang w:val="es-GT"/>
        </w:rPr>
      </w:pPr>
      <w:r>
        <w:rPr>
          <w:rFonts w:ascii="Calibri" w:hAnsi="Calibri"/>
          <w:b w:val="0"/>
          <w:color w:val="000000"/>
          <w:sz w:val="20"/>
        </w:rPr>
        <w:t>1) Quema de poda sin aprovechamiento: se descarta porque desperdicia el material y genera humo y riesgo de incendio.</w:t>
        <w:br/>
        <w:t>2) Biodigestor y biogás: no se selecciona para el piloto porque los residuos verdes no son convenientes como insumo único; su uso requeriría evaluar mezclas con otras materias primas (Garrido et al., 2021).</w:t>
        <w:br/>
        <w:t>3) Biochar o pirólisis: requiere equipos y control térmico específicos; se deja como alternativa para evaluar en una fase posterior.</w:t>
        <w:br/>
        <w:t>4) Briquetas o pellets: requieren secado y maquinaria de densificación adicionales, además de validar compradores; se prioriza la leña seca en el piloto.</w:t>
        <w:br/>
        <w:t>5) Planta industrial centralizada: se descarta para el piloto por la inversión y la concentración del transporte; se propone una red de centros de menor escala.</w:t>
        <w:br/>
        <w:t>6) Web de intercambio directo de poda entre vecinos: se descarta como solución única porque no incorpora tratamiento ni control de calidad.</w:t>
      </w:r>
    </w:p>
    <w:p w14:paraId="548D00BF" w14:textId="77777777" w:rsidR="003808DF" w:rsidRDefault="00062676">
      <w:pPr>
        <w:keepNext/>
        <w:numPr>
          <w:ilvl w:val="0"/>
          <w:numId w:val="1"/>
        </w:numPr>
        <w:pBdr>
          <w:top w:val="nil"/>
          <w:left w:val="nil"/>
          <w:bottom w:val="nil"/>
          <w:right w:val="nil"/>
          <w:between w:val="nil"/>
        </w:pBdr>
        <w:jc w:val="both"/>
        <w:rPr>
          <w:b/>
          <w:bCs/>
          <w:color w:val="000000"/>
          <w:sz w:val="20"/>
          <w:szCs w:val="20"/>
        </w:rPr>
      </w:pPr>
      <w:r>
        <w:rPr>
          <w:b/>
          <w:bCs/>
          <w:color w:val="000000"/>
          <w:sz w:val="20"/>
          <w:szCs w:val="20"/>
        </w:rPr>
        <w:t>REFERENCIAS</w:t>
      </w:r>
    </w:p>
    <w:p w14:paraId="406275EE" w14:textId="77777777" w:rsidR="003808DF" w:rsidRDefault="00062676">
      <w:pPr>
        <w:keepNext/>
        <w:jc w:val="both"/>
      </w:pPr>
      <w:r>
        <w:t>Escriba aquí todas las fuentes de información que consultaron y de las que obtuvieron información para construir su propuesta incluyendo las relacionadas a la inteligencia artificial.</w:t>
      </w:r>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Alessio detto Grassi, C. (2023). </w:t>
      </w:r>
      <w:r>
        <w:rPr>
          <w:rFonts w:ascii="Calibri" w:hAnsi="Calibri"/>
          <w:b w:val="0"/>
          <w:i/>
          <w:color w:val="000000"/>
          <w:sz w:val="20"/>
        </w:rPr>
        <w:t>Cooperative El Álamo: Informal recyclers ('waste pickers') cooperative in Buenos Aires</w:t>
      </w:r>
      <w:r>
        <w:rPr>
          <w:rFonts w:ascii="Calibri" w:hAnsi="Calibri"/>
          <w:b w:val="0"/>
          <w:i w:val="0"/>
          <w:color w:val="000000"/>
          <w:sz w:val="20"/>
        </w:rPr>
        <w:t xml:space="preserve">. Circle Economy. </w:t>
      </w:r>
      <w:hyperlink r:id="rId8">
        <w:r>
          <w:rPr>
            <w:rFonts w:ascii="Calibri" w:hAnsi="Calibri"/>
            <w:sz w:val="20"/>
            <w:color w:val="000000"/>
            <w:u w:val="single"/>
          </w:rPr>
          <w:t>https://circle-economy.com/knowledge-hub/article/7031</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Correal, M., y Rihm, A. (2022). </w:t>
      </w:r>
      <w:r>
        <w:rPr>
          <w:rFonts w:ascii="Calibri" w:hAnsi="Calibri"/>
          <w:b w:val="0"/>
          <w:i/>
          <w:color w:val="000000"/>
          <w:sz w:val="20"/>
        </w:rPr>
        <w:t>Hacia la valorización de residuos sólidos en América Latina y el Caribe. Conceptos básicos, análisis de viabilidad y recomendaciones de políticas públicas</w:t>
      </w:r>
      <w:r>
        <w:rPr>
          <w:rFonts w:ascii="Calibri" w:hAnsi="Calibri"/>
          <w:b w:val="0"/>
          <w:i w:val="0"/>
          <w:color w:val="000000"/>
          <w:sz w:val="20"/>
        </w:rPr>
        <w:t xml:space="preserve"> (C. M. Pasquetti y A. Abrodos, Eds.). Banco Interamericano de Desarrollo. </w:t>
      </w:r>
      <w:hyperlink r:id="rId9">
        <w:r>
          <w:rPr>
            <w:rFonts w:ascii="Calibri" w:hAnsi="Calibri"/>
            <w:sz w:val="20"/>
            <w:color w:val="000000"/>
            <w:u w:val="single"/>
          </w:rPr>
          <w:t>https://doi.org/10.18235/0003971</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De Anda-Trasviña, A., García-Galindo, E., Peña-Castañón, A., Seminario-Peña, J., y Nieto-Garibay, A. (2021). </w:t>
      </w:r>
      <w:r>
        <w:rPr>
          <w:rFonts w:ascii="Calibri" w:hAnsi="Calibri"/>
          <w:b w:val="0"/>
          <w:i w:val="0"/>
          <w:color w:val="000000"/>
          <w:sz w:val="20"/>
        </w:rPr>
        <w:t>Residuos orgánicos: ¿basura o recurso?</w:t>
      </w:r>
      <w:r>
        <w:rPr>
          <w:rFonts w:ascii="Calibri" w:hAnsi="Calibri"/>
          <w:b w:val="0"/>
          <w:i w:val="0"/>
          <w:color w:val="000000"/>
          <w:sz w:val="20"/>
        </w:rPr>
        <w:t xml:space="preserve"> </w:t>
      </w:r>
      <w:r>
        <w:rPr>
          <w:rFonts w:ascii="Calibri" w:hAnsi="Calibri"/>
          <w:b w:val="0"/>
          <w:i/>
          <w:color w:val="000000"/>
          <w:sz w:val="20"/>
        </w:rPr>
        <w:t>Recursos Naturales y Sociedad, 7</w:t>
      </w:r>
      <w:r>
        <w:rPr>
          <w:rFonts w:ascii="Calibri" w:hAnsi="Calibri"/>
          <w:b w:val="0"/>
          <w:i w:val="0"/>
          <w:color w:val="000000"/>
          <w:sz w:val="20"/>
        </w:rPr>
        <w:t xml:space="preserve">(3), 19–42. </w:t>
      </w:r>
      <w:hyperlink r:id="rId19">
        <w:r>
          <w:rPr>
            <w:rFonts w:ascii="Calibri" w:hAnsi="Calibri"/>
            <w:sz w:val="20"/>
            <w:color w:val="000000"/>
            <w:u w:val="single"/>
          </w:rPr>
          <w:t>https://doi.org/10.18846/renaysoc.2021.07.07.03.0004</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Garrido, G. J., Pettigiani, E., Silbert Voldman, V., Mazzeo, N., y Cruz, N. (2021). </w:t>
      </w:r>
      <w:r>
        <w:rPr>
          <w:rFonts w:ascii="Calibri" w:hAnsi="Calibri"/>
          <w:b w:val="0"/>
          <w:i/>
          <w:color w:val="000000"/>
          <w:sz w:val="20"/>
        </w:rPr>
        <w:t>Guía para una gestión integral de residuos verdes municipales: Herramientas para planificar en el territorio</w:t>
      </w:r>
      <w:r>
        <w:rPr>
          <w:rFonts w:ascii="Calibri" w:hAnsi="Calibri"/>
          <w:b w:val="0"/>
          <w:i w:val="0"/>
          <w:color w:val="000000"/>
          <w:sz w:val="20"/>
        </w:rPr>
        <w:t xml:space="preserve">. Instituto Nacional de Tecnología Industrial. </w:t>
      </w:r>
      <w:hyperlink r:id="rId10">
        <w:r>
          <w:rPr>
            <w:rFonts w:ascii="Calibri" w:hAnsi="Calibri"/>
            <w:sz w:val="20"/>
            <w:color w:val="000000"/>
            <w:u w:val="single"/>
          </w:rPr>
          <w:t>https://ledslac.org/wp-content/uploads/2021/07/cuadernillo-gestion-residuos-verdes_2021-1.pdf</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Ministerio de Energía y Minas, Instituto Nacional Forestal, Ministerio del Ambiente y los Recursos Naturales, y Ministerio Agropecuario y Forestal. (2011). </w:t>
      </w:r>
      <w:r>
        <w:rPr>
          <w:rFonts w:ascii="Calibri" w:hAnsi="Calibri"/>
          <w:b w:val="0"/>
          <w:i/>
          <w:color w:val="000000"/>
          <w:sz w:val="20"/>
        </w:rPr>
        <w:t>Estrategia Nacional de Leña y Carbón Vegetal de Nicaragua, 2011–2021</w:t>
      </w:r>
      <w:r>
        <w:rPr>
          <w:rFonts w:ascii="Calibri" w:hAnsi="Calibri"/>
          <w:b w:val="0"/>
          <w:i w:val="0"/>
          <w:color w:val="000000"/>
          <w:sz w:val="20"/>
        </w:rPr>
        <w:t xml:space="preserve">. Gobierno de Nicaragua. </w:t>
      </w:r>
      <w:hyperlink r:id="rId20">
        <w:r>
          <w:rPr>
            <w:rFonts w:ascii="Calibri" w:hAnsi="Calibri"/>
            <w:sz w:val="20"/>
            <w:color w:val="000000"/>
            <w:u w:val="single"/>
          </w:rPr>
          <w:t>https://marena.gob.ni/Enderedd/wp-content/uploads/Docs/Documentos%20Tecnicos/estrategia_lena_carbon%20en%20Nicaragua.pdf</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Proyecto Hormiga. (s. f.). </w:t>
      </w:r>
      <w:r>
        <w:rPr>
          <w:rFonts w:ascii="Calibri" w:hAnsi="Calibri"/>
          <w:b w:val="0"/>
          <w:i/>
          <w:color w:val="000000"/>
          <w:sz w:val="20"/>
        </w:rPr>
        <w:t>Valorización de residuos de poda urbana y biomasa vegetal</w:t>
      </w:r>
      <w:r>
        <w:rPr>
          <w:rFonts w:ascii="Calibri" w:hAnsi="Calibri"/>
          <w:b w:val="0"/>
          <w:i w:val="0"/>
          <w:color w:val="000000"/>
          <w:sz w:val="20"/>
        </w:rPr>
        <w:t xml:space="preserve">. </w:t>
      </w:r>
      <w:hyperlink r:id="rId12">
        <w:r>
          <w:rPr>
            <w:rFonts w:ascii="Calibri" w:hAnsi="Calibri"/>
            <w:sz w:val="20"/>
            <w:color w:val="000000"/>
            <w:u w:val="single"/>
          </w:rPr>
          <w:t>https://www.proyectohormiga.com.ar/valorizacion-residuos-poda</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Silbert Voldman, V., Ringuelet, A., Herrera Bolzón, A. H., y Gaona Flores, M. A. (2025). </w:t>
      </w:r>
      <w:r>
        <w:rPr>
          <w:rFonts w:ascii="Calibri" w:hAnsi="Calibri"/>
          <w:b w:val="0"/>
          <w:i/>
          <w:color w:val="000000"/>
          <w:sz w:val="20"/>
        </w:rPr>
        <w:t>Guía técnica para el diseño de plantas de compostaje de poda urbana</w:t>
      </w:r>
      <w:r>
        <w:rPr>
          <w:rFonts w:ascii="Calibri" w:hAnsi="Calibri"/>
          <w:b w:val="0"/>
          <w:i w:val="0"/>
          <w:color w:val="000000"/>
          <w:sz w:val="20"/>
        </w:rPr>
        <w:t xml:space="preserve">. Instituto Nacional de Tecnología Industrial. </w:t>
      </w:r>
      <w:hyperlink r:id="rId21">
        <w:r>
          <w:rPr>
            <w:rFonts w:ascii="Calibri" w:hAnsi="Calibri"/>
            <w:sz w:val="20"/>
            <w:color w:val="000000"/>
            <w:u w:val="single"/>
          </w:rPr>
          <w:t>https://www.argentina.gob.ar/inta/ciap/guia-tecnica-para-el-diseno-de-plantas-de-compostaje-de-poda-urbana</w:t>
        </w:r>
      </w:hyperlink>
    </w:p>
    <w:p w14:paraId="4A21213F" w14:textId="77777777" w:rsidR="00E72C14" w:rsidRPr="00E72C14" w:rsidRDefault="00E72C14" w:rsidP="00E72C14">
      <w:pPr>
        <w:keepNext/>
        <w:keepLines/>
        <w:pageBreakBefore/>
        <w:widowControl/>
        <w:pBdr>
          <w:top w:val="single" w:sz="4" w:space="1" w:color="000000"/>
          <w:left w:val="single" w:sz="4" w:space="4" w:color="000000"/>
          <w:bottom w:val="single" w:sz="4" w:space="1" w:color="000000"/>
          <w:right w:val="single" w:sz="4" w:space="4" w:color="000000"/>
        </w:pBdr>
        <w:spacing w:line="240" w:lineRule="auto" w:before="120" w:after="80"/>
        <w:ind w:left="360" w:hanging="360"/>
        <w:rPr>
          <w:sz w:val="20"/>
          <w:szCs w:val="20"/>
          <w:lang w:val="es-GT"/>
        </w:rPr>
      </w:pPr>
      <w:r>
        <w:rPr>
          <w:rFonts w:ascii="Calibri" w:hAnsi="Calibri"/>
          <w:b/>
          <w:color w:val="000000"/>
          <w:sz w:val="20"/>
        </w:rPr>
        <w:t>Herramientas de inteligencia artificial y software</w:t>
      </w:r>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Anthropic. (2026). </w:t>
      </w:r>
      <w:r>
        <w:rPr>
          <w:rFonts w:ascii="Calibri" w:hAnsi="Calibri"/>
          <w:b w:val="0"/>
          <w:i/>
          <w:color w:val="000000"/>
          <w:sz w:val="20"/>
        </w:rPr>
        <w:t>Claude (versión Opus 5.5)</w:t>
      </w:r>
      <w:r>
        <w:rPr>
          <w:rFonts w:ascii="Calibri" w:hAnsi="Calibri"/>
          <w:b w:val="0"/>
          <w:i w:val="0"/>
          <w:color w:val="000000"/>
          <w:sz w:val="20"/>
        </w:rPr>
        <w:t xml:space="preserve"> [Modelo de lenguaje]. </w:t>
      </w:r>
      <w:hyperlink r:id="rId22">
        <w:r>
          <w:rPr>
            <w:rFonts w:ascii="Calibri" w:hAnsi="Calibri"/>
            <w:sz w:val="20"/>
            <w:color w:val="000000"/>
            <w:u w:val="single"/>
          </w:rPr>
          <w:t>https://www.anthropic.com/claude-opus-5-5</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Blender Foundation. (2025). </w:t>
      </w:r>
      <w:r>
        <w:rPr>
          <w:rFonts w:ascii="Calibri" w:hAnsi="Calibri"/>
          <w:b w:val="0"/>
          <w:i/>
          <w:color w:val="000000"/>
          <w:sz w:val="20"/>
        </w:rPr>
        <w:t>Blender (versión 4.5.3 LTS)</w:t>
      </w:r>
      <w:r>
        <w:rPr>
          <w:rFonts w:ascii="Calibri" w:hAnsi="Calibri"/>
          <w:b w:val="0"/>
          <w:i w:val="0"/>
          <w:color w:val="000000"/>
          <w:sz w:val="20"/>
        </w:rPr>
        <w:t xml:space="preserve"> [Software de modelado y animación 3D]. </w:t>
      </w:r>
      <w:hyperlink r:id="rId23">
        <w:r>
          <w:rPr>
            <w:rFonts w:ascii="Calibri" w:hAnsi="Calibri"/>
            <w:sz w:val="20"/>
            <w:color w:val="000000"/>
            <w:u w:val="single"/>
          </w:rPr>
          <w:t>https://www.blender.org/releases/4-5/</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Google. (2026). </w:t>
      </w:r>
      <w:r>
        <w:rPr>
          <w:rFonts w:ascii="Calibri" w:hAnsi="Calibri"/>
          <w:b w:val="0"/>
          <w:i/>
          <w:color w:val="000000"/>
          <w:sz w:val="20"/>
        </w:rPr>
        <w:t>Gemini (versión 3.8 Flash)</w:t>
      </w:r>
      <w:r>
        <w:rPr>
          <w:rFonts w:ascii="Calibri" w:hAnsi="Calibri"/>
          <w:b w:val="0"/>
          <w:i w:val="0"/>
          <w:color w:val="000000"/>
          <w:sz w:val="20"/>
        </w:rPr>
        <w:t xml:space="preserve"> [Modelo de lenguaje]. </w:t>
      </w:r>
      <w:hyperlink r:id="rId24">
        <w:r>
          <w:rPr>
            <w:rFonts w:ascii="Calibri" w:hAnsi="Calibri"/>
            <w:sz w:val="20"/>
            <w:color w:val="000000"/>
            <w:u w:val="single"/>
          </w:rPr>
          <w:t>https://ai.google.dev/gemini-api/docs/models</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OpenAI. (2024). </w:t>
      </w:r>
      <w:r>
        <w:rPr>
          <w:rFonts w:ascii="Calibri" w:hAnsi="Calibri"/>
          <w:b w:val="0"/>
          <w:i/>
          <w:color w:val="000000"/>
          <w:sz w:val="20"/>
        </w:rPr>
        <w:t>ChatGPT (versión GPT-4o mini)</w:t>
      </w:r>
      <w:r>
        <w:rPr>
          <w:rFonts w:ascii="Calibri" w:hAnsi="Calibri"/>
          <w:b w:val="0"/>
          <w:i w:val="0"/>
          <w:color w:val="000000"/>
          <w:sz w:val="20"/>
        </w:rPr>
        <w:t xml:space="preserve"> [Modelo de lenguaje]. </w:t>
      </w:r>
      <w:hyperlink r:id="rId25">
        <w:r>
          <w:rPr>
            <w:rFonts w:ascii="Calibri" w:hAnsi="Calibri"/>
            <w:sz w:val="20"/>
            <w:color w:val="000000"/>
            <w:u w:val="single"/>
          </w:rPr>
          <w:t>https://openai.com/index/gpt-4o-mini-advancing-cost-efficient-intelligence/</w:t>
        </w:r>
      </w:hyperlink>
    </w:p>
    <w:p w14:paraId="023D6076" w14:textId="77777777" w:rsidR="00E72C14" w:rsidRPr="00E72C14" w:rsidRDefault="00E72C14" w:rsidP="00E72C14">
      <w:pPr>
        <w:keepLines/>
        <w:widowControl/>
        <w:pBdr>
          <w:top w:val="single" w:sz="4" w:space="1" w:color="000000"/>
          <w:left w:val="single" w:sz="4" w:space="4" w:color="000000"/>
          <w:bottom w:val="single" w:sz="4" w:space="1" w:color="000000"/>
          <w:right w:val="single" w:sz="4" w:space="4" w:color="000000"/>
        </w:pBdr>
        <w:spacing w:line="240" w:lineRule="auto" w:before="0" w:after="80"/>
        <w:ind w:left="369" w:hanging="369"/>
        <w:rPr>
          <w:sz w:val="20"/>
          <w:szCs w:val="20"/>
          <w:lang w:val="en-US"/>
        </w:rPr>
      </w:pPr>
      <w:r>
        <w:rPr>
          <w:rFonts w:ascii="Calibri" w:hAnsi="Calibri"/>
          <w:b w:val="0"/>
          <w:i w:val="0"/>
          <w:color w:val="000000"/>
          <w:sz w:val="20"/>
        </w:rPr>
        <w:t xml:space="preserve">OpenAI. (2026). </w:t>
      </w:r>
      <w:r>
        <w:rPr>
          <w:rFonts w:ascii="Calibri" w:hAnsi="Calibri"/>
          <w:b w:val="0"/>
          <w:i/>
          <w:color w:val="000000"/>
          <w:sz w:val="20"/>
        </w:rPr>
        <w:t>Codex</w:t>
      </w:r>
      <w:r>
        <w:rPr>
          <w:rFonts w:ascii="Calibri" w:hAnsi="Calibri"/>
          <w:b w:val="0"/>
          <w:i w:val="0"/>
          <w:color w:val="000000"/>
          <w:sz w:val="20"/>
        </w:rPr>
        <w:t xml:space="preserve"> [Asistente de inteligencia artificial]. </w:t>
      </w:r>
      <w:hyperlink r:id="rId26">
        <w:r>
          <w:rPr>
            <w:rFonts w:ascii="Calibri" w:hAnsi="Calibri"/>
            <w:sz w:val="20"/>
            <w:color w:val="000000"/>
            <w:u w:val="single"/>
          </w:rPr>
          <w:t>https://openai.com/codex/</w:t>
        </w:r>
      </w:hyperlink>
    </w:p>
    <w:p w14:paraId="023D6076" w14:textId="77777777" w:rsidR="00E72C14" w:rsidRPr="00E72C14" w:rsidRDefault="00E72C14" w:rsidP="00E72C14">
      <w:pPr>
        <w:keepLines w:val="0"/>
        <w:widowControl/>
        <w:pBdr>
          <w:top w:val="single" w:sz="4" w:space="1" w:color="000000"/>
          <w:left w:val="single" w:sz="4" w:space="4" w:color="000000"/>
          <w:bottom w:val="single" w:sz="4" w:space="1" w:color="000000"/>
          <w:right w:val="single" w:sz="4" w:space="4" w:color="000000"/>
        </w:pBdr>
        <w:spacing w:line="240" w:lineRule="auto" w:before="0" w:after="80"/>
        <w:ind w:left="360" w:hanging="360"/>
        <w:rPr>
          <w:sz w:val="20"/>
          <w:szCs w:val="20"/>
          <w:lang w:val="en-US"/>
        </w:rPr>
      </w:pPr>
      <w:r>
        <w:rPr>
          <w:rFonts w:ascii="Calibri" w:hAnsi="Calibri"/>
          <w:b/>
          <w:i w:val="0"/>
          <w:color w:val="000000"/>
          <w:sz w:val="20"/>
        </w:rPr>
        <w:t xml:space="preserve">Uso declarado los días 16 y 17 de octubre de 2026. </w:t>
      </w:r>
      <w:r>
        <w:rPr>
          <w:rFonts w:ascii="Calibri" w:hAnsi="Calibri"/>
          <w:b w:val="0"/>
          <w:i w:val="0"/>
          <w:color w:val="000000"/>
          <w:sz w:val="20"/>
        </w:rPr>
        <w:t>Claude apoyó la búsqueda de referencias y el código base de la maqueta web; ChatGPT, la comparación de inversiones; y Gemini, las estimaciones de costos, la búsqueda de fuentes y la comparación de propuestas. Codex apoyó la revisión de textos, citas y cálculos documentados, la edición de la maqueta, la generación del modelo 3D mediante código en Blender y la producción de videos demostrativos. Los costos generados con IA son estimaciones, no cotizaciones de proveedores. El equipo revisó las fuentes y el contenido. El modelo 3D es conceptual; no constituye un diseño constructivo validado.</w:t>
      </w:r>
    </w:p>
    <w:sectPr w:rsidR="003808DF">
      <w:headerReference w:type="default" r:id="rId16"/>
      <w:pgSz w:w="11906" w:h="16838"/>
      <w:pgMar w:top="1843"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AA114" w14:textId="77777777" w:rsidR="000F184B" w:rsidRDefault="000F184B">
      <w:pPr>
        <w:spacing w:after="0" w:line="240" w:lineRule="auto"/>
      </w:pPr>
      <w:r>
        <w:separator/>
      </w:r>
    </w:p>
  </w:endnote>
  <w:endnote w:type="continuationSeparator" w:id="0">
    <w:p w14:paraId="29A4470C" w14:textId="77777777" w:rsidR="000F184B" w:rsidRDefault="000F1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AE45026-6087-48D4-BD26-1E31378DD7E8}"/>
    <w:embedBold r:id="rId2" w:fontKey="{9BEF0487-C88B-49AD-A1E3-D304191FDFB1}"/>
    <w:embedItalic r:id="rId3" w:fontKey="{14DAC53E-F51E-421B-8062-605DF77FCE2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056B53E-62F5-49C1-A891-FC4708F51A85}"/>
    <w:embedItalic r:id="rId5" w:fontKey="{617192D6-73BA-4429-BF81-4279C6778139}"/>
  </w:font>
  <w:font w:name="Calibri Light">
    <w:panose1 w:val="020F0302020204030204"/>
    <w:charset w:val="00"/>
    <w:family w:val="swiss"/>
    <w:pitch w:val="variable"/>
    <w:sig w:usb0="E4002EFF" w:usb1="C200247B" w:usb2="00000009" w:usb3="00000000" w:csb0="000001FF" w:csb1="00000000"/>
    <w:embedRegular r:id="rId6" w:fontKey="{729A2C75-2D49-4452-BE83-026B6383B4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3A0FF" w14:textId="77777777" w:rsidR="000F184B" w:rsidRDefault="000F184B">
      <w:pPr>
        <w:spacing w:after="0" w:line="240" w:lineRule="auto"/>
      </w:pPr>
      <w:r>
        <w:separator/>
      </w:r>
    </w:p>
  </w:footnote>
  <w:footnote w:type="continuationSeparator" w:id="0">
    <w:p w14:paraId="24CF7224" w14:textId="77777777" w:rsidR="000F184B" w:rsidRDefault="000F1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3925" w14:textId="77777777" w:rsidR="003808DF" w:rsidRDefault="00062676">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5CBA0141" wp14:editId="66CF00AA">
          <wp:simplePos x="0" y="0"/>
          <wp:positionH relativeFrom="column">
            <wp:posOffset>-1080134</wp:posOffset>
          </wp:positionH>
          <wp:positionV relativeFrom="paragraph">
            <wp:posOffset>-450214</wp:posOffset>
          </wp:positionV>
          <wp:extent cx="7551792" cy="10680316"/>
          <wp:effectExtent l="0" t="0" r="0" b="0"/>
          <wp:wrapNone/>
          <wp:docPr id="2115448970" name="image1.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Interfaz de usuario gráfica&#10;&#10;El contenido generado por IA puede ser incorrecto."/>
                  <pic:cNvPicPr preferRelativeResize="0"/>
                </pic:nvPicPr>
                <pic:blipFill>
                  <a:blip r:embed="rId1"/>
                  <a:srcRect/>
                  <a:stretch>
                    <a:fillRect/>
                  </a:stretch>
                </pic:blipFill>
                <pic:spPr>
                  <a:xfrm>
                    <a:off x="0" y="0"/>
                    <a:ext cx="7551792" cy="1068031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4C84"/>
    <w:multiLevelType w:val="multilevel"/>
    <w:tmpl w:val="67D6FA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8DF"/>
    <w:rsid w:val="00001178"/>
    <w:rsid w:val="00062676"/>
    <w:rsid w:val="000F184B"/>
    <w:rsid w:val="00127962"/>
    <w:rsid w:val="001F6D2B"/>
    <w:rsid w:val="00303E1F"/>
    <w:rsid w:val="003808DF"/>
    <w:rsid w:val="004760D5"/>
    <w:rsid w:val="005D0684"/>
    <w:rsid w:val="0067656A"/>
    <w:rsid w:val="009900C8"/>
    <w:rsid w:val="00B02D25"/>
    <w:rsid w:val="00B62665"/>
    <w:rsid w:val="00E72C1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8C22"/>
  <w15:docId w15:val="{DB786B42-3236-4ED8-987E-FC30EDDF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34"/>
    <w:qFormat/>
    <w:rsid w:val="00F6780D"/>
    <w:pPr>
      <w:ind w:left="720"/>
      <w:contextualSpacing/>
    </w:pPr>
    <w:rPr>
      <w:rFonts w:ascii="Georgia" w:hAnsi="Georgia"/>
      <w:lang w:val="es-AR"/>
    </w:rPr>
  </w:style>
  <w:style w:type="paragraph" w:styleId="Encabezado">
    <w:name w:val="header"/>
    <w:basedOn w:val="Normal"/>
    <w:link w:val="EncabezadoCar"/>
    <w:uiPriority w:val="99"/>
    <w:unhideWhenUsed/>
    <w:rsid w:val="00F678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780D"/>
  </w:style>
  <w:style w:type="paragraph" w:styleId="Piedepgina">
    <w:name w:val="footer"/>
    <w:basedOn w:val="Normal"/>
    <w:link w:val="PiedepginaCar"/>
    <w:uiPriority w:val="99"/>
    <w:unhideWhenUsed/>
    <w:rsid w:val="00F678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780D"/>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ipervnculo">
    <w:name w:val="Hyperlink"/>
    <w:basedOn w:val="Fuentedeprrafopredeter"/>
    <w:uiPriority w:val="99"/>
    <w:unhideWhenUsed/>
    <w:rsid w:val="004760D5"/>
    <w:rPr>
      <w:color w:val="0563C1" w:themeColor="hyperlink"/>
      <w:u w:val="single"/>
    </w:rPr>
  </w:style>
  <w:style w:type="character" w:styleId="Mencinsinresolver">
    <w:name w:val="Unresolved Mention"/>
    <w:basedOn w:val="Fuentedeprrafopredeter"/>
    <w:uiPriority w:val="99"/>
    <w:semiHidden/>
    <w:unhideWhenUsed/>
    <w:rsid w:val="004760D5"/>
    <w:rPr>
      <w:color w:val="605E5C"/>
      <w:shd w:val="clear" w:color="auto" w:fill="E1DFDD"/>
    </w:rPr>
  </w:style>
  <w:style w:type="character" w:styleId="Hipervnculovisitado">
    <w:name w:val="FollowedHyperlink"/>
    <w:basedOn w:val="Fuentedeprrafopredeter"/>
    <w:uiPriority w:val="99"/>
    <w:semiHidden/>
    <w:unhideWhenUsed/>
    <w:rsid w:val="00127962"/>
    <w:rPr>
      <w:color w:val="954F72" w:themeColor="followedHyperlink"/>
      <w:u w:val="single"/>
    </w:rPr>
  </w:style>
  <w:style w:type="paragraph" w:styleId="NormalWeb">
    <w:name w:val="Normal (Web)"/>
    <w:basedOn w:val="Normal"/>
    <w:uiPriority w:val="99"/>
    <w:semiHidden/>
    <w:unhideWhenUsed/>
    <w:rsid w:val="00E72C14"/>
    <w:pPr>
      <w:spacing w:before="100" w:beforeAutospacing="1" w:after="100" w:afterAutospacing="1" w:line="240" w:lineRule="auto"/>
    </w:pPr>
    <w:rPr>
      <w:rFonts w:ascii="Times New Roman" w:eastAsia="Times New Roman" w:hAnsi="Times New Roman" w:cs="Times New Roman"/>
      <w:sz w:val="24"/>
      <w:szCs w:val="24"/>
      <w:lang w:val="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228983">
      <w:bodyDiv w:val="1"/>
      <w:marLeft w:val="0"/>
      <w:marRight w:val="0"/>
      <w:marTop w:val="0"/>
      <w:marBottom w:val="0"/>
      <w:divBdr>
        <w:top w:val="none" w:sz="0" w:space="0" w:color="auto"/>
        <w:left w:val="none" w:sz="0" w:space="0" w:color="auto"/>
        <w:bottom w:val="none" w:sz="0" w:space="0" w:color="auto"/>
        <w:right w:val="none" w:sz="0" w:space="0" w:color="auto"/>
      </w:divBdr>
    </w:div>
    <w:div w:id="1786077899">
      <w:bodyDiv w:val="1"/>
      <w:marLeft w:val="0"/>
      <w:marRight w:val="0"/>
      <w:marTop w:val="0"/>
      <w:marBottom w:val="0"/>
      <w:divBdr>
        <w:top w:val="none" w:sz="0" w:space="0" w:color="auto"/>
        <w:left w:val="none" w:sz="0" w:space="0" w:color="auto"/>
        <w:bottom w:val="none" w:sz="0" w:space="0" w:color="auto"/>
        <w:right w:val="none" w:sz="0" w:space="0" w:color="auto"/>
      </w:divBdr>
    </w:div>
    <w:div w:id="1796368395">
      <w:bodyDiv w:val="1"/>
      <w:marLeft w:val="0"/>
      <w:marRight w:val="0"/>
      <w:marTop w:val="0"/>
      <w:marBottom w:val="0"/>
      <w:divBdr>
        <w:top w:val="none" w:sz="0" w:space="0" w:color="auto"/>
        <w:left w:val="none" w:sz="0" w:space="0" w:color="auto"/>
        <w:bottom w:val="none" w:sz="0" w:space="0" w:color="auto"/>
        <w:right w:val="none" w:sz="0" w:space="0" w:color="auto"/>
      </w:divBdr>
    </w:div>
    <w:div w:id="1838156649">
      <w:bodyDiv w:val="1"/>
      <w:marLeft w:val="0"/>
      <w:marRight w:val="0"/>
      <w:marTop w:val="0"/>
      <w:marBottom w:val="0"/>
      <w:divBdr>
        <w:top w:val="none" w:sz="0" w:space="0" w:color="auto"/>
        <w:left w:val="none" w:sz="0" w:space="0" w:color="auto"/>
        <w:bottom w:val="none" w:sz="0" w:space="0" w:color="auto"/>
        <w:right w:val="none" w:sz="0" w:space="0" w:color="auto"/>
      </w:divBdr>
    </w:div>
    <w:div w:id="1925333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le-economy.com/knowledge-hub/article/7031" TargetMode="External"/><Relationship Id="rId13" Type="http://schemas.openxmlformats.org/officeDocument/2006/relationships/hyperlink" Target="https://claude.a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yectohormiga.com.ar/valorizacion-residuos-pod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bnor.gob.mx/revista-rns/pdfs/vol1num3EE/3_RESIDUOS.pdf" TargetMode="External"/><Relationship Id="rId5" Type="http://schemas.openxmlformats.org/officeDocument/2006/relationships/webSettings" Target="webSettings.xml"/><Relationship Id="rId15" Type="http://schemas.openxmlformats.org/officeDocument/2006/relationships/hyperlink" Target="https://gemini.google.com" TargetMode="External"/><Relationship Id="rId10" Type="http://schemas.openxmlformats.org/officeDocument/2006/relationships/hyperlink" Target="https://ledslac.org/wp-content/uploads/2021/07/cuadernillo-gestion-residuos-verdes_2021-1.pdf" TargetMode="External"/><Relationship Id="rId4" Type="http://schemas.openxmlformats.org/officeDocument/2006/relationships/settings" Target="settings.xml"/><Relationship Id="rId9" Type="http://schemas.openxmlformats.org/officeDocument/2006/relationships/hyperlink" Target="https://doi.org/10.18235/0003971" TargetMode="External"/><Relationship Id="rId14" Type="http://schemas.openxmlformats.org/officeDocument/2006/relationships/hyperlink" Target="https://openai.com/" TargetMode="External"/><Relationship Id="rId19" Type="http://schemas.openxmlformats.org/officeDocument/2006/relationships/hyperlink" Target="https://doi.org/10.18846/renaysoc.2021.07.07.03.0004" TargetMode="External"/><Relationship Id="rId20" Type="http://schemas.openxmlformats.org/officeDocument/2006/relationships/hyperlink" Target="https://marena.gob.ni/Enderedd/wp-content/uploads/Docs/Documentos%20Tecnicos/estrategia_lena_carbon%20en%20Nicaragua.pdf" TargetMode="External"/><Relationship Id="rId21" Type="http://schemas.openxmlformats.org/officeDocument/2006/relationships/hyperlink" Target="https://www.argentina.gob.ar/inta/ciap/guia-tecnica-para-el-diseno-de-plantas-de-compostaje-de-poda-urbana" TargetMode="External"/><Relationship Id="rId22" Type="http://schemas.openxmlformats.org/officeDocument/2006/relationships/hyperlink" Target="https://www.anthropic.com/claude-opus-5-5" TargetMode="External"/><Relationship Id="rId23" Type="http://schemas.openxmlformats.org/officeDocument/2006/relationships/hyperlink" Target="https://www.blender.org/releases/4-5/" TargetMode="External"/><Relationship Id="rId24" Type="http://schemas.openxmlformats.org/officeDocument/2006/relationships/hyperlink" Target="https://ai.google.dev/gemini-api/docs/models" TargetMode="External"/><Relationship Id="rId25" Type="http://schemas.openxmlformats.org/officeDocument/2006/relationships/hyperlink" Target="https://openai.com/index/gpt-4o-mini-advancing-cost-efficient-intelligence/" TargetMode="External"/><Relationship Id="rId26" Type="http://schemas.openxmlformats.org/officeDocument/2006/relationships/hyperlink" Target="https://openai.com/code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MCrvF3PQddrFNWtsvTfp4Ze2WA==">CgMxLjAyD2lkLjdlbWYwczRtcmM0MzIPaWQuazRmYzBnYjN0a3J3Mg9pZC5maDZzNmY4MjF6YTgyD2lkLjFobnllbW43cjg1YjIPaWQuZm0ydWptMzBvbHMyMg9pZC5qcjluaG42b2RtOXAyD2lkLjh2M2d2MDVqdzMxejIPaWQubHZqanppcG1zcnViMg9pZC5sdTBtcXQ5OTg1NDMyD2lkLml3bGtqaGplaW9lbDgAciExVjhIaHRrLXlWam44UEFMLVdzZ19Hdl9xU09vRHJUW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1739</Words>
  <Characters>9565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ACME</dc:creator>
  <cp:lastModifiedBy>Equipo ACME</cp:lastModifiedBy>
  <cp:revision>2</cp:revision>
  <dcterms:created xsi:type="dcterms:W3CDTF">2026-10-17T14:54:00Z</dcterms:created>
  <dcterms:modified xsi:type="dcterms:W3CDTF">2026-10-17T14:54:00Z</dcterms:modified>
  <dc:title>ReVerde — Reporte pautado de resolución del desafío 04</dc:title>
  <dc:subject>Equipo ACME — Rally Latinoamericano de Innovación 2026</dc:subject>
</cp:coreProperties>
</file>