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before="1400"/>
        <w:ind w:left="0"/>
        <w:jc w:val="center"/>
      </w:pPr>
      <w:r>
        <w:rPr>
          <w:rFonts w:ascii="Times New Roman" w:hAnsi="Times New Roman" w:eastAsia="Times New Roman"/>
          <w:b/>
          <w:i w:val="0"/>
          <w:color w:val="1F3864"/>
          <w:sz w:val="38"/>
        </w:rPr>
        <w:t>PEDIDO DE PATENTE DE INVENÇÃO</w:t>
      </w:r>
    </w:p>
    <w:p>
      <w:pPr>
        <w:spacing w:after="100" w:line="288" w:lineRule="auto"/>
        <w:ind w:left="0"/>
        <w:jc w:val="center"/>
      </w:pPr>
      <w:r>
        <w:rPr>
          <w:rFonts w:ascii="Times New Roman" w:hAnsi="Times New Roman" w:eastAsia="Times New Roman"/>
          <w:b w:val="0"/>
          <w:i w:val="0"/>
          <w:color w:val="595959"/>
          <w:sz w:val="22"/>
        </w:rPr>
        <w:t>Memória descritiva, reivindicações, resumo e figuras</w:t>
      </w:r>
    </w:p>
    <w:p>
      <w:pPr>
        <w:spacing w:after="100" w:line="288" w:lineRule="auto"/>
        <w:ind w:left="0"/>
        <w:jc w:val="center"/>
      </w:pPr>
      <w:r>
        <w:rPr>
          <w:rFonts w:ascii="Times New Roman" w:hAnsi="Times New Roman" w:eastAsia="Times New Roman"/>
          <w:b w:val="0"/>
          <w:i w:val="0"/>
          <w:color w:val="595959"/>
          <w:sz w:val="22"/>
        </w:rPr>
        <w:t>Instituto Angolano da Propriedade Industrial (IAPI/AOPI) — República de Angola</w:t>
      </w:r>
    </w:p>
    <w:p>
      <w:pPr>
        <w:keepNext/>
        <w:spacing w:after="160" w:line="276" w:lineRule="auto" w:before="340"/>
        <w:ind w:left="0"/>
        <w:jc w:val="left"/>
        <w:pBdr>
          <w:bottom w:val="single" w:sz="6" w:space="4" w:color="1F3864"/>
        </w:pBdr>
      </w:pPr>
      <w:r>
        <w:rPr>
          <w:rFonts w:ascii="Times New Roman" w:hAnsi="Times New Roman" w:eastAsia="Times New Roman"/>
          <w:b/>
          <w:i w:val="0"/>
          <w:color w:val="1F3864"/>
          <w:sz w:val="28"/>
        </w:rPr>
        <w:t>Folha de identificação</w:t>
      </w:r>
    </w:p>
    <w:p>
      <w:pPr>
        <w:spacing w:after="120" w:line="317" w:lineRule="auto"/>
        <w:ind w:left="0"/>
        <w:jc w:val="both"/>
      </w:pPr>
      <w:r>
        <w:rPr>
          <w:rFonts w:ascii="Times New Roman" w:hAnsi="Times New Roman" w:eastAsia="Times New Roman"/>
          <w:b/>
          <w:i w:val="0"/>
          <w:sz w:val="22"/>
        </w:rPr>
        <w:t xml:space="preserve">Título da invenção: </w:t>
      </w:r>
      <w:r>
        <w:rPr>
          <w:rFonts w:ascii="Times New Roman" w:hAnsi="Times New Roman" w:eastAsia="Times New Roman"/>
          <w:b w:val="0"/>
          <w:i w:val="0"/>
          <w:sz w:val="22"/>
        </w:rPr>
        <w:t>Sistema e método de remediação autónoma verificada de infraestrutura de tecnologias de informação, com raciocínio por modelo de linguagem confinado ao tempo de autoria, execução determinística sem agente residente e ciclo fechado de verificação sobre a mesma série métrica de detecção</w:t>
      </w:r>
    </w:p>
    <w:p>
      <w:pPr>
        <w:spacing w:after="120" w:line="317" w:lineRule="auto"/>
        <w:ind w:left="0"/>
        <w:jc w:val="both"/>
      </w:pPr>
      <w:r>
        <w:rPr>
          <w:rFonts w:ascii="Times New Roman" w:hAnsi="Times New Roman" w:eastAsia="Times New Roman"/>
          <w:b/>
          <w:i w:val="0"/>
          <w:sz w:val="22"/>
        </w:rPr>
        <w:t xml:space="preserve">Título abreviado: </w:t>
      </w:r>
      <w:r>
        <w:rPr>
          <w:rFonts w:ascii="Times New Roman" w:hAnsi="Times New Roman" w:eastAsia="Times New Roman"/>
          <w:b w:val="0"/>
          <w:i w:val="0"/>
          <w:sz w:val="22"/>
        </w:rPr>
        <w:t>Plataforma de remediação autónoma verificada com autonomia governada por política</w:t>
      </w:r>
    </w:p>
    <w:p>
      <w:pPr>
        <w:spacing w:after="120" w:line="317" w:lineRule="auto"/>
        <w:ind w:left="0"/>
        <w:jc w:val="both"/>
      </w:pPr>
      <w:r>
        <w:rPr>
          <w:rFonts w:ascii="Times New Roman" w:hAnsi="Times New Roman" w:eastAsia="Times New Roman"/>
          <w:b/>
          <w:i w:val="0"/>
          <w:sz w:val="22"/>
        </w:rPr>
        <w:t xml:space="preserve">Classificação IPC proposta: </w:t>
      </w:r>
      <w:r>
        <w:rPr>
          <w:rFonts w:ascii="Times New Roman" w:hAnsi="Times New Roman" w:eastAsia="Times New Roman"/>
          <w:b w:val="0"/>
          <w:i w:val="0"/>
          <w:sz w:val="22"/>
        </w:rPr>
        <w:t>G06F 11/07 (detecção e recuperação de erros); G06F 11/30 (monitorização); G06F 11/34; G06N 5/04 (inferência); H04L 41/0654 (recuperação de falhas em rede); H04L 41/16 (aprendizagem aplicada a gestão de rede)</w:t>
      </w:r>
    </w:p>
    <w:p>
      <w:pPr>
        <w:spacing w:after="120" w:line="317" w:lineRule="auto"/>
        <w:ind w:left="0"/>
        <w:jc w:val="both"/>
      </w:pPr>
      <w:r>
        <w:rPr>
          <w:rFonts w:ascii="Times New Roman" w:hAnsi="Times New Roman" w:eastAsia="Times New Roman"/>
          <w:b/>
          <w:i w:val="0"/>
          <w:sz w:val="22"/>
        </w:rPr>
        <w:t xml:space="preserve">Requerente: </w:t>
      </w:r>
      <w:r>
        <w:rPr>
          <w:rFonts w:ascii="Times New Roman" w:hAnsi="Times New Roman" w:eastAsia="Times New Roman"/>
          <w:b w:val="0"/>
          <w:i w:val="0"/>
          <w:sz w:val="22"/>
        </w:rPr>
        <w:t>[PREENCHER — denominação social completa]</w:t>
      </w:r>
    </w:p>
    <w:p>
      <w:pPr>
        <w:spacing w:after="120" w:line="317" w:lineRule="auto"/>
        <w:ind w:left="0"/>
        <w:jc w:val="both"/>
      </w:pPr>
      <w:r>
        <w:rPr>
          <w:rFonts w:ascii="Times New Roman" w:hAnsi="Times New Roman" w:eastAsia="Times New Roman"/>
          <w:b/>
          <w:i w:val="0"/>
          <w:sz w:val="22"/>
        </w:rPr>
        <w:t xml:space="preserve">NIF do requerente: </w:t>
      </w:r>
      <w:r>
        <w:rPr>
          <w:rFonts w:ascii="Times New Roman" w:hAnsi="Times New Roman" w:eastAsia="Times New Roman"/>
          <w:b w:val="0"/>
          <w:i w:val="0"/>
          <w:sz w:val="22"/>
        </w:rPr>
        <w:t>[PREENCHER]</w:t>
      </w:r>
    </w:p>
    <w:p>
      <w:pPr>
        <w:spacing w:after="120" w:line="317" w:lineRule="auto"/>
        <w:ind w:left="0"/>
        <w:jc w:val="both"/>
      </w:pPr>
      <w:r>
        <w:rPr>
          <w:rFonts w:ascii="Times New Roman" w:hAnsi="Times New Roman" w:eastAsia="Times New Roman"/>
          <w:b/>
          <w:i w:val="0"/>
          <w:sz w:val="22"/>
        </w:rPr>
        <w:t xml:space="preserve">Sede: </w:t>
      </w:r>
      <w:r>
        <w:rPr>
          <w:rFonts w:ascii="Times New Roman" w:hAnsi="Times New Roman" w:eastAsia="Times New Roman"/>
          <w:b w:val="0"/>
          <w:i w:val="0"/>
          <w:sz w:val="22"/>
        </w:rPr>
        <w:t>[PREENCHER — endereço completo, província, Angola]</w:t>
      </w:r>
    </w:p>
    <w:p>
      <w:pPr>
        <w:spacing w:after="120" w:line="317" w:lineRule="auto"/>
        <w:ind w:left="0"/>
        <w:jc w:val="both"/>
      </w:pPr>
      <w:r>
        <w:rPr>
          <w:rFonts w:ascii="Times New Roman" w:hAnsi="Times New Roman" w:eastAsia="Times New Roman"/>
          <w:b/>
          <w:i w:val="0"/>
          <w:sz w:val="22"/>
        </w:rPr>
        <w:t xml:space="preserve">Inventor(es): </w:t>
      </w:r>
      <w:r>
        <w:rPr>
          <w:rFonts w:ascii="Times New Roman" w:hAnsi="Times New Roman" w:eastAsia="Times New Roman"/>
          <w:b w:val="0"/>
          <w:i w:val="0"/>
          <w:sz w:val="22"/>
        </w:rPr>
        <w:t>[PREENCHER — nome completo, nacionalidade, residência]</w:t>
      </w:r>
    </w:p>
    <w:p>
      <w:pPr>
        <w:spacing w:after="120" w:line="317" w:lineRule="auto"/>
        <w:ind w:left="0"/>
        <w:jc w:val="both"/>
      </w:pPr>
      <w:r>
        <w:rPr>
          <w:rFonts w:ascii="Times New Roman" w:hAnsi="Times New Roman" w:eastAsia="Times New Roman"/>
          <w:b/>
          <w:i w:val="0"/>
          <w:sz w:val="22"/>
        </w:rPr>
        <w:t xml:space="preserve">Mandatário / procurador: </w:t>
      </w:r>
      <w:r>
        <w:rPr>
          <w:rFonts w:ascii="Times New Roman" w:hAnsi="Times New Roman" w:eastAsia="Times New Roman"/>
          <w:b w:val="0"/>
          <w:i w:val="0"/>
          <w:sz w:val="22"/>
        </w:rPr>
        <w:t>[PREENCHER, se aplicável]</w:t>
      </w:r>
    </w:p>
    <w:p>
      <w:pPr>
        <w:spacing w:after="120" w:line="317" w:lineRule="auto"/>
        <w:ind w:left="0"/>
        <w:jc w:val="both"/>
      </w:pPr>
      <w:r>
        <w:rPr>
          <w:rFonts w:ascii="Times New Roman" w:hAnsi="Times New Roman" w:eastAsia="Times New Roman"/>
          <w:b/>
          <w:i w:val="0"/>
          <w:sz w:val="22"/>
        </w:rPr>
        <w:t xml:space="preserve">Natureza do pedido: </w:t>
      </w:r>
      <w:r>
        <w:rPr>
          <w:rFonts w:ascii="Times New Roman" w:hAnsi="Times New Roman" w:eastAsia="Times New Roman"/>
          <w:b w:val="0"/>
          <w:i w:val="0"/>
          <w:sz w:val="22"/>
        </w:rPr>
        <w:t>Patente de invenção (pedido novo e independente)</w:t>
      </w:r>
    </w:p>
    <w:p>
      <w:pPr>
        <w:spacing w:after="120" w:line="317" w:lineRule="auto"/>
        <w:ind w:left="0"/>
        <w:jc w:val="both"/>
      </w:pPr>
      <w:r>
        <w:rPr>
          <w:rFonts w:ascii="Times New Roman" w:hAnsi="Times New Roman" w:eastAsia="Times New Roman"/>
          <w:b/>
          <w:i w:val="0"/>
          <w:sz w:val="22"/>
        </w:rPr>
        <w:t xml:space="preserve">Prioridade reivindicada: </w:t>
      </w:r>
      <w:r>
        <w:rPr>
          <w:rFonts w:ascii="Times New Roman" w:hAnsi="Times New Roman" w:eastAsia="Times New Roman"/>
          <w:b w:val="0"/>
          <w:i w:val="0"/>
          <w:sz w:val="22"/>
        </w:rPr>
        <w:t>Nenhuma / [PREENCHER se aplicável]</w:t>
      </w:r>
    </w:p>
    <w:p>
      <w:pPr>
        <w:spacing w:after="120" w:line="317" w:lineRule="auto"/>
        <w:ind w:left="0"/>
        <w:jc w:val="both"/>
      </w:pPr>
      <w:r>
        <w:rPr>
          <w:rFonts w:ascii="Times New Roman" w:hAnsi="Times New Roman" w:eastAsia="Times New Roman"/>
          <w:b/>
          <w:i w:val="0"/>
          <w:sz w:val="22"/>
        </w:rPr>
        <w:t xml:space="preserve">Pedido relacionado do mesmo requerente: </w:t>
      </w:r>
      <w:r>
        <w:rPr>
          <w:rFonts w:ascii="Times New Roman" w:hAnsi="Times New Roman" w:eastAsia="Times New Roman"/>
          <w:b w:val="0"/>
          <w:i w:val="0"/>
          <w:sz w:val="22"/>
        </w:rPr>
        <w:t>Pedido anterior relativo a compilador de linguagem natural em grafo de automação executável ("Mecanismo C"), identificado na presente memória como pedido anterior do próprio requerente e não divulgado ao público. A presente invenção é distinta e não depende da concessão daquele pedido.</w:t>
      </w:r>
    </w:p>
    <w:p>
      <w:pPr>
        <w:spacing w:after="120" w:line="317" w:lineRule="auto"/>
        <w:ind w:left="0"/>
        <w:jc w:val="both"/>
      </w:pPr>
      <w:r>
        <w:rPr>
          <w:rFonts w:ascii="Times New Roman" w:hAnsi="Times New Roman" w:eastAsia="Times New Roman"/>
          <w:b/>
          <w:i w:val="0"/>
          <w:sz w:val="22"/>
        </w:rPr>
        <w:t xml:space="preserve">Data: </w:t>
      </w:r>
      <w:r>
        <w:rPr>
          <w:rFonts w:ascii="Times New Roman" w:hAnsi="Times New Roman" w:eastAsia="Times New Roman"/>
          <w:b w:val="0"/>
          <w:i w:val="0"/>
          <w:sz w:val="22"/>
        </w:rPr>
        <w:t>[PREENCHER]</w:t>
      </w:r>
    </w:p>
    <w:p>
      <w:pPr>
        <w:spacing w:after="200" w:line="288" w:lineRule="auto" w:before="160"/>
        <w:ind w:left="340"/>
        <w:jc w:val="both"/>
        <w:pBdr>
          <w:left w:val="single" w:sz="12" w:space="10" w:color="BFA36A"/>
        </w:pBdr>
      </w:pPr>
      <w:r>
        <w:rPr>
          <w:rFonts w:ascii="Times New Roman" w:hAnsi="Times New Roman" w:eastAsia="Times New Roman"/>
          <w:b w:val="0"/>
          <w:i/>
          <w:color w:val="3A3A3A"/>
          <w:sz w:val="20"/>
        </w:rPr>
        <w:t>Nota ao redactor e ao mandatário: os campos assinalados com [PREENCHER] devem ser completados antes da submissão. As figuras são apresentadas na secção 8 em forma esquemática textual e devem ser redesenhadas como pranchas de desenho formais, a tinta preta, com os números de referência aqui utilizados, em conformidade com os requisitos de forma do IAPI. A numeração de parágrafos entre parênteses rectos facilita a citação em exame e em eventual resposta a objecções.</w:t>
      </w:r>
    </w:p>
    <w:p>
      <w:r>
        <w:br w:type="page"/>
      </w:r>
    </w:p>
    <w:p>
      <w:pPr>
        <w:keepNext/>
        <w:spacing w:after="160" w:line="276" w:lineRule="auto" w:before="340"/>
        <w:ind w:left="0"/>
        <w:jc w:val="left"/>
        <w:pBdr>
          <w:bottom w:val="single" w:sz="6" w:space="4" w:color="1F3864"/>
        </w:pBdr>
      </w:pPr>
      <w:r>
        <w:rPr>
          <w:rFonts w:ascii="Times New Roman" w:hAnsi="Times New Roman" w:eastAsia="Times New Roman"/>
          <w:b/>
          <w:i w:val="0"/>
          <w:color w:val="1F3864"/>
          <w:sz w:val="28"/>
        </w:rPr>
        <w:t>1. Título da invenção</w:t>
      </w:r>
    </w:p>
    <w:p>
      <w:pPr>
        <w:spacing w:after="160" w:line="317" w:lineRule="auto"/>
        <w:ind w:left="0"/>
        <w:jc w:val="both"/>
      </w:pPr>
      <w:r>
        <w:rPr>
          <w:rFonts w:ascii="Times New Roman" w:hAnsi="Times New Roman" w:eastAsia="Times New Roman"/>
          <w:b/>
          <w:i w:val="0"/>
          <w:color w:val="1F3864"/>
          <w:sz w:val="22"/>
        </w:rPr>
        <w:t xml:space="preserve">[0001]  </w:t>
      </w:r>
      <w:r>
        <w:rPr>
          <w:rFonts w:ascii="Times New Roman" w:hAnsi="Times New Roman" w:eastAsia="Times New Roman"/>
          <w:b w:val="0"/>
          <w:i w:val="0"/>
          <w:sz w:val="22"/>
        </w:rPr>
        <w:t>Sistema e método de remediação autónoma verificada de infraestrutura de tecnologias de informação, no qual o raciocínio por modelo de linguagem de grande escala está confinado ao tempo de autoria de procedimentos de correcção, a decisão de autonomia é determinada exclusivamente por um motor de política avaliado em código determinístico, a execução é realizada sobre equipamentos alvo sem necessidade de agente de software residente, e o ciclo de remediação apenas se considera concluído com êxito após reavaliação da mesma série métrica canónica que originou a detecção.</w:t>
      </w:r>
    </w:p>
    <w:p>
      <w:pPr>
        <w:keepNext/>
        <w:spacing w:after="160" w:line="276" w:lineRule="auto" w:before="340"/>
        <w:ind w:left="0"/>
        <w:jc w:val="left"/>
        <w:pBdr>
          <w:bottom w:val="single" w:sz="6" w:space="4" w:color="1F3864"/>
        </w:pBdr>
      </w:pPr>
      <w:r>
        <w:rPr>
          <w:rFonts w:ascii="Times New Roman" w:hAnsi="Times New Roman" w:eastAsia="Times New Roman"/>
          <w:b/>
          <w:i w:val="0"/>
          <w:color w:val="1F3864"/>
          <w:sz w:val="28"/>
        </w:rPr>
        <w:t>2. Campo técnico da invenção</w:t>
      </w:r>
    </w:p>
    <w:p>
      <w:pPr>
        <w:spacing w:after="160" w:line="317" w:lineRule="auto"/>
        <w:ind w:left="0"/>
        <w:jc w:val="both"/>
      </w:pPr>
      <w:r>
        <w:rPr>
          <w:rFonts w:ascii="Times New Roman" w:hAnsi="Times New Roman" w:eastAsia="Times New Roman"/>
          <w:b/>
          <w:i w:val="0"/>
          <w:color w:val="1F3864"/>
          <w:sz w:val="22"/>
        </w:rPr>
        <w:t xml:space="preserve">[0002]  </w:t>
      </w:r>
      <w:r>
        <w:rPr>
          <w:rFonts w:ascii="Times New Roman" w:hAnsi="Times New Roman" w:eastAsia="Times New Roman"/>
          <w:b w:val="0"/>
          <w:i w:val="0"/>
          <w:sz w:val="22"/>
        </w:rPr>
        <w:t>A presente invenção insere-se no domínio da monitorização, análise e automação operacional de infraestruturas de tecnologias de informação e comunicação, e mais concretamente no domínio dos sistemas de recuperação automática de falhas, correntemente designados por sistemas de auto-reparação ou "self-healing".</w:t>
      </w:r>
    </w:p>
    <w:p>
      <w:pPr>
        <w:spacing w:after="160" w:line="317" w:lineRule="auto"/>
        <w:ind w:left="0"/>
        <w:jc w:val="both"/>
      </w:pPr>
      <w:r>
        <w:rPr>
          <w:rFonts w:ascii="Times New Roman" w:hAnsi="Times New Roman" w:eastAsia="Times New Roman"/>
          <w:b/>
          <w:i w:val="0"/>
          <w:color w:val="1F3864"/>
          <w:sz w:val="22"/>
        </w:rPr>
        <w:t xml:space="preserve">[0003]  </w:t>
      </w:r>
      <w:r>
        <w:rPr>
          <w:rFonts w:ascii="Times New Roman" w:hAnsi="Times New Roman" w:eastAsia="Times New Roman"/>
          <w:b w:val="0"/>
          <w:i w:val="0"/>
          <w:sz w:val="22"/>
        </w:rPr>
        <w:t>A invenção diz respeito, em particular, a um sistema informático que agrega telemetria proveniente de uma pluralidade de plataformas de monitorização de terceiros, estabelece perfis de consumo com sazonalidade para cada entidade monitorizada, antecipa a ocorrência de degradação antes da violação de limiares, selecciona de forma determinística um procedimento de correcção previamente aprovado, submete essa selecção a uma política de autonomia hierárquica, executa o procedimento sobre o equipamento alvo, e verifica objectivamente o resultado da intervenção, revertendo-a ou escalando-a quando o efeito pretendido não se confirma.</w:t>
      </w:r>
    </w:p>
    <w:p>
      <w:pPr>
        <w:keepNext/>
        <w:spacing w:after="160" w:line="276" w:lineRule="auto" w:before="340"/>
        <w:ind w:left="0"/>
        <w:jc w:val="left"/>
        <w:pBdr>
          <w:bottom w:val="single" w:sz="6" w:space="4" w:color="1F3864"/>
        </w:pBdr>
      </w:pPr>
      <w:r>
        <w:rPr>
          <w:rFonts w:ascii="Times New Roman" w:hAnsi="Times New Roman" w:eastAsia="Times New Roman"/>
          <w:b/>
          <w:i w:val="0"/>
          <w:color w:val="1F3864"/>
          <w:sz w:val="28"/>
        </w:rPr>
        <w:t>3. Estado da técnica</w:t>
      </w:r>
    </w:p>
    <w:p>
      <w:pPr>
        <w:keepNext/>
        <w:spacing w:after="120" w:line="276" w:lineRule="auto" w:before="260"/>
        <w:ind w:left="0"/>
        <w:jc w:val="left"/>
      </w:pPr>
      <w:r>
        <w:rPr>
          <w:rFonts w:ascii="Times New Roman" w:hAnsi="Times New Roman" w:eastAsia="Times New Roman"/>
          <w:b/>
          <w:i w:val="0"/>
          <w:color w:val="1F3864"/>
          <w:sz w:val="24"/>
        </w:rPr>
        <w:t>3.1 Sistemas de monitorização e observabilidade</w:t>
      </w:r>
    </w:p>
    <w:p>
      <w:pPr>
        <w:spacing w:after="160" w:line="317" w:lineRule="auto"/>
        <w:ind w:left="0"/>
        <w:jc w:val="both"/>
      </w:pPr>
      <w:r>
        <w:rPr>
          <w:rFonts w:ascii="Times New Roman" w:hAnsi="Times New Roman" w:eastAsia="Times New Roman"/>
          <w:b/>
          <w:i w:val="0"/>
          <w:color w:val="1F3864"/>
          <w:sz w:val="22"/>
        </w:rPr>
        <w:t xml:space="preserve">[0004]  </w:t>
      </w:r>
      <w:r>
        <w:rPr>
          <w:rFonts w:ascii="Times New Roman" w:hAnsi="Times New Roman" w:eastAsia="Times New Roman"/>
          <w:b w:val="0"/>
          <w:i w:val="0"/>
          <w:sz w:val="22"/>
        </w:rPr>
        <w:t>São conhecidas do estado da técnica plataformas de monitorização de infraestrutura que recolhem métricas de equipamentos, serviços e aplicações e emitem alertas quando um valor observado excede um limiar previamente configurado. Estas plataformas são tipicamente organizadas em torno de um agente de software instalado no equipamento monitorizado, ou de protocolos de interrogação remota, e produzem alertas instantâneos por comparação com limiares estáticos ou, em realizações mais avançadas, com bandas estatísticas calculadas sobre janelas móveis.</w:t>
      </w:r>
    </w:p>
    <w:p>
      <w:pPr>
        <w:spacing w:after="160" w:line="317" w:lineRule="auto"/>
        <w:ind w:left="0"/>
        <w:jc w:val="both"/>
      </w:pPr>
      <w:r>
        <w:rPr>
          <w:rFonts w:ascii="Times New Roman" w:hAnsi="Times New Roman" w:eastAsia="Times New Roman"/>
          <w:b/>
          <w:i w:val="0"/>
          <w:color w:val="1F3864"/>
          <w:sz w:val="22"/>
        </w:rPr>
        <w:t xml:space="preserve">[0005]  </w:t>
      </w:r>
      <w:r>
        <w:rPr>
          <w:rFonts w:ascii="Times New Roman" w:hAnsi="Times New Roman" w:eastAsia="Times New Roman"/>
          <w:b w:val="0"/>
          <w:i w:val="0"/>
          <w:sz w:val="22"/>
        </w:rPr>
        <w:t>O inconveniente principal desta classe de sistemas é que termina na notificação. O sistema informa o operador humano de que existe um desvio, mas não intervém; a correcção depende integralmente da disponibilidade, da competência e do tempo de resposta de um operador, o que introduz latência de resolução mensurável em dezenas de minutos ou horas, particularmente fora do horário laboral.</w:t>
      </w:r>
    </w:p>
    <w:p>
      <w:pPr>
        <w:keepNext/>
        <w:spacing w:after="120" w:line="276" w:lineRule="auto" w:before="260"/>
        <w:ind w:left="0"/>
        <w:jc w:val="left"/>
      </w:pPr>
      <w:r>
        <w:rPr>
          <w:rFonts w:ascii="Times New Roman" w:hAnsi="Times New Roman" w:eastAsia="Times New Roman"/>
          <w:b/>
          <w:i w:val="0"/>
          <w:color w:val="1F3864"/>
          <w:sz w:val="24"/>
        </w:rPr>
        <w:t>3.2 Sistemas de automação por sequências pré-programadas</w:t>
      </w:r>
    </w:p>
    <w:p>
      <w:pPr>
        <w:spacing w:after="160" w:line="317" w:lineRule="auto"/>
        <w:ind w:left="0"/>
        <w:jc w:val="both"/>
      </w:pPr>
      <w:r>
        <w:rPr>
          <w:rFonts w:ascii="Times New Roman" w:hAnsi="Times New Roman" w:eastAsia="Times New Roman"/>
          <w:b/>
          <w:i w:val="0"/>
          <w:color w:val="1F3864"/>
          <w:sz w:val="22"/>
        </w:rPr>
        <w:t xml:space="preserve">[0006]  </w:t>
      </w:r>
      <w:r>
        <w:rPr>
          <w:rFonts w:ascii="Times New Roman" w:hAnsi="Times New Roman" w:eastAsia="Times New Roman"/>
          <w:b w:val="0"/>
          <w:i w:val="0"/>
          <w:sz w:val="22"/>
        </w:rPr>
        <w:t>São igualmente conhecidos sistemas de automação operacional que permitem associar a um alerta a execução de um guião ("script") previamente escrito, por vezes designados por sistemas de "event-driven automation" ou de "runbook automation". Nestes sistemas, a associação entre condição e acção é estabelecida manualmente por um engenheiro, e a acção é executada sem qualquer avaliação subsequente do seu efeito.</w:t>
      </w:r>
    </w:p>
    <w:p>
      <w:pPr>
        <w:spacing w:after="160" w:line="317" w:lineRule="auto"/>
        <w:ind w:left="0"/>
        <w:jc w:val="both"/>
      </w:pPr>
      <w:r>
        <w:rPr>
          <w:rFonts w:ascii="Times New Roman" w:hAnsi="Times New Roman" w:eastAsia="Times New Roman"/>
          <w:b/>
          <w:i w:val="0"/>
          <w:color w:val="1F3864"/>
          <w:sz w:val="22"/>
        </w:rPr>
        <w:t xml:space="preserve">[0007]  </w:t>
      </w:r>
      <w:r>
        <w:rPr>
          <w:rFonts w:ascii="Times New Roman" w:hAnsi="Times New Roman" w:eastAsia="Times New Roman"/>
          <w:b w:val="0"/>
          <w:i w:val="0"/>
          <w:sz w:val="22"/>
        </w:rPr>
        <w:t>Os inconvenientes desta classe são três. Primeiro, a associação entre condição e acção é rígida e não tolera variação de contexto, pelo que o mesmo alerta em entidades com funções distintas conduz à mesma acção, frequentemente inadequada. Segundo, a autoria dos guiões exige competência de programação especializada, o que limita a cobertura do catálogo àquilo que a equipa de engenharia teve tempo de escrever. Terceiro, e mais grave, o sistema não sabe se a acção resolveu o problema: executa e considera a tarefa terminada, confundindo execução com resolução.</w:t>
      </w:r>
    </w:p>
    <w:p>
      <w:pPr>
        <w:keepNext/>
        <w:spacing w:after="120" w:line="276" w:lineRule="auto" w:before="260"/>
        <w:ind w:left="0"/>
        <w:jc w:val="left"/>
      </w:pPr>
      <w:r>
        <w:rPr>
          <w:rFonts w:ascii="Times New Roman" w:hAnsi="Times New Roman" w:eastAsia="Times New Roman"/>
          <w:b/>
          <w:i w:val="0"/>
          <w:color w:val="1F3864"/>
          <w:sz w:val="24"/>
        </w:rPr>
        <w:t>3.3 Sistemas de operação assistida por modelos de linguagem</w:t>
      </w:r>
    </w:p>
    <w:p>
      <w:pPr>
        <w:spacing w:after="160" w:line="317" w:lineRule="auto"/>
        <w:ind w:left="0"/>
        <w:jc w:val="both"/>
      </w:pPr>
      <w:r>
        <w:rPr>
          <w:rFonts w:ascii="Times New Roman" w:hAnsi="Times New Roman" w:eastAsia="Times New Roman"/>
          <w:b/>
          <w:i w:val="0"/>
          <w:color w:val="1F3864"/>
          <w:sz w:val="22"/>
        </w:rPr>
        <w:t xml:space="preserve">[0008]  </w:t>
      </w:r>
      <w:r>
        <w:rPr>
          <w:rFonts w:ascii="Times New Roman" w:hAnsi="Times New Roman" w:eastAsia="Times New Roman"/>
          <w:b w:val="0"/>
          <w:i w:val="0"/>
          <w:sz w:val="22"/>
        </w:rPr>
        <w:t>Mais recentemente tornaram-se conhecidos sistemas que submetem o contexto de um incidente a um modelo de linguagem de grande escala e obtêm deste uma hipótese de causa raiz acompanhada de um guião de correcção gerado no momento, bem como, em algumas realizações, uma indicação produzida pelo próprio modelo sobre se o guião pode ou não ser executado sem supervisão humana.</w:t>
      </w:r>
    </w:p>
    <w:p>
      <w:pPr>
        <w:spacing w:after="160" w:line="317" w:lineRule="auto"/>
        <w:ind w:left="0"/>
        <w:jc w:val="both"/>
      </w:pPr>
      <w:r>
        <w:rPr>
          <w:rFonts w:ascii="Times New Roman" w:hAnsi="Times New Roman" w:eastAsia="Times New Roman"/>
          <w:b/>
          <w:i w:val="0"/>
          <w:color w:val="1F3864"/>
          <w:sz w:val="22"/>
        </w:rPr>
        <w:t xml:space="preserve">[0009]  </w:t>
      </w:r>
      <w:r>
        <w:rPr>
          <w:rFonts w:ascii="Times New Roman" w:hAnsi="Times New Roman" w:eastAsia="Times New Roman"/>
          <w:b w:val="0"/>
          <w:i w:val="0"/>
          <w:sz w:val="22"/>
        </w:rPr>
        <w:t>Esta classe de sistemas apresenta inconvenientes técnicos que a presente invenção se propõe resolver e que se enumeram por serem determinantes para a compreensão do carácter inventivo. Adverte-se que a enumeração seguinte caracteriza a classe de soluções conhecida e abrange igualmente realizações anteriores não divulgadas do próprio requerente, as quais, por não terem sido tornadas acessíveis ao público, não integram o estado da técnica oponível:</w:t>
      </w:r>
    </w:p>
    <w:p>
      <w:pPr>
        <w:pStyle w:val="ListBullet"/>
        <w:spacing w:after="120" w:line="307" w:lineRule="auto"/>
        <w:ind w:left="520"/>
        <w:jc w:val="both"/>
      </w:pPr>
      <w:r>
        <w:rPr>
          <w:rFonts w:ascii="Times New Roman" w:hAnsi="Times New Roman"/>
          <w:sz w:val="22"/>
        </w:rPr>
        <w:t>Geração de código inédito em produção. O guião executado sobre um equipamento em produção durante um incidente nunca foi anteriormente executado, revisto nem testado. Um erro de geração, uma alucinação de nome de serviço ou uma inversão de sinal numa condição produzem dano directo em ambiente produtivo, no momento em que o ambiente está já degradado.</w:t>
      </w:r>
    </w:p>
    <w:p>
      <w:pPr>
        <w:pStyle w:val="ListBullet"/>
        <w:spacing w:after="120" w:line="307" w:lineRule="auto"/>
        <w:ind w:left="520"/>
        <w:jc w:val="both"/>
      </w:pPr>
      <w:r>
        <w:rPr>
          <w:rFonts w:ascii="Times New Roman" w:hAnsi="Times New Roman"/>
          <w:sz w:val="22"/>
        </w:rPr>
        <w:t>Não determinismo perante o mesmo problema. Duas ocorrências do mesmo problema nominal produzem guiões diferentes, porque a inferência do modelo é estocástica e depende da versão do modelo. O comportamento do sistema deixa de ser reproduzível e, consequentemente, deixa de ser auditável e certificável.</w:t>
      </w:r>
    </w:p>
    <w:p>
      <w:pPr>
        <w:pStyle w:val="ListBullet"/>
        <w:spacing w:after="120" w:line="307" w:lineRule="auto"/>
        <w:ind w:left="520"/>
        <w:jc w:val="both"/>
      </w:pPr>
      <w:r>
        <w:rPr>
          <w:rFonts w:ascii="Times New Roman" w:hAnsi="Times New Roman"/>
          <w:sz w:val="22"/>
        </w:rPr>
        <w:t>Custo e latência por incidente. Cada incidente implica uma ou mais inferências do modelo, com custo monetário e latência de segundos a dezenas de segundos, precisamente no momento em que a latência é crítica.</w:t>
      </w:r>
    </w:p>
    <w:p>
      <w:pPr>
        <w:pStyle w:val="ListBullet"/>
        <w:spacing w:after="120" w:line="307" w:lineRule="auto"/>
        <w:ind w:left="520"/>
        <w:jc w:val="both"/>
      </w:pPr>
      <w:r>
        <w:rPr>
          <w:rFonts w:ascii="Times New Roman" w:hAnsi="Times New Roman"/>
          <w:sz w:val="22"/>
        </w:rPr>
        <w:t>Delegação ao modelo da decisão de autonomia. Sendo o próprio modelo a classificar o risco da acção e a declarar se esta pode executar sem aprovação, o critério de segurança do sistema passa a residir num componente estocástico e não inspeccionável, em lugar de residir numa regra explícita e auditável definida pela organização.</w:t>
      </w:r>
    </w:p>
    <w:p>
      <w:pPr>
        <w:pStyle w:val="ListBullet"/>
        <w:spacing w:after="120" w:line="307" w:lineRule="auto"/>
        <w:ind w:left="520"/>
        <w:jc w:val="both"/>
      </w:pPr>
      <w:r>
        <w:rPr>
          <w:rFonts w:ascii="Times New Roman" w:hAnsi="Times New Roman"/>
          <w:sz w:val="22"/>
        </w:rPr>
        <w:t>Ausência de verificação. Tal como nos sistemas da secção 3.2, o ciclo termina na execução. Não existe reavaliação do indicador que motivou a intervenção, pelo que o sistema não distingue uma correcção eficaz de uma correcção inócua, nem de uma correcção que agravou a situação.</w:t>
      </w:r>
    </w:p>
    <w:p>
      <w:pPr>
        <w:pStyle w:val="ListBullet"/>
        <w:spacing w:after="120" w:line="307" w:lineRule="auto"/>
        <w:ind w:left="520"/>
        <w:jc w:val="both"/>
      </w:pPr>
      <w:r>
        <w:rPr>
          <w:rFonts w:ascii="Times New Roman" w:hAnsi="Times New Roman"/>
          <w:sz w:val="22"/>
        </w:rPr>
        <w:t>Ausência de reversão. Nenhuma acção registando o estado anterior, não existe forma de repor o sistema na condição precedente quando a intervenção se revela prejudicial.</w:t>
      </w:r>
    </w:p>
    <w:p>
      <w:pPr>
        <w:keepNext/>
        <w:spacing w:after="120" w:line="276" w:lineRule="auto" w:before="260"/>
        <w:ind w:left="0"/>
        <w:jc w:val="left"/>
      </w:pPr>
      <w:r>
        <w:rPr>
          <w:rFonts w:ascii="Times New Roman" w:hAnsi="Times New Roman" w:eastAsia="Times New Roman"/>
          <w:b/>
          <w:i w:val="0"/>
          <w:color w:val="1F3864"/>
          <w:sz w:val="24"/>
        </w:rPr>
        <w:t>3.4 Técnica anterior do próprio requerente</w:t>
      </w:r>
    </w:p>
    <w:p>
      <w:pPr>
        <w:spacing w:after="160" w:line="317" w:lineRule="auto"/>
        <w:ind w:left="0"/>
        <w:jc w:val="both"/>
      </w:pPr>
      <w:r>
        <w:rPr>
          <w:rFonts w:ascii="Times New Roman" w:hAnsi="Times New Roman" w:eastAsia="Times New Roman"/>
          <w:b/>
          <w:i w:val="0"/>
          <w:color w:val="1F3864"/>
          <w:sz w:val="22"/>
        </w:rPr>
        <w:t xml:space="preserve">[0010]  </w:t>
      </w:r>
      <w:r>
        <w:rPr>
          <w:rFonts w:ascii="Times New Roman" w:hAnsi="Times New Roman" w:eastAsia="Times New Roman"/>
          <w:b w:val="0"/>
          <w:i w:val="0"/>
          <w:sz w:val="22"/>
        </w:rPr>
        <w:t>O requerente apresentou pedido de patente anterior, cuja tramitação decorre, relativo a um mecanismo de compilação de instruções em linguagem natural num grafo de automação executável, composto por nós de um vocabulário fechado e predefinido e por arestas de dependência, executado por ordenação topológica sem recurso ao modelo de linguagem em tempo de execução. Esse mecanismo, doravante designado por compilador de autoria (220), resolve o problema da autoria de automação por operadores sem competência de programação, e é utilizado na presente invenção como componente, sem que a presente invenção dele dependa.</w:t>
      </w:r>
    </w:p>
    <w:p>
      <w:pPr>
        <w:spacing w:after="160" w:line="317" w:lineRule="auto"/>
        <w:ind w:left="0"/>
        <w:jc w:val="both"/>
      </w:pPr>
      <w:r>
        <w:rPr>
          <w:rFonts w:ascii="Times New Roman" w:hAnsi="Times New Roman" w:eastAsia="Times New Roman"/>
          <w:b/>
          <w:i w:val="0"/>
          <w:color w:val="1F3864"/>
          <w:sz w:val="22"/>
        </w:rPr>
        <w:t xml:space="preserve">[0011]  </w:t>
      </w:r>
      <w:r>
        <w:rPr>
          <w:rFonts w:ascii="Times New Roman" w:hAnsi="Times New Roman" w:eastAsia="Times New Roman"/>
          <w:b w:val="0"/>
          <w:i w:val="0"/>
          <w:sz w:val="22"/>
        </w:rPr>
        <w:t>O compilador de autoria (220), tomado isoladamente, não resolve nenhum dos inconvenientes enumerados em 0009 no que respeita à correcção autónoma de infraestrutura: não estabelece ligação entre um pipeline de detecção e a execução de um grafo, não avalia se a execução produziu o efeito pretendido, não dispõe de plano de reversão, não dispõe de política de autonomia, e não dispõe de mecanismos de contenção de raio de impacto. A presente invenção destina-se precisamente a suprir esse conjunto de faltas, e constitui matéria distinta e autónoma.</w:t>
      </w:r>
    </w:p>
    <w:p>
      <w:pPr>
        <w:keepNext/>
        <w:spacing w:after="160" w:line="276" w:lineRule="auto" w:before="340"/>
        <w:ind w:left="0"/>
        <w:jc w:val="left"/>
        <w:pBdr>
          <w:bottom w:val="single" w:sz="6" w:space="4" w:color="1F3864"/>
        </w:pBdr>
      </w:pPr>
      <w:r>
        <w:rPr>
          <w:rFonts w:ascii="Times New Roman" w:hAnsi="Times New Roman" w:eastAsia="Times New Roman"/>
          <w:b/>
          <w:i w:val="0"/>
          <w:color w:val="1F3864"/>
          <w:sz w:val="28"/>
        </w:rPr>
        <w:t>4. Problema técnico a resolver</w:t>
      </w:r>
    </w:p>
    <w:p>
      <w:pPr>
        <w:spacing w:after="160" w:line="317" w:lineRule="auto"/>
        <w:ind w:left="0"/>
        <w:jc w:val="both"/>
      </w:pPr>
      <w:r>
        <w:rPr>
          <w:rFonts w:ascii="Times New Roman" w:hAnsi="Times New Roman" w:eastAsia="Times New Roman"/>
          <w:b/>
          <w:i w:val="0"/>
          <w:color w:val="1F3864"/>
          <w:sz w:val="22"/>
        </w:rPr>
        <w:t xml:space="preserve">[0012]  </w:t>
      </w:r>
      <w:r>
        <w:rPr>
          <w:rFonts w:ascii="Times New Roman" w:hAnsi="Times New Roman" w:eastAsia="Times New Roman"/>
          <w:b w:val="0"/>
          <w:i w:val="0"/>
          <w:sz w:val="22"/>
        </w:rPr>
        <w:t>O problema técnico objectivo que a presente invenção resolve pode formular-se assim: como conferir a um sistema de monitorização de infraestrutura a capacidade de corrigir autonomamente as anomalias que detecta, sem que a correcção autónoma introduza um risco operacional superior àquele que evita.</w:t>
      </w:r>
    </w:p>
    <w:p>
      <w:pPr>
        <w:spacing w:after="160" w:line="317" w:lineRule="auto"/>
        <w:ind w:left="0"/>
        <w:jc w:val="both"/>
      </w:pPr>
      <w:r>
        <w:rPr>
          <w:rFonts w:ascii="Times New Roman" w:hAnsi="Times New Roman" w:eastAsia="Times New Roman"/>
          <w:b/>
          <w:i w:val="0"/>
          <w:color w:val="1F3864"/>
          <w:sz w:val="22"/>
        </w:rPr>
        <w:t xml:space="preserve">[0013]  </w:t>
      </w:r>
      <w:r>
        <w:rPr>
          <w:rFonts w:ascii="Times New Roman" w:hAnsi="Times New Roman" w:eastAsia="Times New Roman"/>
          <w:b w:val="0"/>
          <w:i w:val="0"/>
          <w:sz w:val="22"/>
        </w:rPr>
        <w:t>Este problema decompõe-se em seis subproblemas técnicos, cada um dos quais é resolvido por uma característica identificada nas reivindicações:</w:t>
      </w:r>
    </w:p>
    <w:p>
      <w:pPr>
        <w:pStyle w:val="ListBullet"/>
        <w:spacing w:after="120" w:line="307" w:lineRule="auto"/>
        <w:ind w:left="520"/>
        <w:jc w:val="both"/>
      </w:pPr>
      <w:r>
        <w:rPr>
          <w:rFonts w:ascii="Times New Roman" w:hAnsi="Times New Roman"/>
          <w:sz w:val="22"/>
        </w:rPr>
        <w:t>(P1) Como agir sobre a informação de uma pluralidade de plataformas de monitorização heterogéneas, de terceiros, sem instalar um agente de software próprio no equipamento monitorizado e sem duplicar a lógica de autenticação de cada plataforma.</w:t>
      </w:r>
    </w:p>
    <w:p>
      <w:pPr>
        <w:pStyle w:val="ListBullet"/>
        <w:spacing w:after="120" w:line="307" w:lineRule="auto"/>
        <w:ind w:left="520"/>
        <w:jc w:val="both"/>
      </w:pPr>
      <w:r>
        <w:rPr>
          <w:rFonts w:ascii="Times New Roman" w:hAnsi="Times New Roman"/>
          <w:sz w:val="22"/>
        </w:rPr>
        <w:t>(P2) Como distinguir um desvio significativo do padrão de consumo próprio de cada entidade, incluindo desvios lentos e sustentados que uma banda estatística adaptativa absorve por acompanhar a própria deriva, e como fazê-lo de modo que a caracterização estatística sobreviva à reinicialização do processo que a mantém.</w:t>
      </w:r>
    </w:p>
    <w:p>
      <w:pPr>
        <w:pStyle w:val="ListBullet"/>
        <w:spacing w:after="120" w:line="307" w:lineRule="auto"/>
        <w:ind w:left="520"/>
        <w:jc w:val="both"/>
      </w:pPr>
      <w:r>
        <w:rPr>
          <w:rFonts w:ascii="Times New Roman" w:hAnsi="Times New Roman"/>
          <w:sz w:val="22"/>
        </w:rPr>
        <w:t>(P3) Como intervir antes da ocorrência da falha, em janela de menor risco, e não em reacção à falha já consumada.</w:t>
      </w:r>
    </w:p>
    <w:p>
      <w:pPr>
        <w:pStyle w:val="ListBullet"/>
        <w:spacing w:after="120" w:line="307" w:lineRule="auto"/>
        <w:ind w:left="520"/>
        <w:jc w:val="both"/>
      </w:pPr>
      <w:r>
        <w:rPr>
          <w:rFonts w:ascii="Times New Roman" w:hAnsi="Times New Roman"/>
          <w:sz w:val="22"/>
        </w:rPr>
        <w:t>(P4) Como beneficiar da capacidade de raciocínio de um modelo de linguagem sem que código não revisto seja executado em produção e sem que o comportamento do sistema perca determinismo, reprodutibilidade e auditabilidade.</w:t>
      </w:r>
    </w:p>
    <w:p>
      <w:pPr>
        <w:pStyle w:val="ListBullet"/>
        <w:spacing w:after="120" w:line="307" w:lineRule="auto"/>
        <w:ind w:left="520"/>
        <w:jc w:val="both"/>
      </w:pPr>
      <w:r>
        <w:rPr>
          <w:rFonts w:ascii="Times New Roman" w:hAnsi="Times New Roman"/>
          <w:sz w:val="22"/>
        </w:rPr>
        <w:t>(P5) Como garantir que a decisão de executar sem supervisão humana resulte de uma regra explícita, hierárquica e auditável da organização, e nunca de um juízo emitido por um componente estocástico.</w:t>
      </w:r>
    </w:p>
    <w:p>
      <w:pPr>
        <w:pStyle w:val="ListBullet"/>
        <w:spacing w:after="120" w:line="307" w:lineRule="auto"/>
        <w:ind w:left="520"/>
        <w:jc w:val="both"/>
      </w:pPr>
      <w:r>
        <w:rPr>
          <w:rFonts w:ascii="Times New Roman" w:hAnsi="Times New Roman"/>
          <w:sz w:val="22"/>
        </w:rPr>
        <w:t>(P6) Como determinar objectivamente se a intervenção resolveu a anomalia, distinguindo resolução confirmada, resolução não confirmada por ausência de dados, ineficácia e agravamento, e como reagir de forma segura a cada um destes desfechos.</w:t>
      </w:r>
    </w:p>
    <w:p>
      <w:pPr>
        <w:keepNext/>
        <w:spacing w:after="160" w:line="276" w:lineRule="auto" w:before="340"/>
        <w:ind w:left="0"/>
        <w:jc w:val="left"/>
        <w:pBdr>
          <w:bottom w:val="single" w:sz="6" w:space="4" w:color="1F3864"/>
        </w:pBdr>
      </w:pPr>
      <w:r>
        <w:rPr>
          <w:rFonts w:ascii="Times New Roman" w:hAnsi="Times New Roman" w:eastAsia="Times New Roman"/>
          <w:b/>
          <w:i w:val="0"/>
          <w:color w:val="1F3864"/>
          <w:sz w:val="28"/>
        </w:rPr>
        <w:t>5. Sumário da invenção</w:t>
      </w:r>
    </w:p>
    <w:p>
      <w:pPr>
        <w:spacing w:after="160" w:line="317" w:lineRule="auto"/>
        <w:ind w:left="0"/>
        <w:jc w:val="both"/>
      </w:pPr>
      <w:r>
        <w:rPr>
          <w:rFonts w:ascii="Times New Roman" w:hAnsi="Times New Roman" w:eastAsia="Times New Roman"/>
          <w:b/>
          <w:i w:val="0"/>
          <w:color w:val="1F3864"/>
          <w:sz w:val="22"/>
        </w:rPr>
        <w:t xml:space="preserve">[0014]  </w:t>
      </w:r>
      <w:r>
        <w:rPr>
          <w:rFonts w:ascii="Times New Roman" w:hAnsi="Times New Roman" w:eastAsia="Times New Roman"/>
          <w:b w:val="0"/>
          <w:i w:val="0"/>
          <w:sz w:val="22"/>
        </w:rPr>
        <w:t>A invenção consiste num sistema informático (100) e no método correspondente, que resolve os subproblemas P1 a P6 através da combinação das características a seguir sumariadas, cuja cooperação funcional produz o efeito técnico de correcção autónoma verificada com risco contido.</w:t>
      </w:r>
    </w:p>
    <w:p>
      <w:pPr>
        <w:spacing w:after="160" w:line="317" w:lineRule="auto"/>
        <w:ind w:left="0"/>
        <w:jc w:val="both"/>
      </w:pPr>
      <w:r>
        <w:rPr>
          <w:rFonts w:ascii="Times New Roman" w:hAnsi="Times New Roman" w:eastAsia="Times New Roman"/>
          <w:b/>
          <w:i w:val="0"/>
          <w:color w:val="1F3864"/>
          <w:sz w:val="22"/>
        </w:rPr>
        <w:t xml:space="preserve">[0015]  </w:t>
      </w:r>
      <w:r>
        <w:rPr>
          <w:rFonts w:ascii="Times New Roman" w:hAnsi="Times New Roman" w:eastAsia="Times New Roman"/>
          <w:b w:val="0"/>
          <w:i w:val="0"/>
          <w:sz w:val="22"/>
        </w:rPr>
        <w:t>Primeira característica — aquisição normalizada mediada por camada de integração, sem agente residente. Uma camada de aquisição (110) interroga periodicamente, com cadência configurável por alvo, uma pluralidade de plataformas de monitorização de terceiros, fazendo-o exclusivamente através de invocações de ferramentas de uma camada de integração autenticada (250), e não por diálogo directo com a interface de cada plataforma. Cada fonte dispõe de um adaptador (112) cuja única responsabilidade é interpretar a resposta e produzir amostras num formato canónico único (114), independente da fonte, compreendendo identificador de entidade, natureza da entidade, chave de métrica, valor, unidade, marca temporal, fonte e dimensões livres. As amostras canónicas são persistidas num repositório de séries temporais (116). Resolve P1.</w:t>
      </w:r>
    </w:p>
    <w:p>
      <w:pPr>
        <w:spacing w:after="160" w:line="317" w:lineRule="auto"/>
        <w:ind w:left="0"/>
        <w:jc w:val="both"/>
      </w:pPr>
      <w:r>
        <w:rPr>
          <w:rFonts w:ascii="Times New Roman" w:hAnsi="Times New Roman" w:eastAsia="Times New Roman"/>
          <w:b/>
          <w:i w:val="0"/>
          <w:color w:val="1F3864"/>
          <w:sz w:val="22"/>
        </w:rPr>
        <w:t xml:space="preserve">[0016]  </w:t>
      </w:r>
      <w:r>
        <w:rPr>
          <w:rFonts w:ascii="Times New Roman" w:hAnsi="Times New Roman" w:eastAsia="Times New Roman"/>
          <w:b w:val="0"/>
          <w:i w:val="0"/>
          <w:sz w:val="22"/>
        </w:rPr>
        <w:t>Segunda característica — perfil de consumo sazonal persistente e detecção de deriva. Um motor de caracterização (122) mantém, por série e por intervalo sazonal definido pelo par hora-do-dia e dia-da-semana, a média, o desvio-padrão e a contagem de amostras, sendo estes agregados — e não as amostras individuais — periodicamente gravados em memória não volátil e recarregados no arranque do processo, de modo que a caracterização sobreviva à reinicialização. Um motor de previsão (126) opera sobre janelas de semanas do repositório (116) e detecta, por comparação do perfil sazonal corrente com o perfil homólogo de período anterior, a deriva sustentada do próprio perfil, que é invisível à comparação instantânea com banda adaptativa. Resolve P2.</w:t>
      </w:r>
    </w:p>
    <w:p>
      <w:pPr>
        <w:spacing w:after="160" w:line="317" w:lineRule="auto"/>
        <w:ind w:left="0"/>
        <w:jc w:val="both"/>
      </w:pPr>
      <w:r>
        <w:rPr>
          <w:rFonts w:ascii="Times New Roman" w:hAnsi="Times New Roman" w:eastAsia="Times New Roman"/>
          <w:b/>
          <w:i w:val="0"/>
          <w:color w:val="1F3864"/>
          <w:sz w:val="22"/>
        </w:rPr>
        <w:t xml:space="preserve">[0017]  </w:t>
      </w:r>
      <w:r>
        <w:rPr>
          <w:rFonts w:ascii="Times New Roman" w:hAnsi="Times New Roman" w:eastAsia="Times New Roman"/>
          <w:b w:val="0"/>
          <w:i w:val="0"/>
          <w:sz w:val="22"/>
        </w:rPr>
        <w:t>Terceira característica — objecto de previsão de risco como gatilho de primeira classe. O motor de previsão (126) emite um objecto de previsão de risco (132), estruturalmente distinto do alerta instantâneo e do problema agregado, compreendendo a entidade, a chave de métrica, o valor corrente, o limiar, o tempo estimado até à violação do limiar, um grau de confiança, o método utilizado e a evidência estatística que o sustenta. Este objecto constitui, a par do problema agregado (130), gatilho admissível do ciclo de remediação, permitindo intervir com antecipação e em janela de manutenção. Resolve P3.</w:t>
      </w:r>
    </w:p>
    <w:p>
      <w:pPr>
        <w:spacing w:after="160" w:line="317" w:lineRule="auto"/>
        <w:ind w:left="0"/>
        <w:jc w:val="both"/>
      </w:pPr>
      <w:r>
        <w:rPr>
          <w:rFonts w:ascii="Times New Roman" w:hAnsi="Times New Roman" w:eastAsia="Times New Roman"/>
          <w:b/>
          <w:i w:val="0"/>
          <w:color w:val="1F3864"/>
          <w:sz w:val="22"/>
        </w:rPr>
        <w:t xml:space="preserve">[0018]  </w:t>
      </w:r>
      <w:r>
        <w:rPr>
          <w:rFonts w:ascii="Times New Roman" w:hAnsi="Times New Roman" w:eastAsia="Times New Roman"/>
          <w:b w:val="0"/>
          <w:i w:val="0"/>
          <w:sz w:val="22"/>
        </w:rPr>
        <w:t>Quarta característica — catálogo versionado de procedimentos de correcção com verificação obrigatória, e confinamento do modelo de linguagem ao tempo de autoria. O sistema mantém um catálogo (150) de registos de procedimento de correcção, cada um compreendendo: uma assinatura de correspondência determinística (152); um grafo de execução (154) de nós de vocabulário predefinido; uma classe de risco atribuída pelo autor humano; uma delimitação de raio de impacto; um conjunto de pré-condições; um plano de verificação (156); um plano de reversão opcional (158); um número de versão; e um estado de ciclo de vida. O registo não pode transitar para o estado aprovado sem plano de verificação (156) não vazio, sendo esta restrição imposta pelo próprio modelo de dados. O modelo de linguagem é invocado apenas em tempo de autoria, para propor um registo em estado de rascunho a partir de descrição em linguagem natural, e nunca em tempo de incidente para gerar código a executar; a execução em tempo de incidente é integralmente determinística. Resolve P4.</w:t>
      </w:r>
    </w:p>
    <w:p>
      <w:pPr>
        <w:spacing w:after="160" w:line="317" w:lineRule="auto"/>
        <w:ind w:left="0"/>
        <w:jc w:val="both"/>
      </w:pPr>
      <w:r>
        <w:rPr>
          <w:rFonts w:ascii="Times New Roman" w:hAnsi="Times New Roman" w:eastAsia="Times New Roman"/>
          <w:b/>
          <w:i w:val="0"/>
          <w:color w:val="1F3864"/>
          <w:sz w:val="22"/>
        </w:rPr>
        <w:t xml:space="preserve">[0019]  </w:t>
      </w:r>
      <w:r>
        <w:rPr>
          <w:rFonts w:ascii="Times New Roman" w:hAnsi="Times New Roman" w:eastAsia="Times New Roman"/>
          <w:b w:val="0"/>
          <w:i w:val="0"/>
          <w:sz w:val="22"/>
        </w:rPr>
        <w:t>Quinta característica — motor de política de autonomia com resolução hierárquica e conjunção restritiva. Um motor de política (170) determina, para cada candidatura de remediação, o modo efectivo entre observação, semi-autónomo e autónomo, por resolução de políticas (172) definidas em âmbitos de especificidade crescente — global, categoria de entidade, entidade individual e procedimento individual — sendo o modo efectivo calculado como o mínimo, numa ordem de permissividade crescente, entre a política mais específica aplicável e um tecto global, de tal modo que nenhuma política específica pode conceder autonomia superior à concedida pelo tecto. Qualquer indicação de auto-execução ou de classe de risco produzida pelo modelo de linguagem é explicitamente desconsiderada por este motor. Resolve P5.</w:t>
      </w:r>
    </w:p>
    <w:p>
      <w:pPr>
        <w:spacing w:after="160" w:line="317" w:lineRule="auto"/>
        <w:ind w:left="0"/>
        <w:jc w:val="both"/>
      </w:pPr>
      <w:r>
        <w:rPr>
          <w:rFonts w:ascii="Times New Roman" w:hAnsi="Times New Roman" w:eastAsia="Times New Roman"/>
          <w:b/>
          <w:i w:val="0"/>
          <w:color w:val="1F3864"/>
          <w:sz w:val="22"/>
        </w:rPr>
        <w:t xml:space="preserve">[0020]  </w:t>
      </w:r>
      <w:r>
        <w:rPr>
          <w:rFonts w:ascii="Times New Roman" w:hAnsi="Times New Roman" w:eastAsia="Times New Roman"/>
          <w:b w:val="0"/>
          <w:i w:val="0"/>
          <w:sz w:val="22"/>
        </w:rPr>
        <w:t>Sexta característica — executor de ciclo fechado com verificação sobre a mesma série canónica e estado terminal de não verificabilidade. Um executor (190) percorre uma máquina de estados que compreende verificação de pré-condições, captura do estado anterior quando exista plano de reversão, execução do grafo, espera de estabilização por período declarado no plano de verificação, e reavaliação. A reavaliação é realizada pelo verificador (192) sobre a mesma série métrica canónica, identificada pela mesma chave de métrica e pela mesma entidade, que originou a detecção, e não sobre uma leitura ad-hoc obtida por outro meio. O resultado da reavaliação é classificado em remediação, ineficácia, agravamento ou não verificabilidade, e o ciclo termina num único estado de um conjunto mutuamente exclusivo que compreende remediado, ineficaz, revertido, escalado, abortado e não verificável, sendo este último estado atribuído quando a série necessária à verificação não tenha voltado a ser recebida ou a fonte não tenha respondido, e sendo tratado como resultado desconhecido e nunca como êxito. Resolve P6.</w:t>
      </w:r>
    </w:p>
    <w:p>
      <w:pPr>
        <w:spacing w:after="160" w:line="317" w:lineRule="auto"/>
        <w:ind w:left="0"/>
        <w:jc w:val="both"/>
      </w:pPr>
      <w:r>
        <w:rPr>
          <w:rFonts w:ascii="Times New Roman" w:hAnsi="Times New Roman" w:eastAsia="Times New Roman"/>
          <w:b/>
          <w:i w:val="0"/>
          <w:color w:val="1F3864"/>
          <w:sz w:val="22"/>
        </w:rPr>
        <w:t xml:space="preserve">[0021]  </w:t>
      </w:r>
      <w:r>
        <w:rPr>
          <w:rFonts w:ascii="Times New Roman" w:hAnsi="Times New Roman" w:eastAsia="Times New Roman"/>
          <w:b w:val="0"/>
          <w:i w:val="0"/>
          <w:sz w:val="22"/>
        </w:rPr>
        <w:t>Sétima característica — travões de contenção, incluindo aferição de sanidade da fonte. Um módulo de contenção (194) condiciona toda a execução autónoma a: interruptores de corte por procedimento e por entidade accionados por contagem de falhas consecutivas; limite de acções por unidade de tempo por entidade; interruptor geral de efeito imediato; imposição de aprovação humana sempre que o número de entidades afectadas exceda a delimitação de raio de impacto declarada, independentemente do modo de autonomia vigente; janelas de congelamento de alteração; supressão de repetição da mesma assinatura sobre a mesma entidade em intervalo de arrefecimento, com escalamento em vez de repetição; e, de modo determinante, uma aferição de sanidade da fonte que interdita a acção autónoma quando os dados provenientes de uma plataforma de monitorização se revelem obsoletos, constantes ou incoerentes, impedindo assim que a indisponibilidade de uma fonte de terceiros seja interpretada como degradação simultânea de uma pluralidade de entidades e origine remediação em massa indevida.</w:t>
      </w:r>
    </w:p>
    <w:p>
      <w:pPr>
        <w:spacing w:after="160" w:line="317" w:lineRule="auto"/>
        <w:ind w:left="0"/>
        <w:jc w:val="both"/>
      </w:pPr>
      <w:r>
        <w:rPr>
          <w:rFonts w:ascii="Times New Roman" w:hAnsi="Times New Roman" w:eastAsia="Times New Roman"/>
          <w:b/>
          <w:i w:val="0"/>
          <w:color w:val="1F3864"/>
          <w:sz w:val="22"/>
        </w:rPr>
        <w:t xml:space="preserve">[0022]  </w:t>
      </w:r>
      <w:r>
        <w:rPr>
          <w:rFonts w:ascii="Times New Roman" w:hAnsi="Times New Roman" w:eastAsia="Times New Roman"/>
          <w:b w:val="0"/>
          <w:i w:val="0"/>
          <w:sz w:val="22"/>
        </w:rPr>
        <w:t>Oitava característica — ciclo de aprendizagem com promoção proposta e nunca automática. Um módulo de aprendizagem (210) agrega, a partir do registo de auditoria (196), indicadores de eficácia por procedimento e por versão, e emite propostas de elevação do modo de autonomia aplicável a um procedimento, propostas que requerem aprovação humana registada para produzir efeito, não sendo admitida elevação automática de privilégio de execução.</w:t>
      </w:r>
    </w:p>
    <w:p>
      <w:pPr>
        <w:spacing w:after="160" w:line="317" w:lineRule="auto"/>
        <w:ind w:left="0"/>
        <w:jc w:val="both"/>
      </w:pPr>
      <w:r>
        <w:rPr>
          <w:rFonts w:ascii="Times New Roman" w:hAnsi="Times New Roman" w:eastAsia="Times New Roman"/>
          <w:b/>
          <w:i w:val="0"/>
          <w:color w:val="1F3864"/>
          <w:sz w:val="22"/>
        </w:rPr>
        <w:t xml:space="preserve">[0023]  </w:t>
      </w:r>
      <w:r>
        <w:rPr>
          <w:rFonts w:ascii="Times New Roman" w:hAnsi="Times New Roman" w:eastAsia="Times New Roman"/>
          <w:b w:val="0"/>
          <w:i w:val="0"/>
          <w:sz w:val="22"/>
        </w:rPr>
        <w:t>Efeito técnico da combinação. Da cooperação das oito características resulta um sistema que intervém sem operador humano, e ainda assim: não executa código que não tenha sido previamente revisto e aprovado; produz comportamento reproduzível perante o mesmo problema; não incorre em custo nem em latência de inferência durante o incidente; faz depender a autonomia de regra organizacional explícita e não de juízo estocástico; e conclui o ciclo com determinação objectiva do resultado, com reversão ou escalamento quando o resultado não é o pretendido. Nenhum dos documentos do estado da técnica conhecido reúne esta combinação, e em particular nenhum faz coincidir o indicador de verificação com o indicador de detecção nem prevê um estado terminal distinto para a impossibilidade de verificação.</w:t>
      </w:r>
    </w:p>
    <w:p>
      <w:pPr>
        <w:keepNext/>
        <w:spacing w:after="160" w:line="276" w:lineRule="auto" w:before="340"/>
        <w:ind w:left="0"/>
        <w:jc w:val="left"/>
        <w:pBdr>
          <w:bottom w:val="single" w:sz="6" w:space="4" w:color="1F3864"/>
        </w:pBdr>
      </w:pPr>
      <w:r>
        <w:rPr>
          <w:rFonts w:ascii="Times New Roman" w:hAnsi="Times New Roman" w:eastAsia="Times New Roman"/>
          <w:b/>
          <w:i w:val="0"/>
          <w:color w:val="1F3864"/>
          <w:sz w:val="28"/>
        </w:rPr>
        <w:t>6. Vantagens da invenção</w:t>
      </w:r>
    </w:p>
    <w:p>
      <w:pPr>
        <w:spacing w:after="160" w:line="317" w:lineRule="auto"/>
        <w:ind w:left="0"/>
        <w:jc w:val="both"/>
      </w:pPr>
      <w:r>
        <w:rPr>
          <w:rFonts w:ascii="Times New Roman" w:hAnsi="Times New Roman" w:eastAsia="Times New Roman"/>
          <w:b/>
          <w:i w:val="0"/>
          <w:color w:val="1F3864"/>
          <w:sz w:val="22"/>
        </w:rPr>
        <w:t xml:space="preserve">[0024]  </w:t>
      </w:r>
      <w:r>
        <w:rPr>
          <w:rFonts w:ascii="Times New Roman" w:hAnsi="Times New Roman" w:eastAsia="Times New Roman"/>
          <w:b w:val="0"/>
          <w:i w:val="0"/>
          <w:sz w:val="22"/>
        </w:rPr>
        <w:t>Redução da latência de resolução. A intervenção ocorre em segundos após a detecção, ou com antecipação de horas quando o gatilho é a previsão de risco (132), em substituição de um tempo de resposta humano medido em dezenas de minutos.</w:t>
      </w:r>
    </w:p>
    <w:p>
      <w:pPr>
        <w:spacing w:after="160" w:line="317" w:lineRule="auto"/>
        <w:ind w:left="0"/>
        <w:jc w:val="both"/>
      </w:pPr>
      <w:r>
        <w:rPr>
          <w:rFonts w:ascii="Times New Roman" w:hAnsi="Times New Roman" w:eastAsia="Times New Roman"/>
          <w:b/>
          <w:i w:val="0"/>
          <w:color w:val="1F3864"/>
          <w:sz w:val="22"/>
        </w:rPr>
        <w:t xml:space="preserve">[0025]  </w:t>
      </w:r>
      <w:r>
        <w:rPr>
          <w:rFonts w:ascii="Times New Roman" w:hAnsi="Times New Roman" w:eastAsia="Times New Roman"/>
          <w:b w:val="0"/>
          <w:i w:val="0"/>
          <w:sz w:val="22"/>
        </w:rPr>
        <w:t>Eliminação do risco de código inédito em produção. Por força da quarta característica, o código executado durante o incidente foi previamente compilado, revisto, ensaiado em modo de leitura e aprovado. O incidente desconhecido não produz execução; produz uma proposta de procedimento em estado de rascunho, dirigida a revisão humana, pelo que a cobertura do catálogo cresce a cada incidente sem que nenhum incidente seja resolvido por código não revisto.</w:t>
      </w:r>
    </w:p>
    <w:p>
      <w:pPr>
        <w:spacing w:after="160" w:line="317" w:lineRule="auto"/>
        <w:ind w:left="0"/>
        <w:jc w:val="both"/>
      </w:pPr>
      <w:r>
        <w:rPr>
          <w:rFonts w:ascii="Times New Roman" w:hAnsi="Times New Roman" w:eastAsia="Times New Roman"/>
          <w:b/>
          <w:i w:val="0"/>
          <w:color w:val="1F3864"/>
          <w:sz w:val="22"/>
        </w:rPr>
        <w:t xml:space="preserve">[0026]  </w:t>
      </w:r>
      <w:r>
        <w:rPr>
          <w:rFonts w:ascii="Times New Roman" w:hAnsi="Times New Roman" w:eastAsia="Times New Roman"/>
          <w:b w:val="0"/>
          <w:i w:val="0"/>
          <w:sz w:val="22"/>
        </w:rPr>
        <w:t>Auditabilidade e conformidade. O registo (196) documenta, por execução, a entidade, o procedimento e a sua versão, o gatilho, o modo de autonomia vigente, a identidade do aprovador quando aplicável, o resultado de cada nó do grafo, as medições anteriores e posteriores à intervenção e o estado terminal, constituindo trilho de auditoria completo, requisito prático para que uma plataforma actue autonomamente em ambiente produtivo regulado.</w:t>
      </w:r>
    </w:p>
    <w:p>
      <w:pPr>
        <w:spacing w:after="160" w:line="317" w:lineRule="auto"/>
        <w:ind w:left="0"/>
        <w:jc w:val="both"/>
      </w:pPr>
      <w:r>
        <w:rPr>
          <w:rFonts w:ascii="Times New Roman" w:hAnsi="Times New Roman" w:eastAsia="Times New Roman"/>
          <w:b/>
          <w:i w:val="0"/>
          <w:color w:val="1F3864"/>
          <w:sz w:val="22"/>
        </w:rPr>
        <w:t xml:space="preserve">[0027]  </w:t>
      </w:r>
      <w:r>
        <w:rPr>
          <w:rFonts w:ascii="Times New Roman" w:hAnsi="Times New Roman" w:eastAsia="Times New Roman"/>
          <w:b w:val="0"/>
          <w:i w:val="0"/>
          <w:sz w:val="22"/>
        </w:rPr>
        <w:t>Independência de agente residente. Pela primeira e pela nona características, o sistema actua sobre equipamentos onde nenhum software próprio esteja instalado, aproveitando a telemetria já existente nas plataformas de terceiros e um canal de execução remota governado, o que reduz o custo de adopção e elimina a superfície de ataque associada à instalação de agentes.</w:t>
      </w:r>
    </w:p>
    <w:p>
      <w:pPr>
        <w:spacing w:after="160" w:line="317" w:lineRule="auto"/>
        <w:ind w:left="0"/>
        <w:jc w:val="both"/>
      </w:pPr>
      <w:r>
        <w:rPr>
          <w:rFonts w:ascii="Times New Roman" w:hAnsi="Times New Roman" w:eastAsia="Times New Roman"/>
          <w:b/>
          <w:i w:val="0"/>
          <w:color w:val="1F3864"/>
          <w:sz w:val="22"/>
        </w:rPr>
        <w:t xml:space="preserve">[0028]  </w:t>
      </w:r>
      <w:r>
        <w:rPr>
          <w:rFonts w:ascii="Times New Roman" w:hAnsi="Times New Roman" w:eastAsia="Times New Roman"/>
          <w:b w:val="0"/>
          <w:i w:val="0"/>
          <w:sz w:val="22"/>
        </w:rPr>
        <w:t>Progressividade segura da adopção. O modo de observação, obrigatório em arranque, permite medir a qualidade das decisões do sistema — taxa de correspondência do planeador e adequação do procedimento seleccionado — antes de lhe ser concedida qualquer capacidade de execução, evitando que a primeira execução autónoma seja simultaneamente a primeira medição de qualidade.</w:t>
      </w:r>
    </w:p>
    <w:p>
      <w:pPr>
        <w:keepNext/>
        <w:spacing w:after="160" w:line="276" w:lineRule="auto" w:before="340"/>
        <w:ind w:left="0"/>
        <w:jc w:val="left"/>
        <w:pBdr>
          <w:bottom w:val="single" w:sz="6" w:space="4" w:color="1F3864"/>
        </w:pBdr>
      </w:pPr>
      <w:r>
        <w:rPr>
          <w:rFonts w:ascii="Times New Roman" w:hAnsi="Times New Roman" w:eastAsia="Times New Roman"/>
          <w:b/>
          <w:i w:val="0"/>
          <w:color w:val="1F3864"/>
          <w:sz w:val="28"/>
        </w:rPr>
        <w:t>7. Breve descrição das figuras</w:t>
      </w:r>
    </w:p>
    <w:p>
      <w:pPr>
        <w:pStyle w:val="ListBullet"/>
        <w:spacing w:after="120" w:line="307" w:lineRule="auto"/>
        <w:ind w:left="520"/>
        <w:jc w:val="both"/>
      </w:pPr>
      <w:r>
        <w:rPr>
          <w:rFonts w:ascii="Times New Roman" w:hAnsi="Times New Roman"/>
          <w:sz w:val="22"/>
        </w:rPr>
        <w:t>Figura 1 — Diagrama de blocos da arquitectura geral do sistema (100), mostrando o encadeamento entre a camada de aquisição (110), os motores de análise (120), o despachante de eventos (140), o planeador (160), o motor de política (170), a porta de aprovação (180), o executor de ciclo fechado (190), a camada de execução (200) e o módulo de aprendizagem (210).</w:t>
      </w:r>
    </w:p>
    <w:p>
      <w:pPr>
        <w:pStyle w:val="ListBullet"/>
        <w:spacing w:after="120" w:line="307" w:lineRule="auto"/>
        <w:ind w:left="520"/>
        <w:jc w:val="both"/>
      </w:pPr>
      <w:r>
        <w:rPr>
          <w:rFonts w:ascii="Times New Roman" w:hAnsi="Times New Roman"/>
          <w:sz w:val="22"/>
        </w:rPr>
        <w:t>Figura 2 — Diagrama de fluxo da aquisição normalizada, mostrando a pluralidade de fontes, a camada de integração autenticada (250), os adaptadores por fonte (112), a amostra canónica (114) e o repositório de séries (116).</w:t>
      </w:r>
    </w:p>
    <w:p>
      <w:pPr>
        <w:pStyle w:val="ListBullet"/>
        <w:spacing w:after="120" w:line="307" w:lineRule="auto"/>
        <w:ind w:left="520"/>
        <w:jc w:val="both"/>
      </w:pPr>
      <w:r>
        <w:rPr>
          <w:rFonts w:ascii="Times New Roman" w:hAnsi="Times New Roman"/>
          <w:sz w:val="22"/>
        </w:rPr>
        <w:t>Figura 3 — Diagrama de fluxo do ciclo de autoria de um procedimento de correcção, desde a descrição em linguagem natural, passando pelo compilador de autoria (220), pela revisão estática, pelo ensaio em modo de leitura, até à aprovação humana e ao estado aprovado do registo no catálogo (150).</w:t>
      </w:r>
    </w:p>
    <w:p>
      <w:pPr>
        <w:pStyle w:val="ListBullet"/>
        <w:spacing w:after="120" w:line="307" w:lineRule="auto"/>
        <w:ind w:left="520"/>
        <w:jc w:val="both"/>
      </w:pPr>
      <w:r>
        <w:rPr>
          <w:rFonts w:ascii="Times New Roman" w:hAnsi="Times New Roman"/>
          <w:sz w:val="22"/>
        </w:rPr>
        <w:t>Figura 4 — Diagrama da resolução hierárquica da política de autonomia (170), ilustrando os quatro âmbitos de especificidade e a operação de conjunção restritiva com o tecto global.</w:t>
      </w:r>
    </w:p>
    <w:p>
      <w:pPr>
        <w:pStyle w:val="ListBullet"/>
        <w:spacing w:after="120" w:line="307" w:lineRule="auto"/>
        <w:ind w:left="520"/>
        <w:jc w:val="both"/>
      </w:pPr>
      <w:r>
        <w:rPr>
          <w:rFonts w:ascii="Times New Roman" w:hAnsi="Times New Roman"/>
          <w:sz w:val="22"/>
        </w:rPr>
        <w:t>Figura 5 — Diagrama de estados do executor de ciclo fechado (190), com os estados intermédios e os sete estados terminais mutuamente exclusivos.</w:t>
      </w:r>
    </w:p>
    <w:p>
      <w:pPr>
        <w:pStyle w:val="ListBullet"/>
        <w:spacing w:after="120" w:line="307" w:lineRule="auto"/>
        <w:ind w:left="520"/>
        <w:jc w:val="both"/>
      </w:pPr>
      <w:r>
        <w:rPr>
          <w:rFonts w:ascii="Times New Roman" w:hAnsi="Times New Roman"/>
          <w:sz w:val="22"/>
        </w:rPr>
        <w:t>Figura 6 — Gráfico esquemático ilustrativo da detecção de deriva de perfil sazonal e da emissão do objecto de previsão de risco (132), com indicação do tempo estimado até à violação do limiar.</w:t>
      </w:r>
    </w:p>
    <w:p>
      <w:pPr>
        <w:keepNext/>
        <w:spacing w:after="160" w:line="276" w:lineRule="auto" w:before="340"/>
        <w:ind w:left="0"/>
        <w:jc w:val="left"/>
        <w:pBdr>
          <w:bottom w:val="single" w:sz="6" w:space="4" w:color="1F3864"/>
        </w:pBdr>
      </w:pPr>
      <w:r>
        <w:rPr>
          <w:rFonts w:ascii="Times New Roman" w:hAnsi="Times New Roman" w:eastAsia="Times New Roman"/>
          <w:b/>
          <w:i w:val="0"/>
          <w:color w:val="1F3864"/>
          <w:sz w:val="28"/>
        </w:rPr>
        <w:t>8. Descrição detalhada de uma forma de realização preferencial</w:t>
      </w:r>
    </w:p>
    <w:p>
      <w:pPr>
        <w:spacing w:after="160" w:line="317" w:lineRule="auto"/>
        <w:ind w:left="0"/>
        <w:jc w:val="both"/>
      </w:pPr>
      <w:r>
        <w:rPr>
          <w:rFonts w:ascii="Times New Roman" w:hAnsi="Times New Roman" w:eastAsia="Times New Roman"/>
          <w:b/>
          <w:i w:val="0"/>
          <w:color w:val="1F3864"/>
          <w:sz w:val="22"/>
        </w:rPr>
        <w:t xml:space="preserve">[0029]  </w:t>
      </w:r>
      <w:r>
        <w:rPr>
          <w:rFonts w:ascii="Times New Roman" w:hAnsi="Times New Roman" w:eastAsia="Times New Roman"/>
          <w:b w:val="0"/>
          <w:i w:val="0"/>
          <w:sz w:val="22"/>
        </w:rPr>
        <w:t>A descrição que segue refere-se a uma forma de realização preferencial, apresentada a título ilustrativo e não limitativo. Os números entre parênteses remetem para os elementos das figuras. Variantes evidentes para o especialista na matéria, designadamente a substituição de uma tecnologia de persistência por outra funcionalmente equivalente, encontram-se abrangidas pelo âmbito das reivindicações.</w:t>
      </w:r>
    </w:p>
    <w:p>
      <w:pPr>
        <w:keepNext/>
        <w:spacing w:after="120" w:line="276" w:lineRule="auto" w:before="260"/>
        <w:ind w:left="0"/>
        <w:jc w:val="left"/>
      </w:pPr>
      <w:r>
        <w:rPr>
          <w:rFonts w:ascii="Times New Roman" w:hAnsi="Times New Roman" w:eastAsia="Times New Roman"/>
          <w:b/>
          <w:i w:val="0"/>
          <w:color w:val="1F3864"/>
          <w:sz w:val="24"/>
        </w:rPr>
        <w:t>8.1 Arquitectura geral (Figura 1)</w:t>
      </w:r>
    </w:p>
    <w:p>
      <w:pPr>
        <w:spacing w:after="160" w:line="317" w:lineRule="auto"/>
        <w:ind w:left="0"/>
        <w:jc w:val="both"/>
      </w:pPr>
      <w:r>
        <w:rPr>
          <w:rFonts w:ascii="Times New Roman" w:hAnsi="Times New Roman" w:eastAsia="Times New Roman"/>
          <w:b/>
          <w:i w:val="0"/>
          <w:color w:val="1F3864"/>
          <w:sz w:val="22"/>
        </w:rPr>
        <w:t xml:space="preserve">[0030]  </w:t>
      </w:r>
      <w:r>
        <w:rPr>
          <w:rFonts w:ascii="Times New Roman" w:hAnsi="Times New Roman" w:eastAsia="Times New Roman"/>
          <w:b w:val="0"/>
          <w:i w:val="0"/>
          <w:sz w:val="22"/>
        </w:rPr>
        <w:t>O sistema (100) é implementado como um conjunto de processos servidores cooperantes, dotados de unidade de processamento, memória e armazenamento não volátil, comunicando com uma pluralidade de plataformas de monitorização de terceiros (10a, 10b, 10c), designadamente e sem carácter limitativo plataformas de monitorização de infraestrutura, plataformas de análise de registos e plataformas de monitorização de desempenho aplicacional, bem como, opcionalmente, com agentes próprios (10d) quando estes existam.</w:t>
      </w:r>
    </w:p>
    <w:p>
      <w:pPr>
        <w:spacing w:after="160" w:line="317" w:lineRule="auto"/>
        <w:ind w:left="0"/>
        <w:jc w:val="both"/>
      </w:pPr>
      <w:r>
        <w:rPr>
          <w:rFonts w:ascii="Times New Roman" w:hAnsi="Times New Roman" w:eastAsia="Times New Roman"/>
          <w:b/>
          <w:i w:val="0"/>
          <w:color w:val="1F3864"/>
          <w:sz w:val="22"/>
        </w:rPr>
        <w:t xml:space="preserve">[0031]  </w:t>
      </w:r>
      <w:r>
        <w:rPr>
          <w:rFonts w:ascii="Times New Roman" w:hAnsi="Times New Roman" w:eastAsia="Times New Roman"/>
          <w:b w:val="0"/>
          <w:i w:val="0"/>
          <w:sz w:val="22"/>
        </w:rPr>
        <w:t>O fluxo nominal é o seguinte. A camada de aquisição (110) produz amostras canónicas (114) que persiste no repositório (116) e das quais deriva também as estruturas de dados esperadas pelos motores de análise (120). Estes emitem alertas, problemas agregados (130) e previsões de risco (132). O despachante (140) subscreve a emissão de problemas e de previsões e submete cada um ao planeador (160). O planeador consulta o catálogo (150) e produz, quando exista correspondência, uma candidatura de remediação. A candidatura é avaliada pelo motor de política (170), que determina o modo efectivo. Em modo de observação, a candidatura é apenas registada. Em modo semi-autónomo, é submetida à porta de aprovação (180) e aguarda decisão humana. Em modo autónomo, transita directamente para o executor (190). O executor invoca a camada de execução (200) e, decorrido o período de estabilização, invoca o verificador (192), que reavalia a série canónica de origem. O desfecho é gravado no registo (196) e alimenta o módulo de aprendizagem (210). Em qualquer ponto, o módulo de contenção (194) pode interditar a progressão.</w:t>
      </w:r>
    </w:p>
    <w:p>
      <w:pPr>
        <w:keepNext/>
        <w:spacing w:after="120" w:line="276" w:lineRule="auto" w:before="260"/>
        <w:ind w:left="0"/>
        <w:jc w:val="left"/>
      </w:pPr>
      <w:r>
        <w:rPr>
          <w:rFonts w:ascii="Times New Roman" w:hAnsi="Times New Roman" w:eastAsia="Times New Roman"/>
          <w:b/>
          <w:i w:val="0"/>
          <w:color w:val="1F3864"/>
          <w:sz w:val="24"/>
        </w:rPr>
        <w:t>8.2 Camada de aquisição normalizada (Figura 2)</w:t>
      </w:r>
    </w:p>
    <w:p>
      <w:pPr>
        <w:spacing w:after="160" w:line="317" w:lineRule="auto"/>
        <w:ind w:left="0"/>
        <w:jc w:val="both"/>
      </w:pPr>
      <w:r>
        <w:rPr>
          <w:rFonts w:ascii="Times New Roman" w:hAnsi="Times New Roman" w:eastAsia="Times New Roman"/>
          <w:b/>
          <w:i w:val="0"/>
          <w:color w:val="1F3864"/>
          <w:sz w:val="22"/>
        </w:rPr>
        <w:t xml:space="preserve">[0032]  </w:t>
      </w:r>
      <w:r>
        <w:rPr>
          <w:rFonts w:ascii="Times New Roman" w:hAnsi="Times New Roman" w:eastAsia="Times New Roman"/>
          <w:b w:val="0"/>
          <w:i w:val="0"/>
          <w:sz w:val="22"/>
        </w:rPr>
        <w:t>A camada de aquisição (110) mantém um registo de alvos de recolha, cada qual associado a uma plataforma de fonte, a uma natureza de alvo, a parâmetros de interrogação e a uma cadência própria expressa em segundos. Um processo de varrimento avalia periodicamente, em intervalo curto, quais os alvos cuja cadência se encontra vencida, e para cada um deles executa a recolha.</w:t>
      </w:r>
    </w:p>
    <w:p>
      <w:pPr>
        <w:spacing w:after="160" w:line="317" w:lineRule="auto"/>
        <w:ind w:left="0"/>
        <w:jc w:val="both"/>
      </w:pPr>
      <w:r>
        <w:rPr>
          <w:rFonts w:ascii="Times New Roman" w:hAnsi="Times New Roman" w:eastAsia="Times New Roman"/>
          <w:b/>
          <w:i w:val="0"/>
          <w:color w:val="1F3864"/>
          <w:sz w:val="22"/>
        </w:rPr>
        <w:t xml:space="preserve">[0033]  </w:t>
      </w:r>
      <w:r>
        <w:rPr>
          <w:rFonts w:ascii="Times New Roman" w:hAnsi="Times New Roman" w:eastAsia="Times New Roman"/>
          <w:b w:val="0"/>
          <w:i w:val="0"/>
          <w:sz w:val="22"/>
        </w:rPr>
        <w:t>É característica essencial da realização que a recolha não seja efectuada por diálogo directo com a interface programática de cada plataforma de fonte, mas exclusivamente por invocação de ferramentas expostas por uma camada de integração autenticada (250), a qual detém e renova as credenciais de cada plataforma e valida previamente a operacionalidade de cada ferramenta. Desta escolha resultam três efeitos técnicos: a lógica de autenticação não é duplicada no colector, o que elimina uma classe conhecida de defeitos por divergência entre implementações; a adição de uma nova plataforma de fonte não exige alteração do colector; e a superfície de credenciais do sistema fica confinada a um único componente.</w:t>
      </w:r>
    </w:p>
    <w:p>
      <w:pPr>
        <w:spacing w:after="160" w:line="317" w:lineRule="auto"/>
        <w:ind w:left="0"/>
        <w:jc w:val="both"/>
      </w:pPr>
      <w:r>
        <w:rPr>
          <w:rFonts w:ascii="Times New Roman" w:hAnsi="Times New Roman" w:eastAsia="Times New Roman"/>
          <w:b/>
          <w:i w:val="0"/>
          <w:color w:val="1F3864"/>
          <w:sz w:val="22"/>
        </w:rPr>
        <w:t xml:space="preserve">[0034]  </w:t>
      </w:r>
      <w:r>
        <w:rPr>
          <w:rFonts w:ascii="Times New Roman" w:hAnsi="Times New Roman" w:eastAsia="Times New Roman"/>
          <w:b w:val="0"/>
          <w:i w:val="0"/>
          <w:sz w:val="22"/>
        </w:rPr>
        <w:t>Cada adaptador de métrica (112) é um módulo por fonte que recebe, por injecção, uma função de invocação já vinculada à integração correcta, e cuja única responsabilidade é interpretar a resposta obtida. Cada adaptador expõe duas operações: uma que devolve uma lista de amostras canónicas (114) e outra que devolve uma lista de sinais de saúde da entidade. Este padrão torna a extensão do sistema a uma nova plataforma de fonte uma operação aditiva, consistindo na adição de um módulo e do respectivo registo, sem alteração de código existente.</w:t>
      </w:r>
    </w:p>
    <w:p>
      <w:pPr>
        <w:spacing w:after="160" w:line="317" w:lineRule="auto"/>
        <w:ind w:left="0"/>
        <w:jc w:val="both"/>
      </w:pPr>
      <w:r>
        <w:rPr>
          <w:rFonts w:ascii="Times New Roman" w:hAnsi="Times New Roman" w:eastAsia="Times New Roman"/>
          <w:b/>
          <w:i w:val="0"/>
          <w:color w:val="1F3864"/>
          <w:sz w:val="22"/>
        </w:rPr>
        <w:t xml:space="preserve">[0035]  </w:t>
      </w:r>
      <w:r>
        <w:rPr>
          <w:rFonts w:ascii="Times New Roman" w:hAnsi="Times New Roman" w:eastAsia="Times New Roman"/>
          <w:b w:val="0"/>
          <w:i w:val="0"/>
          <w:sz w:val="22"/>
        </w:rPr>
        <w:t>A amostra canónica (114) é uma estrutura de dados imutável compreendendo: identificador de entidade; natureza de entidade, seleccionada de um conjunto que compreende equipamento, serviço, base de dados, fila e ponto de acesso; chave de métrica normalizada, segundo uma convenção hierárquica de designação independente da fonte; valor numérico; unidade, seleccionada de um conjunto que compreende percentagem, octetos, milissegundos, contagem e taxa; marca temporal; identificador da fonte; e um conjunto de dimensões livres em pares chave-valor. A normalização da chave de métrica e da unidade é o que permite comparar o consumo da mesma entidade reportado por fontes distintas, acumular séries longas independentemente da fonte, e formular o plano de verificação (156) em termos que sejam interpretáveis qualquer que seja a origem da medição.</w:t>
      </w:r>
    </w:p>
    <w:p>
      <w:pPr>
        <w:spacing w:after="160" w:line="317" w:lineRule="auto"/>
        <w:ind w:left="0"/>
        <w:jc w:val="both"/>
      </w:pPr>
      <w:r>
        <w:rPr>
          <w:rFonts w:ascii="Times New Roman" w:hAnsi="Times New Roman" w:eastAsia="Times New Roman"/>
          <w:b/>
          <w:i w:val="0"/>
          <w:color w:val="1F3864"/>
          <w:sz w:val="22"/>
        </w:rPr>
        <w:t xml:space="preserve">[0036]  </w:t>
      </w:r>
      <w:r>
        <w:rPr>
          <w:rFonts w:ascii="Times New Roman" w:hAnsi="Times New Roman" w:eastAsia="Times New Roman"/>
          <w:b w:val="0"/>
          <w:i w:val="0"/>
          <w:sz w:val="22"/>
        </w:rPr>
        <w:t>Numa realização preferencial, um identificador de sessão de recolha estável, derivado por função de dispersão do identificador do alvo, é associado às estruturas derivadas, de modo que os motores de análise reconheçam ciclos consecutivos de recolha do mesmo alvo como pertencendo à mesma série contínua, e possam por isso acumular tendência entre ciclos, o que não sucederia se o identificador fosse gerado aleatoriamente a cada ciclo.</w:t>
      </w:r>
    </w:p>
    <w:p>
      <w:pPr>
        <w:spacing w:after="160" w:line="317" w:lineRule="auto"/>
        <w:ind w:left="0"/>
        <w:jc w:val="both"/>
      </w:pPr>
      <w:r>
        <w:rPr>
          <w:rFonts w:ascii="Times New Roman" w:hAnsi="Times New Roman" w:eastAsia="Times New Roman"/>
          <w:b/>
          <w:i w:val="0"/>
          <w:color w:val="1F3864"/>
          <w:sz w:val="22"/>
        </w:rPr>
        <w:t xml:space="preserve">[0037]  </w:t>
      </w:r>
      <w:r>
        <w:rPr>
          <w:rFonts w:ascii="Times New Roman" w:hAnsi="Times New Roman" w:eastAsia="Times New Roman"/>
          <w:b w:val="0"/>
          <w:i w:val="0"/>
          <w:sz w:val="22"/>
        </w:rPr>
        <w:t>As amostras canónicas são persistidas num repositório de séries temporais (116) optimizado para escrita sequencial e leitura analítica, com política de retenção configurável por categoria de entidade. Este repositório constitui o substrato indispensável ao motor de previsão (126), o qual requer janelas de observação de semanas a meses, inatingíveis por estruturas em memória.</w:t>
      </w:r>
    </w:p>
    <w:p>
      <w:pPr>
        <w:keepNext/>
        <w:spacing w:after="120" w:line="276" w:lineRule="auto" w:before="260"/>
        <w:ind w:left="0"/>
        <w:jc w:val="left"/>
      </w:pPr>
      <w:r>
        <w:rPr>
          <w:rFonts w:ascii="Times New Roman" w:hAnsi="Times New Roman" w:eastAsia="Times New Roman"/>
          <w:b/>
          <w:i w:val="0"/>
          <w:color w:val="1F3864"/>
          <w:sz w:val="24"/>
        </w:rPr>
        <w:t>8.3 Motores de análise</w:t>
      </w:r>
    </w:p>
    <w:p>
      <w:pPr>
        <w:spacing w:after="160" w:line="317" w:lineRule="auto"/>
        <w:ind w:left="0"/>
        <w:jc w:val="both"/>
      </w:pPr>
      <w:r>
        <w:rPr>
          <w:rFonts w:ascii="Times New Roman" w:hAnsi="Times New Roman" w:eastAsia="Times New Roman"/>
          <w:b/>
          <w:i w:val="0"/>
          <w:color w:val="1F3864"/>
          <w:sz w:val="22"/>
        </w:rPr>
        <w:t xml:space="preserve">[0038]  </w:t>
      </w:r>
      <w:r>
        <w:rPr>
          <w:rFonts w:ascii="Times New Roman" w:hAnsi="Times New Roman" w:eastAsia="Times New Roman"/>
          <w:b w:val="0"/>
          <w:i w:val="0"/>
          <w:sz w:val="22"/>
        </w:rPr>
        <w:t>O motor de caracterização sazonal (122) mantém, para cada série identificada pelo par entidade e chave de métrica, uma caracterização global sobre janela móvel de amostras recentes e uma caracterização por intervalo sazonal, sendo o conjunto de intervalos sazonais definido pelo produto cartesiano das vinte e quatro horas do dia pelos sete dias da semana, totalizando cento e sessenta e oito intervalos. A avaliação de uma nova amostra é feita por cálculo do desvio normalizado relativamente à caracterização do intervalo sazonal correspondente, quando esta disponha de contagem mínima de amostras, recorrendo à caracterização global em caso contrário, o que assegura comportamento adequado no arranque a frio.</w:t>
      </w:r>
    </w:p>
    <w:p>
      <w:pPr>
        <w:spacing w:after="160" w:line="317" w:lineRule="auto"/>
        <w:ind w:left="0"/>
        <w:jc w:val="both"/>
      </w:pPr>
      <w:r>
        <w:rPr>
          <w:rFonts w:ascii="Times New Roman" w:hAnsi="Times New Roman" w:eastAsia="Times New Roman"/>
          <w:b/>
          <w:i w:val="0"/>
          <w:color w:val="1F3864"/>
          <w:sz w:val="22"/>
        </w:rPr>
        <w:t xml:space="preserve">[0039]  </w:t>
      </w:r>
      <w:r>
        <w:rPr>
          <w:rFonts w:ascii="Times New Roman" w:hAnsi="Times New Roman" w:eastAsia="Times New Roman"/>
          <w:b w:val="0"/>
          <w:i w:val="0"/>
          <w:sz w:val="22"/>
        </w:rPr>
        <w:t>O efeito técnico desta sazonalidade é a supressão de uma classe dominante de falsos positivos: uma entidade cujo consumo de processador atinge regularmente valor elevado num determinado intervalo semanal, por virtude de processamento programado, não gera desvio nesse intervalo, porque esse valor constitui o seu padrão nesse intervalo, ao mesmo tempo que o mesmo valor observado noutro intervalo gera desvio.</w:t>
      </w:r>
    </w:p>
    <w:p>
      <w:pPr>
        <w:spacing w:after="160" w:line="317" w:lineRule="auto"/>
        <w:ind w:left="0"/>
        <w:jc w:val="both"/>
      </w:pPr>
      <w:r>
        <w:rPr>
          <w:rFonts w:ascii="Times New Roman" w:hAnsi="Times New Roman" w:eastAsia="Times New Roman"/>
          <w:b/>
          <w:i w:val="0"/>
          <w:color w:val="1F3864"/>
          <w:sz w:val="22"/>
        </w:rPr>
        <w:t xml:space="preserve">[0040]  </w:t>
      </w:r>
      <w:r>
        <w:rPr>
          <w:rFonts w:ascii="Times New Roman" w:hAnsi="Times New Roman" w:eastAsia="Times New Roman"/>
          <w:b w:val="0"/>
          <w:i w:val="0"/>
          <w:sz w:val="22"/>
        </w:rPr>
        <w:t>É característica essencial que os agregados da caracterização — média, desvio-padrão e contagem, por série e por intervalo sazonal — sejam periodicamente gravados em armazenamento não volátil e recarregados no arranque do processo. Note-se que são gravados os agregados e não as amostras individuais, o que mantém o volume de persistência proporcional ao número de séries multiplicado pelo número de intervalos, e independente do número de amostras observadas. A ausência desta persistência implicaria que cada reinicialização do processo repusesse a caracterização no arranque a frio, o que, num sistema destinado a agir com base nessa caracterização, transforma um inconveniente de precisão num risco operacional, por poder conduzir a intervenção fundada em caracterização insuficiente.</w:t>
      </w:r>
    </w:p>
    <w:p>
      <w:pPr>
        <w:spacing w:after="160" w:line="317" w:lineRule="auto"/>
        <w:ind w:left="0"/>
        <w:jc w:val="both"/>
      </w:pPr>
      <w:r>
        <w:rPr>
          <w:rFonts w:ascii="Times New Roman" w:hAnsi="Times New Roman" w:eastAsia="Times New Roman"/>
          <w:b/>
          <w:i w:val="0"/>
          <w:color w:val="1F3864"/>
          <w:sz w:val="22"/>
        </w:rPr>
        <w:t xml:space="preserve">[0041]  </w:t>
      </w:r>
      <w:r>
        <w:rPr>
          <w:rFonts w:ascii="Times New Roman" w:hAnsi="Times New Roman" w:eastAsia="Times New Roman"/>
          <w:b w:val="0"/>
          <w:i w:val="0"/>
          <w:sz w:val="22"/>
        </w:rPr>
        <w:t>Um motor de limiar adaptativo (124) ajusta, por série, o factor multiplicativo do desvio-padrão em função da proporção histórica de alertas dessa série que não vieram a integrar problema agregado, percorrendo um ciclo de aprendizagem e adaptação com recálculo periódico e com estado persistido.</w:t>
      </w:r>
    </w:p>
    <w:p>
      <w:pPr>
        <w:spacing w:after="160" w:line="317" w:lineRule="auto"/>
        <w:ind w:left="0"/>
        <w:jc w:val="both"/>
      </w:pPr>
      <w:r>
        <w:rPr>
          <w:rFonts w:ascii="Times New Roman" w:hAnsi="Times New Roman" w:eastAsia="Times New Roman"/>
          <w:b/>
          <w:i w:val="0"/>
          <w:color w:val="1F3864"/>
          <w:sz w:val="22"/>
        </w:rPr>
        <w:t xml:space="preserve">[0042]  </w:t>
      </w:r>
      <w:r>
        <w:rPr>
          <w:rFonts w:ascii="Times New Roman" w:hAnsi="Times New Roman" w:eastAsia="Times New Roman"/>
          <w:b w:val="0"/>
          <w:i w:val="0"/>
          <w:sz w:val="22"/>
        </w:rPr>
        <w:t>O motor de previsão (126) opera com cadência lenta sobre o repositório (116) e executa três análises complementares. A primeira é uma regressão robusta com decomposição sazonal, da qual resulta a estimativa do tempo remanescente até que a série atinja um limiar declarado. A segunda é a detecção de deriva de perfil, realizada por comparação da caracterização sazonal corrente com a caracterização homóloga de período anterior; esta análise é essencial porque um crescimento lento e sustentado do consumo de uma aplicação é invisível à comparação instantânea com banda adaptativa, precisamente porque a banda acompanha a deriva, e é no entanto o desvio de maior valor preditivo. A terceira é a detecção de mudança de regime, assinatura característica de fuga de memória ou de alteração de configuração.</w:t>
      </w:r>
    </w:p>
    <w:p>
      <w:pPr>
        <w:spacing w:after="160" w:line="317" w:lineRule="auto"/>
        <w:ind w:left="0"/>
        <w:jc w:val="both"/>
      </w:pPr>
      <w:r>
        <w:rPr>
          <w:rFonts w:ascii="Times New Roman" w:hAnsi="Times New Roman" w:eastAsia="Times New Roman"/>
          <w:b/>
          <w:i w:val="0"/>
          <w:color w:val="1F3864"/>
          <w:sz w:val="22"/>
        </w:rPr>
        <w:t xml:space="preserve">[0043]  </w:t>
      </w:r>
      <w:r>
        <w:rPr>
          <w:rFonts w:ascii="Times New Roman" w:hAnsi="Times New Roman" w:eastAsia="Times New Roman"/>
          <w:b w:val="0"/>
          <w:i w:val="0"/>
          <w:sz w:val="22"/>
        </w:rPr>
        <w:t>O objecto de previsão de risco (132) emitido compreende identificador próprio, entidade, chave de métrica, valor corrente, limiar, tempo estimado até à violação, grau de confiança degradado em função da brevidade e do ruído da série, designação do método e evidência estatística, compreendendo esta a inclinação estimada, uma medida de qualidade do ajuste e a dimensão da janela utilizada. O grau de confiança e a evidência são utilizados pelo motor de política (170) como condição de admissibilidade da acção autónoma preditiva, o que impede que uma extrapolação mal condicionada origine intervenção.</w:t>
      </w:r>
    </w:p>
    <w:p>
      <w:pPr>
        <w:spacing w:after="160" w:line="317" w:lineRule="auto"/>
        <w:ind w:left="0"/>
        <w:jc w:val="both"/>
      </w:pPr>
      <w:r>
        <w:rPr>
          <w:rFonts w:ascii="Times New Roman" w:hAnsi="Times New Roman" w:eastAsia="Times New Roman"/>
          <w:b/>
          <w:i w:val="0"/>
          <w:color w:val="1F3864"/>
          <w:sz w:val="22"/>
        </w:rPr>
        <w:t xml:space="preserve">[0044]  </w:t>
      </w:r>
      <w:r>
        <w:rPr>
          <w:rFonts w:ascii="Times New Roman" w:hAnsi="Times New Roman" w:eastAsia="Times New Roman"/>
          <w:b w:val="0"/>
          <w:i w:val="0"/>
          <w:sz w:val="22"/>
        </w:rPr>
        <w:t>Um correlacionador (128) aplica regras determinísticas de correlação entre eventos de naturezas distintas na mesma entidade ou em entidades relacionadas, e um agregador (130) agrupa alertas da mesma entidade num problema com ciclo de vida próprio, cuja severidade apenas escala e que se resolve automaticamente após período de silêncio.</w:t>
      </w:r>
    </w:p>
    <w:p>
      <w:pPr>
        <w:keepNext/>
        <w:spacing w:after="120" w:line="276" w:lineRule="auto" w:before="260"/>
        <w:ind w:left="0"/>
        <w:jc w:val="left"/>
      </w:pPr>
      <w:r>
        <w:rPr>
          <w:rFonts w:ascii="Times New Roman" w:hAnsi="Times New Roman" w:eastAsia="Times New Roman"/>
          <w:b/>
          <w:i w:val="0"/>
          <w:color w:val="1F3864"/>
          <w:sz w:val="24"/>
        </w:rPr>
        <w:t>8.4 Despachante de eventos</w:t>
      </w:r>
    </w:p>
    <w:p>
      <w:pPr>
        <w:spacing w:after="160" w:line="317" w:lineRule="auto"/>
        <w:ind w:left="0"/>
        <w:jc w:val="both"/>
      </w:pPr>
      <w:r>
        <w:rPr>
          <w:rFonts w:ascii="Times New Roman" w:hAnsi="Times New Roman" w:eastAsia="Times New Roman"/>
          <w:b/>
          <w:i w:val="0"/>
          <w:color w:val="1F3864"/>
          <w:sz w:val="22"/>
        </w:rPr>
        <w:t xml:space="preserve">[0045]  </w:t>
      </w:r>
      <w:r>
        <w:rPr>
          <w:rFonts w:ascii="Times New Roman" w:hAnsi="Times New Roman" w:eastAsia="Times New Roman"/>
          <w:b w:val="0"/>
          <w:i w:val="0"/>
          <w:sz w:val="22"/>
        </w:rPr>
        <w:t>O despachante (140) constitui a ligação, ausente do estado da técnica considerado, entre o pipeline de detecção e o motor de automação. Subscreve as transições de estado do agregador (130) e a emissão de previsões (132) e, para cada evento elegível, constrói um descritor de gatilho compreendendo a natureza do gatilho, seleccionada entre problema, previsão e invocação manual, a referência ao objecto de origem, a entidade e o conjunto de tipos de alerta envolvidos, submetendo-o ao planeador (160). O despachante aplica desde logo a supressão de repetição, não submetendo gatilho cuja assinatura e entidade se encontrem em intervalo de arrefecimento.</w:t>
      </w:r>
    </w:p>
    <w:p>
      <w:pPr>
        <w:keepNext/>
        <w:spacing w:after="120" w:line="276" w:lineRule="auto" w:before="260"/>
        <w:ind w:left="0"/>
        <w:jc w:val="left"/>
      </w:pPr>
      <w:r>
        <w:rPr>
          <w:rFonts w:ascii="Times New Roman" w:hAnsi="Times New Roman" w:eastAsia="Times New Roman"/>
          <w:b/>
          <w:i w:val="0"/>
          <w:color w:val="1F3864"/>
          <w:sz w:val="24"/>
        </w:rPr>
        <w:t>8.5 Catálogo de procedimentos de correcção (Figura 3)</w:t>
      </w:r>
    </w:p>
    <w:p>
      <w:pPr>
        <w:spacing w:after="160" w:line="317" w:lineRule="auto"/>
        <w:ind w:left="0"/>
        <w:jc w:val="both"/>
      </w:pPr>
      <w:r>
        <w:rPr>
          <w:rFonts w:ascii="Times New Roman" w:hAnsi="Times New Roman" w:eastAsia="Times New Roman"/>
          <w:b/>
          <w:i w:val="0"/>
          <w:color w:val="1F3864"/>
          <w:sz w:val="22"/>
        </w:rPr>
        <w:t xml:space="preserve">[0046]  </w:t>
      </w:r>
      <w:r>
        <w:rPr>
          <w:rFonts w:ascii="Times New Roman" w:hAnsi="Times New Roman" w:eastAsia="Times New Roman"/>
          <w:b w:val="0"/>
          <w:i w:val="0"/>
          <w:sz w:val="22"/>
        </w:rPr>
        <w:t>O catálogo (150) armazena registos de procedimento de correcção versionados, sendo a unicidade estabelecida pelo par identificador de procedimento e número de versão, de modo que a alteração de um procedimento em uso produz nova versão e não modificação da versão vigente, o que assegura que uma execução em curso e o respectivo registo de auditoria remetam sempre para conteúdo imutável.</w:t>
      </w:r>
    </w:p>
    <w:p>
      <w:pPr>
        <w:spacing w:after="160" w:line="317" w:lineRule="auto"/>
        <w:ind w:left="0"/>
        <w:jc w:val="both"/>
      </w:pPr>
      <w:r>
        <w:rPr>
          <w:rFonts w:ascii="Times New Roman" w:hAnsi="Times New Roman" w:eastAsia="Times New Roman"/>
          <w:b/>
          <w:i w:val="0"/>
          <w:color w:val="1F3864"/>
          <w:sz w:val="22"/>
        </w:rPr>
        <w:t xml:space="preserve">[0047]  </w:t>
      </w:r>
      <w:r>
        <w:rPr>
          <w:rFonts w:ascii="Times New Roman" w:hAnsi="Times New Roman" w:eastAsia="Times New Roman"/>
          <w:b w:val="0"/>
          <w:i w:val="0"/>
          <w:sz w:val="22"/>
        </w:rPr>
        <w:t>A assinatura de correspondência (152) declara os tipos de alerta, a natureza de entidade, os critérios de correspondência de atributos da entidade, designadamente a função desempenhada, e a chave de métrica a que o procedimento se aplica. A correspondência é avaliada por comparação determinística, sem intervenção do modelo de linguagem, o que torna a selecção reproduzível e de custo computacional desprezável.</w:t>
      </w:r>
    </w:p>
    <w:p>
      <w:pPr>
        <w:spacing w:after="160" w:line="317" w:lineRule="auto"/>
        <w:ind w:left="0"/>
        <w:jc w:val="both"/>
      </w:pPr>
      <w:r>
        <w:rPr>
          <w:rFonts w:ascii="Times New Roman" w:hAnsi="Times New Roman" w:eastAsia="Times New Roman"/>
          <w:b/>
          <w:i w:val="0"/>
          <w:color w:val="1F3864"/>
          <w:sz w:val="22"/>
        </w:rPr>
        <w:t xml:space="preserve">[0048]  </w:t>
      </w:r>
      <w:r>
        <w:rPr>
          <w:rFonts w:ascii="Times New Roman" w:hAnsi="Times New Roman" w:eastAsia="Times New Roman"/>
          <w:b w:val="0"/>
          <w:i w:val="0"/>
          <w:sz w:val="22"/>
        </w:rPr>
        <w:t>A classe de risco é atribuída pelo autor humano do procedimento no momento da aprovação, e não inferida por modelo. A delimitação de raio de impacto declara o número máximo de entidades sobre as quais uma única execução do procedimento pode actuar e o âmbito admissível dessa actuação.</w:t>
      </w:r>
    </w:p>
    <w:p>
      <w:pPr>
        <w:spacing w:after="160" w:line="317" w:lineRule="auto"/>
        <w:ind w:left="0"/>
        <w:jc w:val="both"/>
      </w:pPr>
      <w:r>
        <w:rPr>
          <w:rFonts w:ascii="Times New Roman" w:hAnsi="Times New Roman" w:eastAsia="Times New Roman"/>
          <w:b/>
          <w:i w:val="0"/>
          <w:color w:val="1F3864"/>
          <w:sz w:val="22"/>
        </w:rPr>
        <w:t xml:space="preserve">[0049]  </w:t>
      </w:r>
      <w:r>
        <w:rPr>
          <w:rFonts w:ascii="Times New Roman" w:hAnsi="Times New Roman" w:eastAsia="Times New Roman"/>
          <w:b w:val="0"/>
          <w:i w:val="0"/>
          <w:sz w:val="22"/>
        </w:rPr>
        <w:t>As pré-condições são expressas como nós de asserção avaliados imediatamente antes da execução, sobre a entidade concreta, e não sobre a agregação que originou o gatilho. Compreendem, numa realização preferencial, a asserção de que uma métrica canónica se encontra em determinada relação com um valor de referência, e a asserção de que o instante corrente não pertence a uma janela de congelamento de alteração declarada. O incumprimento de qualquer pré-condição conduz ao estado terminal abortado, sem execução.</w:t>
      </w:r>
    </w:p>
    <w:p>
      <w:pPr>
        <w:spacing w:after="160" w:line="317" w:lineRule="auto"/>
        <w:ind w:left="0"/>
        <w:jc w:val="both"/>
      </w:pPr>
      <w:r>
        <w:rPr>
          <w:rFonts w:ascii="Times New Roman" w:hAnsi="Times New Roman" w:eastAsia="Times New Roman"/>
          <w:b/>
          <w:i w:val="0"/>
          <w:color w:val="1F3864"/>
          <w:sz w:val="22"/>
        </w:rPr>
        <w:t xml:space="preserve">[0050]  </w:t>
      </w:r>
      <w:r>
        <w:rPr>
          <w:rFonts w:ascii="Times New Roman" w:hAnsi="Times New Roman" w:eastAsia="Times New Roman"/>
          <w:b w:val="0"/>
          <w:i w:val="0"/>
          <w:sz w:val="22"/>
        </w:rPr>
        <w:t>O grafo de execução (154) é expresso num vocabulário de nós predefinido que compreende os tipos de nó reconhecidos pelo compilador de autoria (220) e, adicionalmente, um subconjunto de nós de remediação inseridos no grafo em tempo de autoria por revisor humano e não produzidos pelo dito compilador. O dito subconjunto compreende três tipos de nó especificamente requeridos pela remediação verificada: um nó de espera, que suspende a progressão pelo período declarado, permitindo que o efeito da intervenção se estabilize antes de ser medido; um nó de asserção de métrica, que avalia uma condição sobre a série canónica e cujo resultado condiciona a progressão; e um nó de captura de estado, que registra, antes da intervenção, o estado a repor caso venha a ser necessária reversão.</w:t>
      </w:r>
    </w:p>
    <w:p>
      <w:pPr>
        <w:spacing w:after="200" w:line="288" w:lineRule="auto" w:before="160"/>
        <w:ind w:left="340"/>
        <w:jc w:val="both"/>
        <w:pBdr>
          <w:left w:val="single" w:sz="12" w:space="10" w:color="BFA36A"/>
        </w:pBdr>
      </w:pPr>
      <w:r>
        <w:rPr>
          <w:rFonts w:ascii="Times New Roman" w:hAnsi="Times New Roman" w:eastAsia="Times New Roman"/>
          <w:b w:val="0"/>
          <w:i/>
          <w:color w:val="3A3A3A"/>
          <w:sz w:val="20"/>
        </w:rPr>
        <w:t>Nota de estratégia de protecção, a decidir com o mandatário: se as reivindicações do pedido anterior do requerente caracterizarem o vocabulário de nós pelo seu número concreto, a introdução destes três tipos deve ser articulada com aquele pedido. Duas vias são admissíveis: (i) declarar, como se faz na reivindicação 12 da presente memória, um vocabulário de remediação distinto e exclusivo dos procedimentos de correcção, não processado pelo compilador de linguagem natural, preservando intacto o vocabulário reivindicado no pedido anterior; ou (ii) requerer a ampliação do vocabulário naquele pedido. A presente memória adopta a primeira via nas reivindicações, por ser a que não depende da tramitação do pedido anterior.</w:t>
      </w:r>
    </w:p>
    <w:p>
      <w:pPr>
        <w:spacing w:after="160" w:line="317" w:lineRule="auto"/>
        <w:ind w:left="0"/>
        <w:jc w:val="both"/>
      </w:pPr>
      <w:r>
        <w:rPr>
          <w:rFonts w:ascii="Times New Roman" w:hAnsi="Times New Roman" w:eastAsia="Times New Roman"/>
          <w:b/>
          <w:i w:val="0"/>
          <w:color w:val="1F3864"/>
          <w:sz w:val="22"/>
        </w:rPr>
        <w:t xml:space="preserve">[0051]  </w:t>
      </w:r>
      <w:r>
        <w:rPr>
          <w:rFonts w:ascii="Times New Roman" w:hAnsi="Times New Roman" w:eastAsia="Times New Roman"/>
          <w:b w:val="0"/>
          <w:i w:val="0"/>
          <w:sz w:val="22"/>
        </w:rPr>
        <w:t>O plano de verificação (156) compreende um período de estabilização expresso em segundos e um conjunto de asserções a avaliar após esse período, cada asserção referindo uma chave de métrica canónica e uma relação com um valor de referência, ou uma verificação de estado de um recurso do sistema, bem como a acção a tomar em caso de incumprimento, seleccionada entre reverter, escalar e nenhuma. É característica essencial que o modelo de dados do catálogo imponha a não nulidade do plano de verificação como condição da transição para o estado aprovado, de tal modo que a inexistência de plano de verificação torne o procedimento estruturalmente inaprovável e, consequentemente, inexecutável em modo autónomo. Esta imposição no modelo de dados, e não apenas na lógica de aplicação, é o que garante que nenhum caminho de código possa aprovar um procedimento sem verificação.</w:t>
      </w:r>
    </w:p>
    <w:p>
      <w:pPr>
        <w:spacing w:after="160" w:line="317" w:lineRule="auto"/>
        <w:ind w:left="0"/>
        <w:jc w:val="both"/>
      </w:pPr>
      <w:r>
        <w:rPr>
          <w:rFonts w:ascii="Times New Roman" w:hAnsi="Times New Roman" w:eastAsia="Times New Roman"/>
          <w:b/>
          <w:i w:val="0"/>
          <w:color w:val="1F3864"/>
          <w:sz w:val="22"/>
        </w:rPr>
        <w:t xml:space="preserve">[0052]  </w:t>
      </w:r>
      <w:r>
        <w:rPr>
          <w:rFonts w:ascii="Times New Roman" w:hAnsi="Times New Roman" w:eastAsia="Times New Roman"/>
          <w:b w:val="0"/>
          <w:i w:val="0"/>
          <w:sz w:val="22"/>
        </w:rPr>
        <w:t>O plano de reversão (158) é um segundo grafo, do mesmo vocabulário, destinado a repor o estado capturado. É igualmente dotado de verificação própria, pelo que uma reversão que não se confirme conduz ao estado terminal escalado, sem nova tentativa automática.</w:t>
      </w:r>
    </w:p>
    <w:p>
      <w:pPr>
        <w:spacing w:after="160" w:line="317" w:lineRule="auto"/>
        <w:ind w:left="0"/>
        <w:jc w:val="both"/>
      </w:pPr>
      <w:r>
        <w:rPr>
          <w:rFonts w:ascii="Times New Roman" w:hAnsi="Times New Roman" w:eastAsia="Times New Roman"/>
          <w:b/>
          <w:i w:val="0"/>
          <w:color w:val="1F3864"/>
          <w:sz w:val="22"/>
        </w:rPr>
        <w:t xml:space="preserve">[0053]  </w:t>
      </w:r>
      <w:r>
        <w:rPr>
          <w:rFonts w:ascii="Times New Roman" w:hAnsi="Times New Roman" w:eastAsia="Times New Roman"/>
          <w:b w:val="0"/>
          <w:i w:val="0"/>
          <w:sz w:val="22"/>
        </w:rPr>
        <w:t>O ciclo de autoria de um procedimento, ilustrado na Figura 3, compreende as seguintes fases: um operador descreve o procedimento pretendido em linguagem natural; o compilador de autoria (220) compila essa descrição num grafo estruturado; uma segunda passagem de revisão estática verifica a coerência do grafo e corrige defeitos detectáveis; o grafo é submetido a ensaio em modo de leitura, no qual apenas os nós que não produzem efeito de escrita são efectivamente executados, produzindo evidência do comportamento; um revisor humano aprova o procedimento, atribuindo-lhe a classe de risco e a delimitação de raio de impacto; e o registo transita para o estado aprovado. A partir desse momento, o procedimento é executado um número indeterminado de vezes sem qualquer nova invocação do modelo de linguagem.</w:t>
      </w:r>
    </w:p>
    <w:p>
      <w:pPr>
        <w:spacing w:after="160" w:line="317" w:lineRule="auto"/>
        <w:ind w:left="0"/>
        <w:jc w:val="both"/>
      </w:pPr>
      <w:r>
        <w:rPr>
          <w:rFonts w:ascii="Times New Roman" w:hAnsi="Times New Roman" w:eastAsia="Times New Roman"/>
          <w:b/>
          <w:i w:val="0"/>
          <w:color w:val="1F3864"/>
          <w:sz w:val="22"/>
        </w:rPr>
        <w:t xml:space="preserve">[0054]  </w:t>
      </w:r>
      <w:r>
        <w:rPr>
          <w:rFonts w:ascii="Times New Roman" w:hAnsi="Times New Roman" w:eastAsia="Times New Roman"/>
          <w:b w:val="0"/>
          <w:i w:val="0"/>
          <w:sz w:val="22"/>
        </w:rPr>
        <w:t>É esta assimetria — inferência única em tempo de autoria, contra execuções múltiplas e determinísticas em tempo de incidente — que constitui o fundamento técnico da defensabilidade da autonomia: nenhum equipamento em produção recebe código que não tenha sido revisto, ensaiado e aprovado, e a mesma anomalia produz sempre a mesma intervenção.</w:t>
      </w:r>
    </w:p>
    <w:p>
      <w:pPr>
        <w:keepNext/>
        <w:spacing w:after="120" w:line="276" w:lineRule="auto" w:before="260"/>
        <w:ind w:left="0"/>
        <w:jc w:val="left"/>
      </w:pPr>
      <w:r>
        <w:rPr>
          <w:rFonts w:ascii="Times New Roman" w:hAnsi="Times New Roman" w:eastAsia="Times New Roman"/>
          <w:b/>
          <w:i w:val="0"/>
          <w:color w:val="1F3864"/>
          <w:sz w:val="24"/>
        </w:rPr>
        <w:t>8.6 Planeador de remediação</w:t>
      </w:r>
    </w:p>
    <w:p>
      <w:pPr>
        <w:spacing w:after="160" w:line="317" w:lineRule="auto"/>
        <w:ind w:left="0"/>
        <w:jc w:val="both"/>
      </w:pPr>
      <w:r>
        <w:rPr>
          <w:rFonts w:ascii="Times New Roman" w:hAnsi="Times New Roman" w:eastAsia="Times New Roman"/>
          <w:b/>
          <w:i w:val="0"/>
          <w:color w:val="1F3864"/>
          <w:sz w:val="22"/>
        </w:rPr>
        <w:t xml:space="preserve">[0055]  </w:t>
      </w:r>
      <w:r>
        <w:rPr>
          <w:rFonts w:ascii="Times New Roman" w:hAnsi="Times New Roman" w:eastAsia="Times New Roman"/>
          <w:b w:val="0"/>
          <w:i w:val="0"/>
          <w:sz w:val="22"/>
        </w:rPr>
        <w:t>O planeador (160) recebe o descritor de gatilho e calcula uma assinatura de gatilho por combinação do conjunto de tipos de alerta, da natureza da entidade, da chave de métrica e dos atributos da entidade. Consulta o catálogo (150), restringindo a pesquisa aos registos em estado aprovado, e procede conforme o número de correspondências: havendo correspondência única, produz a candidatura sem qualquer invocação do modelo de linguagem; havendo correspondências múltiplas, desempata por indicador de eficácia histórica e, subsidiariamente, por classe de risco menor; não havendo correspondência, invoca o modelo de linguagem para propor um novo registo de procedimento, o qual é gravado em estado de rascunho e encaminhado para o ciclo de autoria, não sendo em circunstância alguma executado.</w:t>
      </w:r>
    </w:p>
    <w:p>
      <w:pPr>
        <w:spacing w:after="160" w:line="317" w:lineRule="auto"/>
        <w:ind w:left="0"/>
        <w:jc w:val="both"/>
      </w:pPr>
      <w:r>
        <w:rPr>
          <w:rFonts w:ascii="Times New Roman" w:hAnsi="Times New Roman" w:eastAsia="Times New Roman"/>
          <w:b/>
          <w:i w:val="0"/>
          <w:color w:val="1F3864"/>
          <w:sz w:val="22"/>
        </w:rPr>
        <w:t xml:space="preserve">[0056]  </w:t>
      </w:r>
      <w:r>
        <w:rPr>
          <w:rFonts w:ascii="Times New Roman" w:hAnsi="Times New Roman" w:eastAsia="Times New Roman"/>
          <w:b w:val="0"/>
          <w:i w:val="0"/>
          <w:sz w:val="22"/>
        </w:rPr>
        <w:t>Este último ramo é o que altera qualitativamente o perfil de risco do sistema relativamente ao estado da técnica descrito em 3.3. Perante um problema desconhecido, o sistema conhecido gera e executa código inédito; o sistema da invenção gera uma proposta destinada a revisão humana. O sistema torna-se progressivamente mais capaz a cada incidente, sem que qualquer incidente seja resolvido por código nunca revisto.</w:t>
      </w:r>
    </w:p>
    <w:p>
      <w:pPr>
        <w:keepNext/>
        <w:spacing w:after="120" w:line="276" w:lineRule="auto" w:before="260"/>
        <w:ind w:left="0"/>
        <w:jc w:val="left"/>
      </w:pPr>
      <w:r>
        <w:rPr>
          <w:rFonts w:ascii="Times New Roman" w:hAnsi="Times New Roman" w:eastAsia="Times New Roman"/>
          <w:b/>
          <w:i w:val="0"/>
          <w:color w:val="1F3864"/>
          <w:sz w:val="24"/>
        </w:rPr>
        <w:t>8.7 Motor de política de autonomia (Figura 4)</w:t>
      </w:r>
    </w:p>
    <w:p>
      <w:pPr>
        <w:spacing w:after="160" w:line="317" w:lineRule="auto"/>
        <w:ind w:left="0"/>
        <w:jc w:val="both"/>
      </w:pPr>
      <w:r>
        <w:rPr>
          <w:rFonts w:ascii="Times New Roman" w:hAnsi="Times New Roman" w:eastAsia="Times New Roman"/>
          <w:b/>
          <w:i w:val="0"/>
          <w:color w:val="1F3864"/>
          <w:sz w:val="22"/>
        </w:rPr>
        <w:t xml:space="preserve">[0057]  </w:t>
      </w:r>
      <w:r>
        <w:rPr>
          <w:rFonts w:ascii="Times New Roman" w:hAnsi="Times New Roman" w:eastAsia="Times New Roman"/>
          <w:b w:val="0"/>
          <w:i w:val="0"/>
          <w:sz w:val="22"/>
        </w:rPr>
        <w:t>As políticas (172) são armazenadas com indicação do âmbito, seleccionado entre global, categoria de entidade, entidade individual e procedimento individual, e do respectivo valor, e compreendem: o modo de autonomia, seleccionado entre observação, semi-autónomo e autónomo; a classe de risco máxima admissível em modo autónomo; as janelas de manutenção declaradas; um indicador de exigência de aprovação fora das janelas; o número máximo de acções por unidade de tempo; o número máximo de entidades por acção; o conjunto de aprovadores admissíveis, expresso por referência a grupos de um serviço de directório; o prazo de validade da aprovação; e a acção por omissão à expiração do prazo, seleccionada entre negar e escalar.</w:t>
      </w:r>
    </w:p>
    <w:p>
      <w:pPr>
        <w:spacing w:after="160" w:line="317" w:lineRule="auto"/>
        <w:ind w:left="0"/>
        <w:jc w:val="both"/>
      </w:pPr>
      <w:r>
        <w:rPr>
          <w:rFonts w:ascii="Times New Roman" w:hAnsi="Times New Roman" w:eastAsia="Times New Roman"/>
          <w:b/>
          <w:i w:val="0"/>
          <w:color w:val="1F3864"/>
          <w:sz w:val="22"/>
        </w:rPr>
        <w:t xml:space="preserve">[0058]  </w:t>
      </w:r>
      <w:r>
        <w:rPr>
          <w:rFonts w:ascii="Times New Roman" w:hAnsi="Times New Roman" w:eastAsia="Times New Roman"/>
          <w:b w:val="0"/>
          <w:i w:val="0"/>
          <w:sz w:val="22"/>
        </w:rPr>
        <w:t>A resolução procede do âmbito mais específico para o mais geral, e o modo efectivo é calculado como o mínimo, numa ordem total de permissividade em que a observação é o mínimo e o autónomo o máximo, entre o modo da política mais específica aplicável e o modo do tecto global. Esta operação de conjunção restritiva produz um efeito técnico determinado: um tecto global fixado em semi-autónomo impede toda e qualquer política mais específica de conceder execução autónoma, sem que seja necessário editar as políticas específicas. O operador dispõe assim de um único comando de contenção de efeito imediato e integral, propriedade indispensável em situação de dúvida sobre o comportamento do sistema.</w:t>
      </w:r>
    </w:p>
    <w:p>
      <w:pPr>
        <w:spacing w:after="160" w:line="317" w:lineRule="auto"/>
        <w:ind w:left="0"/>
        <w:jc w:val="both"/>
      </w:pPr>
      <w:r>
        <w:rPr>
          <w:rFonts w:ascii="Times New Roman" w:hAnsi="Times New Roman" w:eastAsia="Times New Roman"/>
          <w:b/>
          <w:i w:val="0"/>
          <w:color w:val="1F3864"/>
          <w:sz w:val="22"/>
        </w:rPr>
        <w:t xml:space="preserve">[0059]  </w:t>
      </w:r>
      <w:r>
        <w:rPr>
          <w:rFonts w:ascii="Times New Roman" w:hAnsi="Times New Roman" w:eastAsia="Times New Roman"/>
          <w:b w:val="0"/>
          <w:i w:val="0"/>
          <w:sz w:val="22"/>
        </w:rPr>
        <w:t>É característica essencial e expressamente reivindicada que qualquer indicação de auto-execução, de classe de risco ou de urgência produzida pelo modelo de linguagem seja desconsiderada pelo motor de política, podendo ser conservada no registo apenas com valor informativo para o operador humano. Deste modo, a decisão de executar sem supervisão resulta exclusivamente da avaliação, em código determinístico, de regras explícitas definidas pela organização, e é integralmente inspeccionável e reproduzível.</w:t>
      </w:r>
    </w:p>
    <w:p>
      <w:pPr>
        <w:spacing w:after="160" w:line="317" w:lineRule="auto"/>
        <w:ind w:left="0"/>
        <w:jc w:val="both"/>
      </w:pPr>
      <w:r>
        <w:rPr>
          <w:rFonts w:ascii="Times New Roman" w:hAnsi="Times New Roman" w:eastAsia="Times New Roman"/>
          <w:b/>
          <w:i w:val="0"/>
          <w:color w:val="1F3864"/>
          <w:sz w:val="22"/>
        </w:rPr>
        <w:t xml:space="preserve">[0060]  </w:t>
      </w:r>
      <w:r>
        <w:rPr>
          <w:rFonts w:ascii="Times New Roman" w:hAnsi="Times New Roman" w:eastAsia="Times New Roman"/>
          <w:b w:val="0"/>
          <w:i w:val="0"/>
          <w:sz w:val="22"/>
        </w:rPr>
        <w:t>O modo de observação avalia integralmente a cadeia — cálculo de assinatura, selecção de procedimento, avaliação de pré-condições em modo de leitura — e registra a intervenção que teria sido realizada, sem executar qualquer nó de efeito de escrita. Constitui o modo por omissão no arranque do sistema e o meio de aferir a qualidade das decisões antes da concessão de capacidade de execução.</w:t>
      </w:r>
    </w:p>
    <w:p>
      <w:pPr>
        <w:keepNext/>
        <w:spacing w:after="120" w:line="276" w:lineRule="auto" w:before="260"/>
        <w:ind w:left="0"/>
        <w:jc w:val="left"/>
      </w:pPr>
      <w:r>
        <w:rPr>
          <w:rFonts w:ascii="Times New Roman" w:hAnsi="Times New Roman" w:eastAsia="Times New Roman"/>
          <w:b/>
          <w:i w:val="0"/>
          <w:color w:val="1F3864"/>
          <w:sz w:val="24"/>
        </w:rPr>
        <w:t>8.8 Porta de aprovação unificada</w:t>
      </w:r>
    </w:p>
    <w:p>
      <w:pPr>
        <w:spacing w:after="160" w:line="317" w:lineRule="auto"/>
        <w:ind w:left="0"/>
        <w:jc w:val="both"/>
      </w:pPr>
      <w:r>
        <w:rPr>
          <w:rFonts w:ascii="Times New Roman" w:hAnsi="Times New Roman" w:eastAsia="Times New Roman"/>
          <w:b/>
          <w:i w:val="0"/>
          <w:color w:val="1F3864"/>
          <w:sz w:val="22"/>
        </w:rPr>
        <w:t xml:space="preserve">[0061]  </w:t>
      </w:r>
      <w:r>
        <w:rPr>
          <w:rFonts w:ascii="Times New Roman" w:hAnsi="Times New Roman" w:eastAsia="Times New Roman"/>
          <w:b w:val="0"/>
          <w:i w:val="0"/>
          <w:sz w:val="22"/>
        </w:rPr>
        <w:t>A porta de aprovação (180) mantém um registo durável (182) de pedidos pendentes, compreendendo cada pedido: identificador; um segredo de utilização única; a natureza do pedido; o conteúdo submetido a decisão; o canal de origem, seleccionado entre interface web, plataforma de mensagens corporativa, interface conversacional e interface programática; o requerente; o conjunto de aprovadores admissíveis; a identidade do decisor, resolvida contra o serviço de directório; a decisão; o instante da decisão; o instante de expiração; e a acção por omissão à expiração.</w:t>
      </w:r>
    </w:p>
    <w:p>
      <w:pPr>
        <w:spacing w:after="160" w:line="317" w:lineRule="auto"/>
        <w:ind w:left="0"/>
        <w:jc w:val="both"/>
      </w:pPr>
      <w:r>
        <w:rPr>
          <w:rFonts w:ascii="Times New Roman" w:hAnsi="Times New Roman" w:eastAsia="Times New Roman"/>
          <w:b/>
          <w:i w:val="0"/>
          <w:color w:val="1F3864"/>
          <w:sz w:val="22"/>
        </w:rPr>
        <w:t xml:space="preserve">[0062]  </w:t>
      </w:r>
      <w:r>
        <w:rPr>
          <w:rFonts w:ascii="Times New Roman" w:hAnsi="Times New Roman" w:eastAsia="Times New Roman"/>
          <w:b w:val="0"/>
          <w:i w:val="0"/>
          <w:sz w:val="22"/>
        </w:rPr>
        <w:t>Numa realização preferencial, um armazenamento em memória de acesso rápido conserva o segredo activo, para validação de latência mínima, sendo o armazenamento transaccional persistente a fonte de verdade para efeitos de auditoria. Esta separação resolve a fragilidade da realização em que o estado de aprovação reside unicamente em memória volátil, na qual a expiração do registo faz desaparecer o vestígio da decisão e a identidade do aprovador.</w:t>
      </w:r>
    </w:p>
    <w:p>
      <w:pPr>
        <w:spacing w:after="160" w:line="317" w:lineRule="auto"/>
        <w:ind w:left="0"/>
        <w:jc w:val="both"/>
      </w:pPr>
      <w:r>
        <w:rPr>
          <w:rFonts w:ascii="Times New Roman" w:hAnsi="Times New Roman" w:eastAsia="Times New Roman"/>
          <w:b/>
          <w:i w:val="0"/>
          <w:color w:val="1F3864"/>
          <w:sz w:val="22"/>
        </w:rPr>
        <w:t xml:space="preserve">[0063]  </w:t>
      </w:r>
      <w:r>
        <w:rPr>
          <w:rFonts w:ascii="Times New Roman" w:hAnsi="Times New Roman" w:eastAsia="Times New Roman"/>
          <w:b w:val="0"/>
          <w:i w:val="0"/>
          <w:sz w:val="22"/>
        </w:rPr>
        <w:t>A expiração do prazo sem decisão produz o efeito declarado na política, sendo a negação o valor por omissão, em aplicação do princípio de falha para o lado seguro. A porta serve, através de canais, a totalidade dos fluxos de aprovação do sistema, constituindo um trilho de auditoria único.</w:t>
      </w:r>
    </w:p>
    <w:p>
      <w:pPr>
        <w:keepNext/>
        <w:spacing w:after="120" w:line="276" w:lineRule="auto" w:before="260"/>
        <w:ind w:left="0"/>
        <w:jc w:val="left"/>
      </w:pPr>
      <w:r>
        <w:rPr>
          <w:rFonts w:ascii="Times New Roman" w:hAnsi="Times New Roman" w:eastAsia="Times New Roman"/>
          <w:b/>
          <w:i w:val="0"/>
          <w:color w:val="1F3864"/>
          <w:sz w:val="24"/>
        </w:rPr>
        <w:t>8.9 Executor de ciclo fechado (Figura 5)</w:t>
      </w:r>
    </w:p>
    <w:p>
      <w:pPr>
        <w:spacing w:after="160" w:line="317" w:lineRule="auto"/>
        <w:ind w:left="0"/>
        <w:jc w:val="both"/>
      </w:pPr>
      <w:r>
        <w:rPr>
          <w:rFonts w:ascii="Times New Roman" w:hAnsi="Times New Roman" w:eastAsia="Times New Roman"/>
          <w:b/>
          <w:i w:val="0"/>
          <w:color w:val="1F3864"/>
          <w:sz w:val="22"/>
        </w:rPr>
        <w:t xml:space="preserve">[0064]  </w:t>
      </w:r>
      <w:r>
        <w:rPr>
          <w:rFonts w:ascii="Times New Roman" w:hAnsi="Times New Roman" w:eastAsia="Times New Roman"/>
          <w:b w:val="0"/>
          <w:i w:val="0"/>
          <w:sz w:val="22"/>
        </w:rPr>
        <w:t>O executor (190) implementa a máquina de estados que constitui o núcleo funcional da invenção. Os estados e as transições são os seguintes.</w:t>
      </w:r>
    </w:p>
    <w:tbl>
      <w:tblPr>
        <w:tblStyle w:val="TableGrid"/>
        <w:tblW w:type="auto" w:w="0"/>
        <w:jc w:val="center"/>
        <w:tblLook w:firstColumn="1" w:firstRow="1" w:lastColumn="0" w:lastRow="0" w:noHBand="0" w:noVBand="1" w:val="04A0"/>
      </w:tblPr>
      <w:tblGrid>
        <w:gridCol w:w="3079"/>
        <w:gridCol w:w="3079"/>
        <w:gridCol w:w="3079"/>
      </w:tblGrid>
      <w:tr>
        <w:tc>
          <w:tcPr>
            <w:tcW w:type="dxa" w:w="2268"/>
            <w:shd w:val="clear" w:color="auto" w:fill="E8EDF5"/>
          </w:tcPr>
          <w:p>
            <w:pPr>
              <w:spacing w:after="40" w:line="276" w:lineRule="auto"/>
              <w:jc w:val="left"/>
            </w:pPr>
            <w:r>
              <w:rPr>
                <w:rFonts w:ascii="Times New Roman" w:hAnsi="Times New Roman"/>
                <w:b/>
                <w:sz w:val="19"/>
              </w:rPr>
              <w:t>Estado</w:t>
            </w:r>
          </w:p>
        </w:tc>
        <w:tc>
          <w:tcPr>
            <w:tcW w:type="dxa" w:w="3345"/>
            <w:shd w:val="clear" w:color="auto" w:fill="E8EDF5"/>
          </w:tcPr>
          <w:p>
            <w:pPr>
              <w:spacing w:after="40" w:line="276" w:lineRule="auto"/>
              <w:jc w:val="left"/>
            </w:pPr>
            <w:r>
              <w:rPr>
                <w:rFonts w:ascii="Times New Roman" w:hAnsi="Times New Roman"/>
                <w:b/>
                <w:sz w:val="19"/>
              </w:rPr>
              <w:t>Natureza</w:t>
            </w:r>
          </w:p>
        </w:tc>
        <w:tc>
          <w:tcPr>
            <w:tcW w:type="dxa" w:w="3175"/>
            <w:shd w:val="clear" w:color="auto" w:fill="E8EDF5"/>
          </w:tcPr>
          <w:p>
            <w:pPr>
              <w:spacing w:after="40" w:line="276" w:lineRule="auto"/>
              <w:jc w:val="left"/>
            </w:pPr>
            <w:r>
              <w:rPr>
                <w:rFonts w:ascii="Times New Roman" w:hAnsi="Times New Roman"/>
                <w:b/>
                <w:sz w:val="19"/>
              </w:rPr>
              <w:t>Transições de saída</w:t>
            </w:r>
          </w:p>
        </w:tc>
      </w:tr>
      <w:tr>
        <w:tc>
          <w:tcPr>
            <w:tcW w:type="dxa" w:w="2268"/>
          </w:tcPr>
          <w:p>
            <w:pPr>
              <w:spacing w:after="40" w:line="276" w:lineRule="auto"/>
              <w:jc w:val="left"/>
            </w:pPr>
            <w:r>
              <w:rPr>
                <w:rFonts w:ascii="Times New Roman" w:hAnsi="Times New Roman"/>
                <w:sz w:val="19"/>
              </w:rPr>
              <w:t>proposto</w:t>
            </w:r>
          </w:p>
        </w:tc>
        <w:tc>
          <w:tcPr>
            <w:tcW w:type="dxa" w:w="3345"/>
          </w:tcPr>
          <w:p>
            <w:pPr>
              <w:spacing w:after="40" w:line="276" w:lineRule="auto"/>
              <w:jc w:val="left"/>
            </w:pPr>
            <w:r>
              <w:rPr>
                <w:rFonts w:ascii="Times New Roman" w:hAnsi="Times New Roman"/>
                <w:sz w:val="19"/>
              </w:rPr>
              <w:t>intermédio</w:t>
            </w:r>
          </w:p>
        </w:tc>
        <w:tc>
          <w:tcPr>
            <w:tcW w:type="dxa" w:w="3175"/>
          </w:tcPr>
          <w:p>
            <w:pPr>
              <w:spacing w:after="40" w:line="276" w:lineRule="auto"/>
              <w:jc w:val="left"/>
            </w:pPr>
            <w:r>
              <w:rPr>
                <w:rFonts w:ascii="Times New Roman" w:hAnsi="Times New Roman"/>
                <w:sz w:val="19"/>
              </w:rPr>
              <w:t>para verificação de pré-condições, se a política autorizar; para aguardando aprovação, se semi-autónomo; para registado sem execução, se observação</w:t>
            </w:r>
          </w:p>
        </w:tc>
      </w:tr>
      <w:tr>
        <w:tc>
          <w:tcPr>
            <w:tcW w:type="dxa" w:w="2268"/>
          </w:tcPr>
          <w:p>
            <w:pPr>
              <w:spacing w:after="40" w:line="276" w:lineRule="auto"/>
              <w:jc w:val="left"/>
            </w:pPr>
            <w:r>
              <w:rPr>
                <w:rFonts w:ascii="Times New Roman" w:hAnsi="Times New Roman"/>
                <w:sz w:val="19"/>
              </w:rPr>
              <w:t>aguardando aprovação</w:t>
            </w:r>
          </w:p>
        </w:tc>
        <w:tc>
          <w:tcPr>
            <w:tcW w:type="dxa" w:w="3345"/>
          </w:tcPr>
          <w:p>
            <w:pPr>
              <w:spacing w:after="40" w:line="276" w:lineRule="auto"/>
              <w:jc w:val="left"/>
            </w:pPr>
            <w:r>
              <w:rPr>
                <w:rFonts w:ascii="Times New Roman" w:hAnsi="Times New Roman"/>
                <w:sz w:val="19"/>
              </w:rPr>
              <w:t>intermédio</w:t>
            </w:r>
          </w:p>
        </w:tc>
        <w:tc>
          <w:tcPr>
            <w:tcW w:type="dxa" w:w="3175"/>
          </w:tcPr>
          <w:p>
            <w:pPr>
              <w:spacing w:after="40" w:line="276" w:lineRule="auto"/>
              <w:jc w:val="left"/>
            </w:pPr>
            <w:r>
              <w:rPr>
                <w:rFonts w:ascii="Times New Roman" w:hAnsi="Times New Roman"/>
                <w:sz w:val="19"/>
              </w:rPr>
              <w:t>para verificação de pré-condições, se aprovado; para abortado, se negado ou expirado com acção negar; para escalado, se expirado com acção escalar</w:t>
            </w:r>
          </w:p>
        </w:tc>
      </w:tr>
      <w:tr>
        <w:tc>
          <w:tcPr>
            <w:tcW w:type="dxa" w:w="2268"/>
          </w:tcPr>
          <w:p>
            <w:pPr>
              <w:spacing w:after="40" w:line="276" w:lineRule="auto"/>
              <w:jc w:val="left"/>
            </w:pPr>
            <w:r>
              <w:rPr>
                <w:rFonts w:ascii="Times New Roman" w:hAnsi="Times New Roman"/>
                <w:sz w:val="19"/>
              </w:rPr>
              <w:t>verificação de pré-condições</w:t>
            </w:r>
          </w:p>
        </w:tc>
        <w:tc>
          <w:tcPr>
            <w:tcW w:type="dxa" w:w="3345"/>
          </w:tcPr>
          <w:p>
            <w:pPr>
              <w:spacing w:after="40" w:line="276" w:lineRule="auto"/>
              <w:jc w:val="left"/>
            </w:pPr>
            <w:r>
              <w:rPr>
                <w:rFonts w:ascii="Times New Roman" w:hAnsi="Times New Roman"/>
                <w:sz w:val="19"/>
              </w:rPr>
              <w:t>intermédio</w:t>
            </w:r>
          </w:p>
        </w:tc>
        <w:tc>
          <w:tcPr>
            <w:tcW w:type="dxa" w:w="3175"/>
          </w:tcPr>
          <w:p>
            <w:pPr>
              <w:spacing w:after="40" w:line="276" w:lineRule="auto"/>
              <w:jc w:val="left"/>
            </w:pPr>
            <w:r>
              <w:rPr>
                <w:rFonts w:ascii="Times New Roman" w:hAnsi="Times New Roman"/>
                <w:sz w:val="19"/>
              </w:rPr>
              <w:t>para captura de estado ou execução, se todas cumpridas; para abortado, se alguma incumprida</w:t>
            </w:r>
          </w:p>
        </w:tc>
      </w:tr>
      <w:tr>
        <w:tc>
          <w:tcPr>
            <w:tcW w:type="dxa" w:w="2268"/>
          </w:tcPr>
          <w:p>
            <w:pPr>
              <w:spacing w:after="40" w:line="276" w:lineRule="auto"/>
              <w:jc w:val="left"/>
            </w:pPr>
            <w:r>
              <w:rPr>
                <w:rFonts w:ascii="Times New Roman" w:hAnsi="Times New Roman"/>
                <w:sz w:val="19"/>
              </w:rPr>
              <w:t>captura de estado</w:t>
            </w:r>
          </w:p>
        </w:tc>
        <w:tc>
          <w:tcPr>
            <w:tcW w:type="dxa" w:w="3345"/>
          </w:tcPr>
          <w:p>
            <w:pPr>
              <w:spacing w:after="40" w:line="276" w:lineRule="auto"/>
              <w:jc w:val="left"/>
            </w:pPr>
            <w:r>
              <w:rPr>
                <w:rFonts w:ascii="Times New Roman" w:hAnsi="Times New Roman"/>
                <w:sz w:val="19"/>
              </w:rPr>
              <w:t>intermédio</w:t>
            </w:r>
          </w:p>
        </w:tc>
        <w:tc>
          <w:tcPr>
            <w:tcW w:type="dxa" w:w="3175"/>
          </w:tcPr>
          <w:p>
            <w:pPr>
              <w:spacing w:after="40" w:line="276" w:lineRule="auto"/>
              <w:jc w:val="left"/>
            </w:pPr>
            <w:r>
              <w:rPr>
                <w:rFonts w:ascii="Times New Roman" w:hAnsi="Times New Roman"/>
                <w:sz w:val="19"/>
              </w:rPr>
              <w:t>para execução</w:t>
            </w:r>
          </w:p>
        </w:tc>
      </w:tr>
      <w:tr>
        <w:tc>
          <w:tcPr>
            <w:tcW w:type="dxa" w:w="2268"/>
          </w:tcPr>
          <w:p>
            <w:pPr>
              <w:spacing w:after="40" w:line="276" w:lineRule="auto"/>
              <w:jc w:val="left"/>
            </w:pPr>
            <w:r>
              <w:rPr>
                <w:rFonts w:ascii="Times New Roman" w:hAnsi="Times New Roman"/>
                <w:sz w:val="19"/>
              </w:rPr>
              <w:t>em execução</w:t>
            </w:r>
          </w:p>
        </w:tc>
        <w:tc>
          <w:tcPr>
            <w:tcW w:type="dxa" w:w="3345"/>
          </w:tcPr>
          <w:p>
            <w:pPr>
              <w:spacing w:after="40" w:line="276" w:lineRule="auto"/>
              <w:jc w:val="left"/>
            </w:pPr>
            <w:r>
              <w:rPr>
                <w:rFonts w:ascii="Times New Roman" w:hAnsi="Times New Roman"/>
                <w:sz w:val="19"/>
              </w:rPr>
              <w:t>intermédio</w:t>
            </w:r>
          </w:p>
        </w:tc>
        <w:tc>
          <w:tcPr>
            <w:tcW w:type="dxa" w:w="3175"/>
          </w:tcPr>
          <w:p>
            <w:pPr>
              <w:spacing w:after="40" w:line="276" w:lineRule="auto"/>
              <w:jc w:val="left"/>
            </w:pPr>
            <w:r>
              <w:rPr>
                <w:rFonts w:ascii="Times New Roman" w:hAnsi="Times New Roman"/>
                <w:sz w:val="19"/>
              </w:rPr>
              <w:t>para espera, no termo do grafo; para escalado, em falha irrecuperável de execução</w:t>
            </w:r>
          </w:p>
        </w:tc>
      </w:tr>
      <w:tr>
        <w:tc>
          <w:tcPr>
            <w:tcW w:type="dxa" w:w="2268"/>
          </w:tcPr>
          <w:p>
            <w:pPr>
              <w:spacing w:after="40" w:line="276" w:lineRule="auto"/>
              <w:jc w:val="left"/>
            </w:pPr>
            <w:r>
              <w:rPr>
                <w:rFonts w:ascii="Times New Roman" w:hAnsi="Times New Roman"/>
                <w:sz w:val="19"/>
              </w:rPr>
              <w:t>espera</w:t>
            </w:r>
          </w:p>
        </w:tc>
        <w:tc>
          <w:tcPr>
            <w:tcW w:type="dxa" w:w="3345"/>
          </w:tcPr>
          <w:p>
            <w:pPr>
              <w:spacing w:after="40" w:line="276" w:lineRule="auto"/>
              <w:jc w:val="left"/>
            </w:pPr>
            <w:r>
              <w:rPr>
                <w:rFonts w:ascii="Times New Roman" w:hAnsi="Times New Roman"/>
                <w:sz w:val="19"/>
              </w:rPr>
              <w:t>intermédio</w:t>
            </w:r>
          </w:p>
        </w:tc>
        <w:tc>
          <w:tcPr>
            <w:tcW w:type="dxa" w:w="3175"/>
          </w:tcPr>
          <w:p>
            <w:pPr>
              <w:spacing w:after="40" w:line="276" w:lineRule="auto"/>
              <w:jc w:val="left"/>
            </w:pPr>
            <w:r>
              <w:rPr>
                <w:rFonts w:ascii="Times New Roman" w:hAnsi="Times New Roman"/>
                <w:sz w:val="19"/>
              </w:rPr>
              <w:t>para verificação, decorrido o período de estabilização</w:t>
            </w:r>
          </w:p>
        </w:tc>
      </w:tr>
      <w:tr>
        <w:tc>
          <w:tcPr>
            <w:tcW w:type="dxa" w:w="2268"/>
          </w:tcPr>
          <w:p>
            <w:pPr>
              <w:spacing w:after="40" w:line="276" w:lineRule="auto"/>
              <w:jc w:val="left"/>
            </w:pPr>
            <w:r>
              <w:rPr>
                <w:rFonts w:ascii="Times New Roman" w:hAnsi="Times New Roman"/>
                <w:sz w:val="19"/>
              </w:rPr>
              <w:t>verificação</w:t>
            </w:r>
          </w:p>
        </w:tc>
        <w:tc>
          <w:tcPr>
            <w:tcW w:type="dxa" w:w="3345"/>
          </w:tcPr>
          <w:p>
            <w:pPr>
              <w:spacing w:after="40" w:line="276" w:lineRule="auto"/>
              <w:jc w:val="left"/>
            </w:pPr>
            <w:r>
              <w:rPr>
                <w:rFonts w:ascii="Times New Roman" w:hAnsi="Times New Roman"/>
                <w:sz w:val="19"/>
              </w:rPr>
              <w:t>intermédio</w:t>
            </w:r>
          </w:p>
        </w:tc>
        <w:tc>
          <w:tcPr>
            <w:tcW w:type="dxa" w:w="3175"/>
          </w:tcPr>
          <w:p>
            <w:pPr>
              <w:spacing w:after="40" w:line="276" w:lineRule="auto"/>
              <w:jc w:val="left"/>
            </w:pPr>
            <w:r>
              <w:rPr>
                <w:rFonts w:ascii="Times New Roman" w:hAnsi="Times New Roman"/>
                <w:sz w:val="19"/>
              </w:rPr>
              <w:t>classifica o resultado em remediação, ineficácia, agravamento ou não verificabilidade</w:t>
            </w:r>
          </w:p>
        </w:tc>
      </w:tr>
      <w:tr>
        <w:tc>
          <w:tcPr>
            <w:tcW w:type="dxa" w:w="2268"/>
          </w:tcPr>
          <w:p>
            <w:pPr>
              <w:spacing w:after="40" w:line="276" w:lineRule="auto"/>
              <w:jc w:val="left"/>
            </w:pPr>
            <w:r>
              <w:rPr>
                <w:rFonts w:ascii="Times New Roman" w:hAnsi="Times New Roman"/>
                <w:sz w:val="19"/>
              </w:rPr>
              <w:t>remediado</w:t>
            </w:r>
          </w:p>
        </w:tc>
        <w:tc>
          <w:tcPr>
            <w:tcW w:type="dxa" w:w="3345"/>
          </w:tcPr>
          <w:p>
            <w:pPr>
              <w:spacing w:after="40" w:line="276" w:lineRule="auto"/>
              <w:jc w:val="left"/>
            </w:pPr>
            <w:r>
              <w:rPr>
                <w:rFonts w:ascii="Times New Roman" w:hAnsi="Times New Roman"/>
                <w:sz w:val="19"/>
              </w:rPr>
              <w:t>terminal</w:t>
            </w:r>
          </w:p>
        </w:tc>
        <w:tc>
          <w:tcPr>
            <w:tcW w:type="dxa" w:w="3175"/>
          </w:tcPr>
          <w:p>
            <w:pPr>
              <w:spacing w:after="40" w:line="276" w:lineRule="auto"/>
              <w:jc w:val="left"/>
            </w:pPr>
            <w:r>
              <w:rPr>
                <w:rFonts w:ascii="Times New Roman" w:hAnsi="Times New Roman"/>
                <w:sz w:val="19"/>
              </w:rPr>
              <w:t>—  encerra o problema de origem e registra eficácia positiva</w:t>
            </w:r>
          </w:p>
        </w:tc>
      </w:tr>
      <w:tr>
        <w:tc>
          <w:tcPr>
            <w:tcW w:type="dxa" w:w="2268"/>
          </w:tcPr>
          <w:p>
            <w:pPr>
              <w:spacing w:after="40" w:line="276" w:lineRule="auto"/>
              <w:jc w:val="left"/>
            </w:pPr>
            <w:r>
              <w:rPr>
                <w:rFonts w:ascii="Times New Roman" w:hAnsi="Times New Roman"/>
                <w:sz w:val="19"/>
              </w:rPr>
              <w:t>ineficaz</w:t>
            </w:r>
          </w:p>
        </w:tc>
        <w:tc>
          <w:tcPr>
            <w:tcW w:type="dxa" w:w="3345"/>
          </w:tcPr>
          <w:p>
            <w:pPr>
              <w:spacing w:after="40" w:line="276" w:lineRule="auto"/>
              <w:jc w:val="left"/>
            </w:pPr>
            <w:r>
              <w:rPr>
                <w:rFonts w:ascii="Times New Roman" w:hAnsi="Times New Roman"/>
                <w:sz w:val="19"/>
              </w:rPr>
              <w:t>terminal</w:t>
            </w:r>
          </w:p>
        </w:tc>
        <w:tc>
          <w:tcPr>
            <w:tcW w:type="dxa" w:w="3175"/>
          </w:tcPr>
          <w:p>
            <w:pPr>
              <w:spacing w:after="40" w:line="276" w:lineRule="auto"/>
              <w:jc w:val="left"/>
            </w:pPr>
            <w:r>
              <w:rPr>
                <w:rFonts w:ascii="Times New Roman" w:hAnsi="Times New Roman"/>
                <w:sz w:val="19"/>
              </w:rPr>
              <w:t>— notifica operador humano; registra eficácia negativa</w:t>
            </w:r>
          </w:p>
        </w:tc>
      </w:tr>
      <w:tr>
        <w:tc>
          <w:tcPr>
            <w:tcW w:type="dxa" w:w="2268"/>
          </w:tcPr>
          <w:p>
            <w:pPr>
              <w:spacing w:after="40" w:line="276" w:lineRule="auto"/>
              <w:jc w:val="left"/>
            </w:pPr>
            <w:r>
              <w:rPr>
                <w:rFonts w:ascii="Times New Roman" w:hAnsi="Times New Roman"/>
                <w:sz w:val="19"/>
              </w:rPr>
              <w:t>agravado</w:t>
            </w:r>
          </w:p>
        </w:tc>
        <w:tc>
          <w:tcPr>
            <w:tcW w:type="dxa" w:w="3345"/>
          </w:tcPr>
          <w:p>
            <w:pPr>
              <w:spacing w:after="40" w:line="276" w:lineRule="auto"/>
              <w:jc w:val="left"/>
            </w:pPr>
            <w:r>
              <w:rPr>
                <w:rFonts w:ascii="Times New Roman" w:hAnsi="Times New Roman"/>
                <w:sz w:val="19"/>
              </w:rPr>
              <w:t>classificação do resultado; não terminal</w:t>
            </w:r>
          </w:p>
        </w:tc>
        <w:tc>
          <w:tcPr>
            <w:tcW w:type="dxa" w:w="3175"/>
          </w:tcPr>
          <w:p>
            <w:pPr>
              <w:spacing w:after="40" w:line="276" w:lineRule="auto"/>
              <w:jc w:val="left"/>
            </w:pPr>
            <w:r>
              <w:rPr>
                <w:rFonts w:ascii="Times New Roman" w:hAnsi="Times New Roman"/>
                <w:sz w:val="19"/>
              </w:rPr>
              <w:t>— aciona reversão, conduzindo ao estado terminal revertido ou, em caso de falha desta, escalado</w:t>
            </w:r>
          </w:p>
        </w:tc>
      </w:tr>
      <w:tr>
        <w:tc>
          <w:tcPr>
            <w:tcW w:type="dxa" w:w="2268"/>
          </w:tcPr>
          <w:p>
            <w:pPr>
              <w:spacing w:after="40" w:line="276" w:lineRule="auto"/>
              <w:jc w:val="left"/>
            </w:pPr>
            <w:r>
              <w:rPr>
                <w:rFonts w:ascii="Times New Roman" w:hAnsi="Times New Roman"/>
                <w:sz w:val="19"/>
              </w:rPr>
              <w:t>revertido</w:t>
            </w:r>
          </w:p>
        </w:tc>
        <w:tc>
          <w:tcPr>
            <w:tcW w:type="dxa" w:w="3345"/>
          </w:tcPr>
          <w:p>
            <w:pPr>
              <w:spacing w:after="40" w:line="276" w:lineRule="auto"/>
              <w:jc w:val="left"/>
            </w:pPr>
            <w:r>
              <w:rPr>
                <w:rFonts w:ascii="Times New Roman" w:hAnsi="Times New Roman"/>
                <w:sz w:val="19"/>
              </w:rPr>
              <w:t>terminal</w:t>
            </w:r>
          </w:p>
        </w:tc>
        <w:tc>
          <w:tcPr>
            <w:tcW w:type="dxa" w:w="3175"/>
          </w:tcPr>
          <w:p>
            <w:pPr>
              <w:spacing w:after="40" w:line="276" w:lineRule="auto"/>
              <w:jc w:val="left"/>
            </w:pPr>
            <w:r>
              <w:rPr>
                <w:rFonts w:ascii="Times New Roman" w:hAnsi="Times New Roman"/>
                <w:sz w:val="19"/>
              </w:rPr>
              <w:t>— estado anterior reposto e reposição confirmada</w:t>
            </w:r>
          </w:p>
        </w:tc>
      </w:tr>
      <w:tr>
        <w:tc>
          <w:tcPr>
            <w:tcW w:type="dxa" w:w="2268"/>
          </w:tcPr>
          <w:p>
            <w:pPr>
              <w:spacing w:after="40" w:line="276" w:lineRule="auto"/>
              <w:jc w:val="left"/>
            </w:pPr>
            <w:r>
              <w:rPr>
                <w:rFonts w:ascii="Times New Roman" w:hAnsi="Times New Roman"/>
                <w:sz w:val="19"/>
              </w:rPr>
              <w:t>escalado</w:t>
            </w:r>
          </w:p>
        </w:tc>
        <w:tc>
          <w:tcPr>
            <w:tcW w:type="dxa" w:w="3345"/>
          </w:tcPr>
          <w:p>
            <w:pPr>
              <w:spacing w:after="40" w:line="276" w:lineRule="auto"/>
              <w:jc w:val="left"/>
            </w:pPr>
            <w:r>
              <w:rPr>
                <w:rFonts w:ascii="Times New Roman" w:hAnsi="Times New Roman"/>
                <w:sz w:val="19"/>
              </w:rPr>
              <w:t>terminal</w:t>
            </w:r>
          </w:p>
        </w:tc>
        <w:tc>
          <w:tcPr>
            <w:tcW w:type="dxa" w:w="3175"/>
          </w:tcPr>
          <w:p>
            <w:pPr>
              <w:spacing w:after="40" w:line="276" w:lineRule="auto"/>
              <w:jc w:val="left"/>
            </w:pPr>
            <w:r>
              <w:rPr>
                <w:rFonts w:ascii="Times New Roman" w:hAnsi="Times New Roman"/>
                <w:sz w:val="19"/>
              </w:rPr>
              <w:t>— entregue a operador humano com o histórico completo</w:t>
            </w:r>
          </w:p>
        </w:tc>
      </w:tr>
      <w:tr>
        <w:tc>
          <w:tcPr>
            <w:tcW w:type="dxa" w:w="2268"/>
          </w:tcPr>
          <w:p>
            <w:pPr>
              <w:spacing w:after="40" w:line="276" w:lineRule="auto"/>
              <w:jc w:val="left"/>
            </w:pPr>
            <w:r>
              <w:rPr>
                <w:rFonts w:ascii="Times New Roman" w:hAnsi="Times New Roman"/>
                <w:sz w:val="19"/>
              </w:rPr>
              <w:t>abortado</w:t>
            </w:r>
          </w:p>
        </w:tc>
        <w:tc>
          <w:tcPr>
            <w:tcW w:type="dxa" w:w="3345"/>
          </w:tcPr>
          <w:p>
            <w:pPr>
              <w:spacing w:after="40" w:line="276" w:lineRule="auto"/>
              <w:jc w:val="left"/>
            </w:pPr>
            <w:r>
              <w:rPr>
                <w:rFonts w:ascii="Times New Roman" w:hAnsi="Times New Roman"/>
                <w:sz w:val="19"/>
              </w:rPr>
              <w:t>terminal</w:t>
            </w:r>
          </w:p>
        </w:tc>
        <w:tc>
          <w:tcPr>
            <w:tcW w:type="dxa" w:w="3175"/>
          </w:tcPr>
          <w:p>
            <w:pPr>
              <w:spacing w:after="40" w:line="276" w:lineRule="auto"/>
              <w:jc w:val="left"/>
            </w:pPr>
            <w:r>
              <w:rPr>
                <w:rFonts w:ascii="Times New Roman" w:hAnsi="Times New Roman"/>
                <w:sz w:val="19"/>
              </w:rPr>
              <w:t>— nenhuma acção de escrita foi executada</w:t>
            </w:r>
          </w:p>
        </w:tc>
      </w:tr>
      <w:tr>
        <w:tc>
          <w:tcPr>
            <w:tcW w:type="dxa" w:w="2268"/>
          </w:tcPr>
          <w:p>
            <w:pPr>
              <w:spacing w:after="40" w:line="276" w:lineRule="auto"/>
              <w:jc w:val="left"/>
            </w:pPr>
            <w:r>
              <w:rPr>
                <w:rFonts w:ascii="Times New Roman" w:hAnsi="Times New Roman"/>
                <w:sz w:val="19"/>
              </w:rPr>
              <w:t>não verificável</w:t>
            </w:r>
          </w:p>
        </w:tc>
        <w:tc>
          <w:tcPr>
            <w:tcW w:type="dxa" w:w="3345"/>
          </w:tcPr>
          <w:p>
            <w:pPr>
              <w:spacing w:after="40" w:line="276" w:lineRule="auto"/>
              <w:jc w:val="left"/>
            </w:pPr>
            <w:r>
              <w:rPr>
                <w:rFonts w:ascii="Times New Roman" w:hAnsi="Times New Roman"/>
                <w:sz w:val="19"/>
              </w:rPr>
              <w:t>terminal</w:t>
            </w:r>
          </w:p>
        </w:tc>
        <w:tc>
          <w:tcPr>
            <w:tcW w:type="dxa" w:w="3175"/>
          </w:tcPr>
          <w:p>
            <w:pPr>
              <w:spacing w:after="40" w:line="276" w:lineRule="auto"/>
              <w:jc w:val="left"/>
            </w:pPr>
            <w:r>
              <w:rPr>
                <w:rFonts w:ascii="Times New Roman" w:hAnsi="Times New Roman"/>
                <w:sz w:val="19"/>
              </w:rPr>
              <w:t>— resultado desconhecido; nunca equiparado a remediado</w:t>
            </w:r>
          </w:p>
        </w:tc>
      </w:tr>
    </w:tbl>
    <w:p>
      <w:pPr>
        <w:spacing w:after="180" w:line="307" w:lineRule="auto"/>
        <w:ind w:left="0"/>
        <w:jc w:val="both"/>
      </w:pPr>
    </w:p>
    <w:p>
      <w:pPr>
        <w:spacing w:after="200" w:line="288" w:lineRule="auto" w:before="160"/>
        <w:ind w:left="340"/>
        <w:jc w:val="both"/>
        <w:pBdr>
          <w:left w:val="single" w:sz="12" w:space="10" w:color="BFA36A"/>
        </w:pBdr>
      </w:pPr>
      <w:r>
        <w:rPr>
          <w:rFonts w:ascii="Times New Roman" w:hAnsi="Times New Roman" w:eastAsia="Times New Roman"/>
          <w:b w:val="0"/>
          <w:i/>
          <w:color w:val="3A3A3A"/>
          <w:sz w:val="20"/>
        </w:rPr>
        <w:t>Precisão terminológica: o agravamento é uma categoria de classificação do resultado da reavaliação e não um estado terminal, conduzindo sempre a um dos estados terminais revertido ou escalado. O ciclo termina invariavelmente num único estado do conjunto remediado, ineficaz, revertido, escalado, abortado e não verificável, estados mutuamente exclusivos.</w:t>
      </w:r>
    </w:p>
    <w:p>
      <w:pPr>
        <w:spacing w:after="160" w:line="317" w:lineRule="auto"/>
        <w:ind w:left="0"/>
        <w:jc w:val="both"/>
      </w:pPr>
      <w:r>
        <w:rPr>
          <w:rFonts w:ascii="Times New Roman" w:hAnsi="Times New Roman" w:eastAsia="Times New Roman"/>
          <w:b/>
          <w:i w:val="0"/>
          <w:color w:val="1F3864"/>
          <w:sz w:val="22"/>
        </w:rPr>
        <w:t xml:space="preserve">[0065]  </w:t>
      </w:r>
      <w:r>
        <w:rPr>
          <w:rFonts w:ascii="Times New Roman" w:hAnsi="Times New Roman" w:eastAsia="Times New Roman"/>
          <w:b w:val="0"/>
          <w:i w:val="0"/>
          <w:sz w:val="22"/>
        </w:rPr>
        <w:t>Dois aspectos da verificação são determinantes e constituem matéria reivindicada.</w:t>
      </w:r>
    </w:p>
    <w:p>
      <w:pPr>
        <w:spacing w:after="160" w:line="317" w:lineRule="auto"/>
        <w:ind w:left="0"/>
        <w:jc w:val="both"/>
      </w:pPr>
      <w:r>
        <w:rPr>
          <w:rFonts w:ascii="Times New Roman" w:hAnsi="Times New Roman" w:eastAsia="Times New Roman"/>
          <w:b/>
          <w:i w:val="0"/>
          <w:color w:val="1F3864"/>
          <w:sz w:val="22"/>
        </w:rPr>
        <w:t xml:space="preserve">[0066]  </w:t>
      </w:r>
      <w:r>
        <w:rPr>
          <w:rFonts w:ascii="Times New Roman" w:hAnsi="Times New Roman" w:eastAsia="Times New Roman"/>
          <w:b w:val="0"/>
          <w:i w:val="0"/>
          <w:sz w:val="22"/>
        </w:rPr>
        <w:t>O primeiro é que a reavaliação incide sobre a mesma série métrica canónica que originou a detecção, identificada pela mesma chave de métrica normalizada e pela mesma entidade, obtida pelo mesmo caminho de aquisição, e não sobre uma leitura ad-hoc obtida por outro meio no momento da verificação. O efeito técnico é que a asserção de verificação se torna directamente comparável com a condição de detecção, o que impede a classe de erro em que o sistema se declara bem-sucedido por medir, após a intervenção, uma grandeza distinta daquela que motivou a intervenção — por exemplo, medindo o consumo de memória de um processo quando a detecção incidiu sobre o consumo de memória do sistema.</w:t>
      </w:r>
    </w:p>
    <w:p>
      <w:pPr>
        <w:spacing w:after="160" w:line="317" w:lineRule="auto"/>
        <w:ind w:left="0"/>
        <w:jc w:val="both"/>
      </w:pPr>
      <w:r>
        <w:rPr>
          <w:rFonts w:ascii="Times New Roman" w:hAnsi="Times New Roman" w:eastAsia="Times New Roman"/>
          <w:b/>
          <w:i w:val="0"/>
          <w:color w:val="1F3864"/>
          <w:sz w:val="22"/>
        </w:rPr>
        <w:t xml:space="preserve">[0067]  </w:t>
      </w:r>
      <w:r>
        <w:rPr>
          <w:rFonts w:ascii="Times New Roman" w:hAnsi="Times New Roman" w:eastAsia="Times New Roman"/>
          <w:b w:val="0"/>
          <w:i w:val="0"/>
          <w:sz w:val="22"/>
        </w:rPr>
        <w:t>O segundo é a existência do estado terminal de não verificabilidade, distinto e mutuamente exclusivo do estado de remediação. Quando a fonte não responde, quando a série não volta a ser recebida no período de estabilização acrescido de tolerância, ou quando a amostra recebida é reprovada pela aferição de sanidade da fonte, o executor não pode concluir sobre o efeito da intervenção. O estado atribuído é o de não verificabilidade, o desfecho é escalado a operador humano, e o indicador de eficácia do procedimento não é incrementado favoravelmente. A ausência deste estado obrigaria o sistema a classificar a impossibilidade de verificação como êxito ou como fracasso, sendo ambas as classificações falsas e a primeira perigosa, por conduzir ao encerramento de um problema não resolvido.</w:t>
      </w:r>
    </w:p>
    <w:p>
      <w:pPr>
        <w:spacing w:after="160" w:line="317" w:lineRule="auto"/>
        <w:ind w:left="0"/>
        <w:jc w:val="both"/>
      </w:pPr>
      <w:r>
        <w:rPr>
          <w:rFonts w:ascii="Times New Roman" w:hAnsi="Times New Roman" w:eastAsia="Times New Roman"/>
          <w:b/>
          <w:i w:val="0"/>
          <w:color w:val="1F3864"/>
          <w:sz w:val="22"/>
        </w:rPr>
        <w:t xml:space="preserve">[0068]  </w:t>
      </w:r>
      <w:r>
        <w:rPr>
          <w:rFonts w:ascii="Times New Roman" w:hAnsi="Times New Roman" w:eastAsia="Times New Roman"/>
          <w:b w:val="0"/>
          <w:i w:val="0"/>
          <w:sz w:val="22"/>
        </w:rPr>
        <w:t>O executor invoca a camada de execução (200), a qual compreende um regulador de concorrência com fila de prioridades e limitadores em cascata — global, por credencial, por entidade alvo e por operador — e um executor remoto que estabelece sessão administrativa sobre protocolo de gestão remota, com perfis de autenticação distintos por classe de equipamento. Numa realização preferencial, o executor remoto integra um vigilante que, em caso de expiração do prazo local de espera, estabelece sessão independente para averiguar se o artefacto de resultado foi produzido no equipamento remoto, não presumindo a falha da execução por ausência de resposta no canal original.</w:t>
      </w:r>
    </w:p>
    <w:p>
      <w:pPr>
        <w:spacing w:after="160" w:line="317" w:lineRule="auto"/>
        <w:ind w:left="0"/>
        <w:jc w:val="both"/>
      </w:pPr>
      <w:r>
        <w:rPr>
          <w:rFonts w:ascii="Times New Roman" w:hAnsi="Times New Roman" w:eastAsia="Times New Roman"/>
          <w:b/>
          <w:i w:val="0"/>
          <w:color w:val="1F3864"/>
          <w:sz w:val="22"/>
        </w:rPr>
        <w:t xml:space="preserve">[0069]  </w:t>
      </w:r>
      <w:r>
        <w:rPr>
          <w:rFonts w:ascii="Times New Roman" w:hAnsi="Times New Roman" w:eastAsia="Times New Roman"/>
          <w:b w:val="0"/>
          <w:i w:val="0"/>
          <w:sz w:val="22"/>
        </w:rPr>
        <w:t>É característica essencial que esta camada de execução opere sobre equipamentos alvo sem agente de software residente do próprio sistema, o que assegura a coerência com a camada de aquisição (110): as entidades cuja telemetria provém de plataformas de terceiros são, tipicamente, entidades onde nenhum agente próprio está instalado, e seria contraditório que o sistema detectasse anomalias nessas entidades e não pudesse actuar sobre elas. Numa realização anterior não divulgada do próprio requerente, em que o comando de correcção é depositado numa tabela lida exclusivamente por um agente residente, e no qual esse depósito expira silenciosamente por decurso de prazo quando nenhum agente o recolhe, a correcção nunca é executada nem reportada como falhada, defeito que a presente realização elimina por construção.</w:t>
      </w:r>
    </w:p>
    <w:p>
      <w:pPr>
        <w:spacing w:after="160" w:line="317" w:lineRule="auto"/>
        <w:ind w:left="0"/>
        <w:jc w:val="both"/>
      </w:pPr>
      <w:r>
        <w:rPr>
          <w:rFonts w:ascii="Times New Roman" w:hAnsi="Times New Roman" w:eastAsia="Times New Roman"/>
          <w:b/>
          <w:i w:val="0"/>
          <w:color w:val="1F3864"/>
          <w:sz w:val="22"/>
        </w:rPr>
        <w:t xml:space="preserve">[0070]  </w:t>
      </w:r>
      <w:r>
        <w:rPr>
          <w:rFonts w:ascii="Times New Roman" w:hAnsi="Times New Roman" w:eastAsia="Times New Roman"/>
          <w:b w:val="0"/>
          <w:i w:val="0"/>
          <w:sz w:val="22"/>
        </w:rPr>
        <w:t>A totalidade do ciclo é gravada no registo de auditoria (196), compreendendo, por execução: identificador; procedimento e versão; natureza e referência do gatilho; entidade; modo de autonomia efectivo; referência à aprovação, quando exista; medições anteriores à intervenção; resultado de cada nó do grafo; medições posteriores; estado terminal; e marcas temporais de início, de verificação e de conclusão.</w:t>
      </w:r>
    </w:p>
    <w:p>
      <w:pPr>
        <w:keepNext/>
        <w:spacing w:after="120" w:line="276" w:lineRule="auto" w:before="260"/>
        <w:ind w:left="0"/>
        <w:jc w:val="left"/>
      </w:pPr>
      <w:r>
        <w:rPr>
          <w:rFonts w:ascii="Times New Roman" w:hAnsi="Times New Roman" w:eastAsia="Times New Roman"/>
          <w:b/>
          <w:i w:val="0"/>
          <w:color w:val="1F3864"/>
          <w:sz w:val="24"/>
        </w:rPr>
        <w:t>8.10 Travões de contenção</w:t>
      </w:r>
    </w:p>
    <w:p>
      <w:pPr>
        <w:spacing w:after="160" w:line="317" w:lineRule="auto"/>
        <w:ind w:left="0"/>
        <w:jc w:val="both"/>
      </w:pPr>
      <w:r>
        <w:rPr>
          <w:rFonts w:ascii="Times New Roman" w:hAnsi="Times New Roman" w:eastAsia="Times New Roman"/>
          <w:b/>
          <w:i w:val="0"/>
          <w:color w:val="1F3864"/>
          <w:sz w:val="22"/>
        </w:rPr>
        <w:t xml:space="preserve">[0071]  </w:t>
      </w:r>
      <w:r>
        <w:rPr>
          <w:rFonts w:ascii="Times New Roman" w:hAnsi="Times New Roman" w:eastAsia="Times New Roman"/>
          <w:b w:val="0"/>
          <w:i w:val="0"/>
          <w:sz w:val="22"/>
        </w:rPr>
        <w:t>O módulo de contenção (194) mantém estado persistente por âmbito e implementa os seguintes travões, sendo cada um condição necessária da progressão em modo autónomo.</w:t>
      </w:r>
    </w:p>
    <w:tbl>
      <w:tblPr>
        <w:tblStyle w:val="TableGrid"/>
        <w:tblW w:type="auto" w:w="0"/>
        <w:jc w:val="center"/>
        <w:tblLook w:firstColumn="1" w:firstRow="1" w:lastColumn="0" w:lastRow="0" w:noHBand="0" w:noVBand="1" w:val="04A0"/>
      </w:tblPr>
      <w:tblGrid>
        <w:gridCol w:w="3079"/>
        <w:gridCol w:w="3079"/>
        <w:gridCol w:w="3079"/>
      </w:tblGrid>
      <w:tr>
        <w:tc>
          <w:tcPr>
            <w:tcW w:type="dxa" w:w="2268"/>
            <w:shd w:val="clear" w:color="auto" w:fill="E8EDF5"/>
          </w:tcPr>
          <w:p>
            <w:pPr>
              <w:spacing w:after="40" w:line="276" w:lineRule="auto"/>
              <w:jc w:val="left"/>
            </w:pPr>
            <w:r>
              <w:rPr>
                <w:rFonts w:ascii="Times New Roman" w:hAnsi="Times New Roman"/>
                <w:b/>
                <w:sz w:val="19"/>
              </w:rPr>
              <w:t>Travão</w:t>
            </w:r>
          </w:p>
        </w:tc>
        <w:tc>
          <w:tcPr>
            <w:tcW w:type="dxa" w:w="3345"/>
            <w:shd w:val="clear" w:color="auto" w:fill="E8EDF5"/>
          </w:tcPr>
          <w:p>
            <w:pPr>
              <w:spacing w:after="40" w:line="276" w:lineRule="auto"/>
              <w:jc w:val="left"/>
            </w:pPr>
            <w:r>
              <w:rPr>
                <w:rFonts w:ascii="Times New Roman" w:hAnsi="Times New Roman"/>
                <w:b/>
                <w:sz w:val="19"/>
              </w:rPr>
              <w:t>Regra aplicada</w:t>
            </w:r>
          </w:p>
        </w:tc>
        <w:tc>
          <w:tcPr>
            <w:tcW w:type="dxa" w:w="3175"/>
            <w:shd w:val="clear" w:color="auto" w:fill="E8EDF5"/>
          </w:tcPr>
          <w:p>
            <w:pPr>
              <w:spacing w:after="40" w:line="276" w:lineRule="auto"/>
              <w:jc w:val="left"/>
            </w:pPr>
            <w:r>
              <w:rPr>
                <w:rFonts w:ascii="Times New Roman" w:hAnsi="Times New Roman"/>
                <w:b/>
                <w:sz w:val="19"/>
              </w:rPr>
              <w:t>Efeito técnico</w:t>
            </w:r>
          </w:p>
        </w:tc>
      </w:tr>
      <w:tr>
        <w:tc>
          <w:tcPr>
            <w:tcW w:type="dxa" w:w="2268"/>
          </w:tcPr>
          <w:p>
            <w:pPr>
              <w:spacing w:after="40" w:line="276" w:lineRule="auto"/>
              <w:jc w:val="left"/>
            </w:pPr>
            <w:r>
              <w:rPr>
                <w:rFonts w:ascii="Times New Roman" w:hAnsi="Times New Roman"/>
                <w:sz w:val="19"/>
              </w:rPr>
              <w:t>Interruptor por procedimento</w:t>
            </w:r>
          </w:p>
        </w:tc>
        <w:tc>
          <w:tcPr>
            <w:tcW w:type="dxa" w:w="3345"/>
          </w:tcPr>
          <w:p>
            <w:pPr>
              <w:spacing w:after="40" w:line="276" w:lineRule="auto"/>
              <w:jc w:val="left"/>
            </w:pPr>
            <w:r>
              <w:rPr>
                <w:rFonts w:ascii="Times New Roman" w:hAnsi="Times New Roman"/>
                <w:sz w:val="19"/>
              </w:rPr>
              <w:t>N desfechos não favoráveis consecutivos suspendem o procedimento</w:t>
            </w:r>
          </w:p>
        </w:tc>
        <w:tc>
          <w:tcPr>
            <w:tcW w:type="dxa" w:w="3175"/>
          </w:tcPr>
          <w:p>
            <w:pPr>
              <w:spacing w:after="40" w:line="276" w:lineRule="auto"/>
              <w:jc w:val="left"/>
            </w:pPr>
            <w:r>
              <w:rPr>
                <w:rFonts w:ascii="Times New Roman" w:hAnsi="Times New Roman"/>
                <w:sz w:val="19"/>
              </w:rPr>
              <w:t>Impede a repetição sistemática de um procedimento defeituoso</w:t>
            </w:r>
          </w:p>
        </w:tc>
      </w:tr>
      <w:tr>
        <w:tc>
          <w:tcPr>
            <w:tcW w:type="dxa" w:w="2268"/>
          </w:tcPr>
          <w:p>
            <w:pPr>
              <w:spacing w:after="40" w:line="276" w:lineRule="auto"/>
              <w:jc w:val="left"/>
            </w:pPr>
            <w:r>
              <w:rPr>
                <w:rFonts w:ascii="Times New Roman" w:hAnsi="Times New Roman"/>
                <w:sz w:val="19"/>
              </w:rPr>
              <w:t>Interruptor por entidade</w:t>
            </w:r>
          </w:p>
        </w:tc>
        <w:tc>
          <w:tcPr>
            <w:tcW w:type="dxa" w:w="3345"/>
          </w:tcPr>
          <w:p>
            <w:pPr>
              <w:spacing w:after="40" w:line="276" w:lineRule="auto"/>
              <w:jc w:val="left"/>
            </w:pPr>
            <w:r>
              <w:rPr>
                <w:rFonts w:ascii="Times New Roman" w:hAnsi="Times New Roman"/>
                <w:sz w:val="19"/>
              </w:rPr>
              <w:t>Limite de acções por hora na mesma entidade</w:t>
            </w:r>
          </w:p>
        </w:tc>
        <w:tc>
          <w:tcPr>
            <w:tcW w:type="dxa" w:w="3175"/>
          </w:tcPr>
          <w:p>
            <w:pPr>
              <w:spacing w:after="40" w:line="276" w:lineRule="auto"/>
              <w:jc w:val="left"/>
            </w:pPr>
            <w:r>
              <w:rPr>
                <w:rFonts w:ascii="Times New Roman" w:hAnsi="Times New Roman"/>
                <w:sz w:val="19"/>
              </w:rPr>
              <w:t>Impede a degradação de uma entidade por intervenção repetida</w:t>
            </w:r>
          </w:p>
        </w:tc>
      </w:tr>
      <w:tr>
        <w:tc>
          <w:tcPr>
            <w:tcW w:type="dxa" w:w="2268"/>
          </w:tcPr>
          <w:p>
            <w:pPr>
              <w:spacing w:after="40" w:line="276" w:lineRule="auto"/>
              <w:jc w:val="left"/>
            </w:pPr>
            <w:r>
              <w:rPr>
                <w:rFonts w:ascii="Times New Roman" w:hAnsi="Times New Roman"/>
                <w:sz w:val="19"/>
              </w:rPr>
              <w:t>Interruptor geral</w:t>
            </w:r>
          </w:p>
        </w:tc>
        <w:tc>
          <w:tcPr>
            <w:tcW w:type="dxa" w:w="3345"/>
          </w:tcPr>
          <w:p>
            <w:pPr>
              <w:spacing w:after="40" w:line="276" w:lineRule="auto"/>
              <w:jc w:val="left"/>
            </w:pPr>
            <w:r>
              <w:rPr>
                <w:rFonts w:ascii="Times New Roman" w:hAnsi="Times New Roman"/>
                <w:sz w:val="19"/>
              </w:rPr>
              <w:t>Chave de configuração de efeito imediato, sem reimplantação</w:t>
            </w:r>
          </w:p>
        </w:tc>
        <w:tc>
          <w:tcPr>
            <w:tcW w:type="dxa" w:w="3175"/>
          </w:tcPr>
          <w:p>
            <w:pPr>
              <w:spacing w:after="40" w:line="276" w:lineRule="auto"/>
              <w:jc w:val="left"/>
            </w:pPr>
            <w:r>
              <w:rPr>
                <w:rFonts w:ascii="Times New Roman" w:hAnsi="Times New Roman"/>
                <w:sz w:val="19"/>
              </w:rPr>
              <w:t>Permite contenção total em incidente de comportamento</w:t>
            </w:r>
          </w:p>
        </w:tc>
      </w:tr>
      <w:tr>
        <w:tc>
          <w:tcPr>
            <w:tcW w:type="dxa" w:w="2268"/>
          </w:tcPr>
          <w:p>
            <w:pPr>
              <w:spacing w:after="40" w:line="276" w:lineRule="auto"/>
              <w:jc w:val="left"/>
            </w:pPr>
            <w:r>
              <w:rPr>
                <w:rFonts w:ascii="Times New Roman" w:hAnsi="Times New Roman"/>
                <w:sz w:val="19"/>
              </w:rPr>
              <w:t>Raio de impacto</w:t>
            </w:r>
          </w:p>
        </w:tc>
        <w:tc>
          <w:tcPr>
            <w:tcW w:type="dxa" w:w="3345"/>
          </w:tcPr>
          <w:p>
            <w:pPr>
              <w:spacing w:after="40" w:line="276" w:lineRule="auto"/>
              <w:jc w:val="left"/>
            </w:pPr>
            <w:r>
              <w:rPr>
                <w:rFonts w:ascii="Times New Roman" w:hAnsi="Times New Roman"/>
                <w:sz w:val="19"/>
              </w:rPr>
              <w:t>Excedido o número declarado de entidades, exige aprovação em qualquer modo</w:t>
            </w:r>
          </w:p>
        </w:tc>
        <w:tc>
          <w:tcPr>
            <w:tcW w:type="dxa" w:w="3175"/>
          </w:tcPr>
          <w:p>
            <w:pPr>
              <w:spacing w:after="40" w:line="276" w:lineRule="auto"/>
              <w:jc w:val="left"/>
            </w:pPr>
            <w:r>
              <w:rPr>
                <w:rFonts w:ascii="Times New Roman" w:hAnsi="Times New Roman"/>
                <w:sz w:val="19"/>
              </w:rPr>
              <w:t>Limita a extensão máxima de um erro de decisão</w:t>
            </w:r>
          </w:p>
        </w:tc>
      </w:tr>
      <w:tr>
        <w:tc>
          <w:tcPr>
            <w:tcW w:type="dxa" w:w="2268"/>
          </w:tcPr>
          <w:p>
            <w:pPr>
              <w:spacing w:after="40" w:line="276" w:lineRule="auto"/>
              <w:jc w:val="left"/>
            </w:pPr>
            <w:r>
              <w:rPr>
                <w:rFonts w:ascii="Times New Roman" w:hAnsi="Times New Roman"/>
                <w:sz w:val="19"/>
              </w:rPr>
              <w:t>Congelamento de alteração</w:t>
            </w:r>
          </w:p>
        </w:tc>
        <w:tc>
          <w:tcPr>
            <w:tcW w:type="dxa" w:w="3345"/>
          </w:tcPr>
          <w:p>
            <w:pPr>
              <w:spacing w:after="40" w:line="276" w:lineRule="auto"/>
              <w:jc w:val="left"/>
            </w:pPr>
            <w:r>
              <w:rPr>
                <w:rFonts w:ascii="Times New Roman" w:hAnsi="Times New Roman"/>
                <w:sz w:val="19"/>
              </w:rPr>
              <w:t>Em janela declarada, apenas classe de risco mínima progride</w:t>
            </w:r>
          </w:p>
        </w:tc>
        <w:tc>
          <w:tcPr>
            <w:tcW w:type="dxa" w:w="3175"/>
          </w:tcPr>
          <w:p>
            <w:pPr>
              <w:spacing w:after="40" w:line="276" w:lineRule="auto"/>
              <w:jc w:val="left"/>
            </w:pPr>
            <w:r>
              <w:rPr>
                <w:rFonts w:ascii="Times New Roman" w:hAnsi="Times New Roman"/>
                <w:sz w:val="19"/>
              </w:rPr>
              <w:t>Respeita restrições organizacionais de mudança</w:t>
            </w:r>
          </w:p>
        </w:tc>
      </w:tr>
      <w:tr>
        <w:tc>
          <w:tcPr>
            <w:tcW w:type="dxa" w:w="2268"/>
          </w:tcPr>
          <w:p>
            <w:pPr>
              <w:spacing w:after="40" w:line="276" w:lineRule="auto"/>
              <w:jc w:val="left"/>
            </w:pPr>
            <w:r>
              <w:rPr>
                <w:rFonts w:ascii="Times New Roman" w:hAnsi="Times New Roman"/>
                <w:sz w:val="19"/>
              </w:rPr>
              <w:t>Anti-oscilação</w:t>
            </w:r>
          </w:p>
        </w:tc>
        <w:tc>
          <w:tcPr>
            <w:tcW w:type="dxa" w:w="3345"/>
          </w:tcPr>
          <w:p>
            <w:pPr>
              <w:spacing w:after="40" w:line="276" w:lineRule="auto"/>
              <w:jc w:val="left"/>
            </w:pPr>
            <w:r>
              <w:rPr>
                <w:rFonts w:ascii="Times New Roman" w:hAnsi="Times New Roman"/>
                <w:sz w:val="19"/>
              </w:rPr>
              <w:t>Mesma assinatura e entidade em arrefecimento escalam em vez de repetir</w:t>
            </w:r>
          </w:p>
        </w:tc>
        <w:tc>
          <w:tcPr>
            <w:tcW w:type="dxa" w:w="3175"/>
          </w:tcPr>
          <w:p>
            <w:pPr>
              <w:spacing w:after="40" w:line="276" w:lineRule="auto"/>
              <w:jc w:val="left"/>
            </w:pPr>
            <w:r>
              <w:rPr>
                <w:rFonts w:ascii="Times New Roman" w:hAnsi="Times New Roman"/>
                <w:sz w:val="19"/>
              </w:rPr>
              <w:t>Impede ciclos de intervenção e recaída</w:t>
            </w:r>
          </w:p>
        </w:tc>
      </w:tr>
      <w:tr>
        <w:tc>
          <w:tcPr>
            <w:tcW w:type="dxa" w:w="2268"/>
          </w:tcPr>
          <w:p>
            <w:pPr>
              <w:spacing w:after="40" w:line="276" w:lineRule="auto"/>
              <w:jc w:val="left"/>
            </w:pPr>
            <w:r>
              <w:rPr>
                <w:rFonts w:ascii="Times New Roman" w:hAnsi="Times New Roman"/>
                <w:sz w:val="19"/>
              </w:rPr>
              <w:t>Sanidade da fonte</w:t>
            </w:r>
          </w:p>
        </w:tc>
        <w:tc>
          <w:tcPr>
            <w:tcW w:type="dxa" w:w="3345"/>
          </w:tcPr>
          <w:p>
            <w:pPr>
              <w:spacing w:after="40" w:line="276" w:lineRule="auto"/>
              <w:jc w:val="left"/>
            </w:pPr>
            <w:r>
              <w:rPr>
                <w:rFonts w:ascii="Times New Roman" w:hAnsi="Times New Roman"/>
                <w:sz w:val="19"/>
              </w:rPr>
              <w:t>Fonte com dados obsoletos, constantes ou incoerentes interdita acção autónoma</w:t>
            </w:r>
          </w:p>
        </w:tc>
        <w:tc>
          <w:tcPr>
            <w:tcW w:type="dxa" w:w="3175"/>
          </w:tcPr>
          <w:p>
            <w:pPr>
              <w:spacing w:after="40" w:line="276" w:lineRule="auto"/>
              <w:jc w:val="left"/>
            </w:pPr>
            <w:r>
              <w:rPr>
                <w:rFonts w:ascii="Times New Roman" w:hAnsi="Times New Roman"/>
                <w:sz w:val="19"/>
              </w:rPr>
              <w:t>Impede remediação em massa por falha de uma integração</w:t>
            </w:r>
          </w:p>
        </w:tc>
      </w:tr>
    </w:tbl>
    <w:p>
      <w:pPr>
        <w:spacing w:after="180" w:line="307" w:lineRule="auto"/>
        <w:ind w:left="0"/>
        <w:jc w:val="both"/>
      </w:pPr>
    </w:p>
    <w:p>
      <w:pPr>
        <w:spacing w:after="160" w:line="317" w:lineRule="auto"/>
        <w:ind w:left="0"/>
        <w:jc w:val="both"/>
      </w:pPr>
      <w:r>
        <w:rPr>
          <w:rFonts w:ascii="Times New Roman" w:hAnsi="Times New Roman" w:eastAsia="Times New Roman"/>
          <w:b/>
          <w:i w:val="0"/>
          <w:color w:val="1F3864"/>
          <w:sz w:val="22"/>
        </w:rPr>
        <w:t xml:space="preserve">[0072]  </w:t>
      </w:r>
      <w:r>
        <w:rPr>
          <w:rFonts w:ascii="Times New Roman" w:hAnsi="Times New Roman" w:eastAsia="Times New Roman"/>
          <w:b w:val="0"/>
          <w:i w:val="0"/>
          <w:sz w:val="22"/>
        </w:rPr>
        <w:t>A aferição de sanidade da fonte merece desenvolvimento por ser o travão que responde ao modo de falha de maior consequência. Uma plataforma de monitorização de terceiros indisponível pode devolver valores nulos, valores constantes ou séries interrompidas para a totalidade das entidades que monitoriza. Um sistema desprovido desta aferição interpretaria tal ocorrência como degradação simultânea de centenas de entidades e desencadearia intervenção correspondente, convertendo a falha de um componente de observação numa interrupção generalizada de serviço. A aferição compara, por fonte, a idade da amostra mais recente com a cadência declarada do alvo, a dispersão das amostras recentes com a dispersão histórica, e a proporção de entidades da mesma fonte em desvio simultâneo com um limiar de plausibilidade, interditando a acção autónoma quando qualquer destas comparações reprove.</w:t>
      </w:r>
    </w:p>
    <w:p>
      <w:pPr>
        <w:keepNext/>
        <w:spacing w:after="120" w:line="276" w:lineRule="auto" w:before="260"/>
        <w:ind w:left="0"/>
        <w:jc w:val="left"/>
      </w:pPr>
      <w:r>
        <w:rPr>
          <w:rFonts w:ascii="Times New Roman" w:hAnsi="Times New Roman" w:eastAsia="Times New Roman"/>
          <w:b/>
          <w:i w:val="0"/>
          <w:color w:val="1F3864"/>
          <w:sz w:val="24"/>
        </w:rPr>
        <w:t>8.11 Módulo de aprendizagem</w:t>
      </w:r>
    </w:p>
    <w:p>
      <w:pPr>
        <w:spacing w:after="160" w:line="317" w:lineRule="auto"/>
        <w:ind w:left="0"/>
        <w:jc w:val="both"/>
      </w:pPr>
      <w:r>
        <w:rPr>
          <w:rFonts w:ascii="Times New Roman" w:hAnsi="Times New Roman" w:eastAsia="Times New Roman"/>
          <w:b/>
          <w:i w:val="0"/>
          <w:color w:val="1F3864"/>
          <w:sz w:val="22"/>
        </w:rPr>
        <w:t xml:space="preserve">[0073]  </w:t>
      </w:r>
      <w:r>
        <w:rPr>
          <w:rFonts w:ascii="Times New Roman" w:hAnsi="Times New Roman" w:eastAsia="Times New Roman"/>
          <w:b w:val="0"/>
          <w:i w:val="0"/>
          <w:sz w:val="22"/>
        </w:rPr>
        <w:t>O módulo (210) agrega o registo (196) em indicadores de eficácia por procedimento e por versão, compreendendo o número de execuções, o número de desfechos remediados, ineficazes, revertidos e não verificáveis. Destes indicadores decorrem três comportamentos: um procedimento com eficácia elevada e classe de risco baixa origina uma proposta de elevação do modo de autonomia, sujeita a aprovação humana registada e nunca automática; um procedimento cuja eficácia decline é sinalizado para revisão; e padrões recorrentes observados são registados como factos de infraestrutura, com âmbito, evidência e origem, num repositório de conhecimento aprovado, ficando disponíveis para informar a autoria de procedimentos futuros.</w:t>
      </w:r>
    </w:p>
    <w:p>
      <w:pPr>
        <w:keepNext/>
        <w:spacing w:after="120" w:line="276" w:lineRule="auto" w:before="260"/>
        <w:ind w:left="0"/>
        <w:jc w:val="left"/>
      </w:pPr>
      <w:r>
        <w:rPr>
          <w:rFonts w:ascii="Times New Roman" w:hAnsi="Times New Roman" w:eastAsia="Times New Roman"/>
          <w:b/>
          <w:i w:val="0"/>
          <w:color w:val="1F3864"/>
          <w:sz w:val="24"/>
        </w:rPr>
        <w:t>8.12 Exemplo concreto de realização</w:t>
      </w:r>
    </w:p>
    <w:p>
      <w:pPr>
        <w:spacing w:after="160" w:line="317" w:lineRule="auto"/>
        <w:ind w:left="0"/>
        <w:jc w:val="both"/>
      </w:pPr>
      <w:r>
        <w:rPr>
          <w:rFonts w:ascii="Times New Roman" w:hAnsi="Times New Roman" w:eastAsia="Times New Roman"/>
          <w:b/>
          <w:i w:val="0"/>
          <w:color w:val="1F3864"/>
          <w:sz w:val="22"/>
        </w:rPr>
        <w:t xml:space="preserve">[0074]  </w:t>
      </w:r>
      <w:r>
        <w:rPr>
          <w:rFonts w:ascii="Times New Roman" w:hAnsi="Times New Roman" w:eastAsia="Times New Roman"/>
          <w:b w:val="0"/>
          <w:i w:val="0"/>
          <w:sz w:val="22"/>
        </w:rPr>
        <w:t>A título ilustrativo, descreve-se um ciclo completo. A camada de aquisição (110) interroga, com cadência de sessenta segundos e através da camada de integração (250), uma plataforma de monitorização de terceiros quanto ao espaço ocupado no volume principal de um servidor aplicacional, produzindo amostras canónicas com chave de métrica normalizada de utilização percentual de disco e unidade de percentagem, que persiste no repositório (116).</w:t>
      </w:r>
    </w:p>
    <w:p>
      <w:pPr>
        <w:spacing w:after="160" w:line="317" w:lineRule="auto"/>
        <w:ind w:left="0"/>
        <w:jc w:val="both"/>
      </w:pPr>
      <w:r>
        <w:rPr>
          <w:rFonts w:ascii="Times New Roman" w:hAnsi="Times New Roman" w:eastAsia="Times New Roman"/>
          <w:b/>
          <w:i w:val="0"/>
          <w:color w:val="1F3864"/>
          <w:sz w:val="22"/>
        </w:rPr>
        <w:t xml:space="preserve">[0075]  </w:t>
      </w:r>
      <w:r>
        <w:rPr>
          <w:rFonts w:ascii="Times New Roman" w:hAnsi="Times New Roman" w:eastAsia="Times New Roman"/>
          <w:b w:val="0"/>
          <w:i w:val="0"/>
          <w:sz w:val="22"/>
        </w:rPr>
        <w:t>O motor de previsão (126), operando sobre uma janela de vinte e um dias, estima uma inclinação de crescimento diário sustentado e emite um objecto de previsão de risco (132) indicando que o limiar de noventa e cinco por cento será atingido em aproximadamente dezassete horas, com grau de confiança de zero vírgula oitenta e seis e medida de qualidade do ajuste de zero vírgula noventa e quatro.</w:t>
      </w:r>
    </w:p>
    <w:p>
      <w:pPr>
        <w:spacing w:after="160" w:line="317" w:lineRule="auto"/>
        <w:ind w:left="0"/>
        <w:jc w:val="both"/>
      </w:pPr>
      <w:r>
        <w:rPr>
          <w:rFonts w:ascii="Times New Roman" w:hAnsi="Times New Roman" w:eastAsia="Times New Roman"/>
          <w:b/>
          <w:i w:val="0"/>
          <w:color w:val="1F3864"/>
          <w:sz w:val="22"/>
        </w:rPr>
        <w:t xml:space="preserve">[0076]  </w:t>
      </w:r>
      <w:r>
        <w:rPr>
          <w:rFonts w:ascii="Times New Roman" w:hAnsi="Times New Roman" w:eastAsia="Times New Roman"/>
          <w:b w:val="0"/>
          <w:i w:val="0"/>
          <w:sz w:val="22"/>
        </w:rPr>
        <w:t>O despachante (140) submete a previsão ao planeador (160), que calcula a assinatura e encontra no catálogo (150) correspondência única com um procedimento aprovado de recuperação de espaço por remoção de ficheiros temporários e de registos rotativos expirados, de classe de risco baixa e raio de impacto limitado a uma entidade.</w:t>
      </w:r>
    </w:p>
    <w:p>
      <w:pPr>
        <w:spacing w:after="160" w:line="317" w:lineRule="auto"/>
        <w:ind w:left="0"/>
        <w:jc w:val="both"/>
      </w:pPr>
      <w:r>
        <w:rPr>
          <w:rFonts w:ascii="Times New Roman" w:hAnsi="Times New Roman" w:eastAsia="Times New Roman"/>
          <w:b/>
          <w:i w:val="0"/>
          <w:color w:val="1F3864"/>
          <w:sz w:val="22"/>
        </w:rPr>
        <w:t xml:space="preserve">[0077]  </w:t>
      </w:r>
      <w:r>
        <w:rPr>
          <w:rFonts w:ascii="Times New Roman" w:hAnsi="Times New Roman" w:eastAsia="Times New Roman"/>
          <w:b w:val="0"/>
          <w:i w:val="0"/>
          <w:sz w:val="22"/>
        </w:rPr>
        <w:t>O motor de política (170) resolve, para a categoria de entidade em causa, o modo autónomo, com classe de risco máxima admissível baixa e janela de manutenção declarada; verifica que a classe de risco do procedimento não excede a admissível, que o número de entidades afectadas não excede o raio de impacto, e que a antecipação de dezassete horas permite a execução dentro da janela de manutenção seguinte, agendando-a para esse momento.</w:t>
      </w:r>
    </w:p>
    <w:p>
      <w:pPr>
        <w:spacing w:after="160" w:line="317" w:lineRule="auto"/>
        <w:ind w:left="0"/>
        <w:jc w:val="both"/>
      </w:pPr>
      <w:r>
        <w:rPr>
          <w:rFonts w:ascii="Times New Roman" w:hAnsi="Times New Roman" w:eastAsia="Times New Roman"/>
          <w:b/>
          <w:i w:val="0"/>
          <w:color w:val="1F3864"/>
          <w:sz w:val="22"/>
        </w:rPr>
        <w:t xml:space="preserve">[0078]  </w:t>
      </w:r>
      <w:r>
        <w:rPr>
          <w:rFonts w:ascii="Times New Roman" w:hAnsi="Times New Roman" w:eastAsia="Times New Roman"/>
          <w:b w:val="0"/>
          <w:i w:val="0"/>
          <w:sz w:val="22"/>
        </w:rPr>
        <w:t>Na janela, o executor (190) avalia as pré-condições sobre a entidade concreta, confirmando que a utilização se mantém acima do valor declarado e que o instante não pertence a janela de congelamento; executa o nó de captura de estado, registando o inventário dos ficheiros elegíveis; executa o grafo; aguarda o período de estabilização declarado; e invoca o verificador (192), o qual reavalia a mesma série canónica de utilização percentual de disco da mesma entidade e confirma valor inferior ao valor de referência do plano de verificação.</w:t>
      </w:r>
    </w:p>
    <w:p>
      <w:pPr>
        <w:spacing w:after="160" w:line="317" w:lineRule="auto"/>
        <w:ind w:left="0"/>
        <w:jc w:val="both"/>
      </w:pPr>
      <w:r>
        <w:rPr>
          <w:rFonts w:ascii="Times New Roman" w:hAnsi="Times New Roman" w:eastAsia="Times New Roman"/>
          <w:b/>
          <w:i w:val="0"/>
          <w:color w:val="1F3864"/>
          <w:sz w:val="22"/>
        </w:rPr>
        <w:t xml:space="preserve">[0079]  </w:t>
      </w:r>
      <w:r>
        <w:rPr>
          <w:rFonts w:ascii="Times New Roman" w:hAnsi="Times New Roman" w:eastAsia="Times New Roman"/>
          <w:b w:val="0"/>
          <w:i w:val="0"/>
          <w:sz w:val="22"/>
        </w:rPr>
        <w:t>O estado terminal atribuído é o de remediação, o objecto de previsão transita para o estado de actuado, o registo (196) é completado com as medições anteriores e posteriores, e o indicador de eficácia do procedimento é incrementado favoravelmente. A intervenção ocorreu com dezassete horas de antecipação relativamente à interrupção de serviço, em janela de manutenção, sem intervenção humana, sem qualquer inferência de modelo de linguagem, e com confirmação objectiva do efeito.</w:t>
      </w:r>
    </w:p>
    <w:p>
      <w:pPr>
        <w:spacing w:after="160" w:line="317" w:lineRule="auto"/>
        <w:ind w:left="0"/>
        <w:jc w:val="both"/>
      </w:pPr>
      <w:r>
        <w:rPr>
          <w:rFonts w:ascii="Times New Roman" w:hAnsi="Times New Roman" w:eastAsia="Times New Roman"/>
          <w:b/>
          <w:i w:val="0"/>
          <w:color w:val="1F3864"/>
          <w:sz w:val="22"/>
        </w:rPr>
        <w:t xml:space="preserve">[0080]  </w:t>
      </w:r>
      <w:r>
        <w:rPr>
          <w:rFonts w:ascii="Times New Roman" w:hAnsi="Times New Roman" w:eastAsia="Times New Roman"/>
          <w:b w:val="0"/>
          <w:i w:val="0"/>
          <w:sz w:val="22"/>
        </w:rPr>
        <w:t>Em variante do mesmo exemplo, se a reavaliação devolvesse valor não inferior ao de referência, o estado seria o de ineficácia, com escalamento a operador humano acompanhado do histórico completo; se a plataforma de monitorização não tivesse voltado a reportar a série no período de estabilização acrescido de tolerância, o estado seria o de não verificabilidade, igualmente com escalamento, e em nenhum caso o problema seria encerrado como resolvido.</w:t>
      </w:r>
    </w:p>
    <w:p>
      <w:pPr>
        <w:keepNext/>
        <w:spacing w:after="160" w:line="276" w:lineRule="auto" w:before="340"/>
        <w:ind w:left="0"/>
        <w:jc w:val="left"/>
        <w:pBdr>
          <w:bottom w:val="single" w:sz="6" w:space="4" w:color="1F3864"/>
        </w:pBdr>
      </w:pPr>
      <w:r>
        <w:rPr>
          <w:rFonts w:ascii="Times New Roman" w:hAnsi="Times New Roman" w:eastAsia="Times New Roman"/>
          <w:b/>
          <w:i w:val="0"/>
          <w:color w:val="1F3864"/>
          <w:sz w:val="28"/>
        </w:rPr>
        <w:t>9. Aplicabilidade industrial</w:t>
      </w:r>
    </w:p>
    <w:p>
      <w:pPr>
        <w:spacing w:after="160" w:line="317" w:lineRule="auto"/>
        <w:ind w:left="0"/>
        <w:jc w:val="both"/>
      </w:pPr>
      <w:r>
        <w:rPr>
          <w:rFonts w:ascii="Times New Roman" w:hAnsi="Times New Roman" w:eastAsia="Times New Roman"/>
          <w:b/>
          <w:i w:val="0"/>
          <w:color w:val="1F3864"/>
          <w:sz w:val="22"/>
        </w:rPr>
        <w:t xml:space="preserve">[0081]  </w:t>
      </w:r>
      <w:r>
        <w:rPr>
          <w:rFonts w:ascii="Times New Roman" w:hAnsi="Times New Roman" w:eastAsia="Times New Roman"/>
          <w:b w:val="0"/>
          <w:i w:val="0"/>
          <w:sz w:val="22"/>
        </w:rPr>
        <w:t>A invenção é susceptível de aplicação industrial imediata na exploração de centros de dados, na prestação de serviços gestionados de tecnologias de informação, na operação de infraestrutura de instituições financeiras, de operadores de telecomunicações e de organismos da administração pública, e em qualquer organização que opere infraestrutura informática sujeita a requisitos de disponibilidade. A invenção é realizável com meios informáticos convencionais e não requer equipamento especializado.</w:t>
      </w:r>
    </w:p>
    <w:p>
      <w:pPr>
        <w:spacing w:after="160" w:line="317" w:lineRule="auto"/>
        <w:ind w:left="0"/>
        <w:jc w:val="both"/>
      </w:pPr>
      <w:r>
        <w:rPr>
          <w:rFonts w:ascii="Times New Roman" w:hAnsi="Times New Roman" w:eastAsia="Times New Roman"/>
          <w:b/>
          <w:i w:val="0"/>
          <w:color w:val="1F3864"/>
          <w:sz w:val="22"/>
        </w:rPr>
        <w:t xml:space="preserve">[0082]  </w:t>
      </w:r>
      <w:r>
        <w:rPr>
          <w:rFonts w:ascii="Times New Roman" w:hAnsi="Times New Roman" w:eastAsia="Times New Roman"/>
          <w:b w:val="0"/>
          <w:i w:val="0"/>
          <w:sz w:val="22"/>
        </w:rPr>
        <w:t>Realização como produto de programa de computador. A totalidade das funcionalidades descritas é realizável por meio de instruções de programa gravadas num meio de armazenamento legível por máquina não transitório, designadamente disco magnético ou de estado sólido, memória não volátil ou imagem de contentor, as quais, quando carregadas e executadas por uma ou mais unidades de processamento de um sistema informático convencional dotado de acesso em rede às ditas plataformas de monitorização de terceiros e às ditas entidades alvo, fazem o dito sistema executar as etapas do método descrito. O sistema (100) pode, em consequência, ser distribuído e explorado sob a forma de tal produto de programa de computador, sem alteração das características técnicas reivindicadas.</w:t>
      </w:r>
    </w:p>
    <w:p>
      <w:pPr>
        <w:spacing w:after="160" w:line="317" w:lineRule="auto"/>
        <w:ind w:left="0"/>
        <w:jc w:val="both"/>
      </w:pPr>
      <w:r>
        <w:rPr>
          <w:rFonts w:ascii="Times New Roman" w:hAnsi="Times New Roman" w:eastAsia="Times New Roman"/>
          <w:b/>
          <w:i w:val="0"/>
          <w:color w:val="1F3864"/>
          <w:sz w:val="22"/>
        </w:rPr>
        <w:t xml:space="preserve">[0083]  </w:t>
      </w:r>
      <w:r>
        <w:rPr>
          <w:rFonts w:ascii="Times New Roman" w:hAnsi="Times New Roman" w:eastAsia="Times New Roman"/>
          <w:b w:val="0"/>
          <w:i w:val="0"/>
          <w:sz w:val="22"/>
        </w:rPr>
        <w:t>O carácter técnico da invenção não reside na apresentação de informação nem num método de exercício de actividade económica, mas no funcionamento interno de um sistema informático: a invenção altera a forma como um sistema adquire, normaliza e caracteriza medições de equipamentos, como decide e executa operações sobre esses equipamentos, e como determina objectivamente o efeito dessas operações, produzindo os efeitos técnicos concretos de redução do tempo de indisponibilidade, contenção do raio de impacto de decisões erróneas e eliminação da execução de código não revisto em ambiente produtivo.</w:t>
      </w:r>
    </w:p>
    <w:p>
      <w:pPr>
        <w:keepNext/>
        <w:spacing w:after="160" w:line="276" w:lineRule="auto" w:before="340"/>
        <w:ind w:left="0"/>
        <w:jc w:val="left"/>
        <w:pBdr>
          <w:bottom w:val="single" w:sz="6" w:space="4" w:color="1F3864"/>
        </w:pBdr>
      </w:pPr>
      <w:r>
        <w:rPr>
          <w:rFonts w:ascii="Times New Roman" w:hAnsi="Times New Roman" w:eastAsia="Times New Roman"/>
          <w:b/>
          <w:i w:val="0"/>
          <w:color w:val="1F3864"/>
          <w:sz w:val="28"/>
        </w:rPr>
        <w:t>10. Figuras — representação esquemática</w:t>
      </w:r>
    </w:p>
    <w:p>
      <w:pPr>
        <w:spacing w:after="200" w:line="288" w:lineRule="auto" w:before="160"/>
        <w:ind w:left="340"/>
        <w:jc w:val="both"/>
        <w:pBdr>
          <w:left w:val="single" w:sz="12" w:space="10" w:color="BFA36A"/>
        </w:pBdr>
      </w:pPr>
      <w:r>
        <w:rPr>
          <w:rFonts w:ascii="Times New Roman" w:hAnsi="Times New Roman" w:eastAsia="Times New Roman"/>
          <w:b w:val="0"/>
          <w:i/>
          <w:color w:val="3A3A3A"/>
          <w:sz w:val="20"/>
        </w:rPr>
        <w:t>As representações que seguem destinam-se a fixar o conteúdo e a numeração de referência das figuras. Devem ser convertidas em pranchas de desenho formais antes da submissão.</w:t>
      </w:r>
    </w:p>
    <w:p>
      <w:pPr>
        <w:keepNext/>
        <w:spacing w:after="120" w:line="307" w:lineRule="auto" w:before="240"/>
        <w:ind w:left="0"/>
        <w:jc w:val="left"/>
      </w:pPr>
      <w:r>
        <w:rPr>
          <w:rFonts w:ascii="Times New Roman" w:hAnsi="Times New Roman" w:eastAsia="Times New Roman"/>
          <w:b/>
          <w:i w:val="0"/>
          <w:sz w:val="22"/>
        </w:rPr>
        <w:t>Figura 1 — Arquitectura geral do sistema (100)</w:t>
      </w:r>
    </w:p>
    <w:p>
      <w:pPr>
        <w:spacing w:after="0" w:line="240" w:lineRule="auto"/>
        <w:ind w:left="0"/>
        <w:jc w:val="left"/>
      </w:pPr>
      <w:r>
        <w:rPr>
          <w:rFonts w:ascii="Consolas" w:hAnsi="Consolas" w:eastAsia="Consolas"/>
          <w:b w:val="0"/>
          <w:i w:val="0"/>
          <w:sz w:val="15"/>
        </w:rPr>
        <w:t xml:space="preserve">  (10a) Monitorização de     (10b) Análise de      (10c) Desempenho      (10d) Agente</w:t>
      </w:r>
    </w:p>
    <w:p>
      <w:pPr>
        <w:spacing w:after="0" w:line="240" w:lineRule="auto"/>
        <w:ind w:left="0"/>
        <w:jc w:val="left"/>
      </w:pPr>
      <w:r>
        <w:rPr>
          <w:rFonts w:ascii="Consolas" w:hAnsi="Consolas" w:eastAsia="Consolas"/>
          <w:b w:val="0"/>
          <w:i w:val="0"/>
          <w:sz w:val="15"/>
        </w:rPr>
        <w:t xml:space="preserve">        infraestrutura             registos              aplicacional          próprio (opc.)</w:t>
      </w:r>
    </w:p>
    <w:p>
      <w:pPr>
        <w:spacing w:after="0" w:line="240" w:lineRule="auto"/>
        <w:ind w:left="0"/>
        <w:jc w:val="left"/>
      </w:pPr>
      <w:r>
        <w:rPr>
          <w:rFonts w:ascii="Consolas" w:hAnsi="Consolas" w:eastAsia="Consolas"/>
          <w:b w:val="0"/>
          <w:i w:val="0"/>
          <w:sz w:val="15"/>
        </w:rPr>
        <w:t xml:space="preserve">          |                          |                      |                    |</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(250) Camada de integração autenticada</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(110) Camada de aquisição</w:t>
      </w:r>
    </w:p>
    <w:p>
      <w:pPr>
        <w:spacing w:after="0" w:line="240" w:lineRule="auto"/>
        <w:ind w:left="0"/>
        <w:jc w:val="left"/>
      </w:pPr>
      <w:r>
        <w:rPr>
          <w:rFonts w:ascii="Consolas" w:hAnsi="Consolas" w:eastAsia="Consolas"/>
          <w:b w:val="0"/>
          <w:i w:val="0"/>
          <w:sz w:val="15"/>
        </w:rPr>
        <w:t xml:space="preserve">                                        (112) adaptadores por fonte</w:t>
      </w:r>
    </w:p>
    <w:p>
      <w:pPr>
        <w:spacing w:after="0" w:line="240" w:lineRule="auto"/>
        <w:ind w:left="0"/>
        <w:jc w:val="left"/>
      </w:pPr>
      <w:r>
        <w:rPr>
          <w:rFonts w:ascii="Consolas" w:hAnsi="Consolas" w:eastAsia="Consolas"/>
          <w:b w:val="0"/>
          <w:i w:val="0"/>
          <w:sz w:val="15"/>
        </w:rPr>
        <w:t xml:space="preserve">                                        (114) amostra canónica</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(116) Repositório de séries temporais</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(120) Motores de análise</w:t>
      </w:r>
    </w:p>
    <w:p>
      <w:pPr>
        <w:spacing w:after="0" w:line="240" w:lineRule="auto"/>
        <w:ind w:left="0"/>
        <w:jc w:val="left"/>
      </w:pPr>
      <w:r>
        <w:rPr>
          <w:rFonts w:ascii="Consolas" w:hAnsi="Consolas" w:eastAsia="Consolas"/>
          <w:b w:val="0"/>
          <w:i w:val="0"/>
          <w:sz w:val="15"/>
        </w:rPr>
        <w:t xml:space="preserve">                                     (122) baseline sazonal persistente</w:t>
      </w:r>
    </w:p>
    <w:p>
      <w:pPr>
        <w:spacing w:after="0" w:line="240" w:lineRule="auto"/>
        <w:ind w:left="0"/>
        <w:jc w:val="left"/>
      </w:pPr>
      <w:r>
        <w:rPr>
          <w:rFonts w:ascii="Consolas" w:hAnsi="Consolas" w:eastAsia="Consolas"/>
          <w:b w:val="0"/>
          <w:i w:val="0"/>
          <w:sz w:val="15"/>
        </w:rPr>
        <w:t xml:space="preserve">                                     (124) limiar adaptativo</w:t>
      </w:r>
    </w:p>
    <w:p>
      <w:pPr>
        <w:spacing w:after="0" w:line="240" w:lineRule="auto"/>
        <w:ind w:left="0"/>
        <w:jc w:val="left"/>
      </w:pPr>
      <w:r>
        <w:rPr>
          <w:rFonts w:ascii="Consolas" w:hAnsi="Consolas" w:eastAsia="Consolas"/>
          <w:b w:val="0"/>
          <w:i w:val="0"/>
          <w:sz w:val="15"/>
        </w:rPr>
        <w:t xml:space="preserve">                                     (126) motor de previsão</w:t>
      </w:r>
    </w:p>
    <w:p>
      <w:pPr>
        <w:spacing w:after="0" w:line="240" w:lineRule="auto"/>
        <w:ind w:left="0"/>
        <w:jc w:val="left"/>
      </w:pPr>
      <w:r>
        <w:rPr>
          <w:rFonts w:ascii="Consolas" w:hAnsi="Consolas" w:eastAsia="Consolas"/>
          <w:b w:val="0"/>
          <w:i w:val="0"/>
          <w:sz w:val="15"/>
        </w:rPr>
        <w:t xml:space="preserve">                                     (128) correlacionador</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(130) Problema agregado            (132) Previsão de risco</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(140) Despachante de eventos</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(160) Planeador  &lt;----&gt; (150) Catálogo de</w:t>
      </w:r>
    </w:p>
    <w:p>
      <w:pPr>
        <w:spacing w:after="0" w:line="240" w:lineRule="auto"/>
        <w:ind w:left="0"/>
        <w:jc w:val="left"/>
      </w:pPr>
      <w:r>
        <w:rPr>
          <w:rFonts w:ascii="Consolas" w:hAnsi="Consolas" w:eastAsia="Consolas"/>
          <w:b w:val="0"/>
          <w:i w:val="0"/>
          <w:sz w:val="15"/>
        </w:rPr>
        <w:t xml:space="preserve">                                                |            procedimentos</w:t>
      </w:r>
    </w:p>
    <w:p>
      <w:pPr>
        <w:spacing w:after="0" w:line="240" w:lineRule="auto"/>
        <w:ind w:left="0"/>
        <w:jc w:val="left"/>
      </w:pPr>
      <w:r>
        <w:rPr>
          <w:rFonts w:ascii="Consolas" w:hAnsi="Consolas" w:eastAsia="Consolas"/>
          <w:b w:val="0"/>
          <w:i w:val="0"/>
          <w:sz w:val="15"/>
        </w:rPr>
        <w:t xml:space="preserve">                                                |            (152)(154)(156)(158)</w:t>
      </w:r>
    </w:p>
    <w:p>
      <w:pPr>
        <w:spacing w:after="0" w:line="240" w:lineRule="auto"/>
        <w:ind w:left="0"/>
        <w:jc w:val="left"/>
      </w:pPr>
      <w:r>
        <w:rPr>
          <w:rFonts w:ascii="Consolas" w:hAnsi="Consolas" w:eastAsia="Consolas"/>
          <w:b w:val="0"/>
          <w:i w:val="0"/>
          <w:sz w:val="15"/>
        </w:rPr>
        <w:t xml:space="preserve">                                   (170) Motor de política &lt;--- (172) políticas</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observacao | semi-autonomo | autonomo</w:t>
      </w:r>
    </w:p>
    <w:p>
      <w:pPr>
        <w:spacing w:after="0" w:line="240" w:lineRule="auto"/>
        <w:ind w:left="0"/>
        <w:jc w:val="left"/>
      </w:pPr>
      <w:r>
        <w:rPr>
          <w:rFonts w:ascii="Consolas" w:hAnsi="Consolas" w:eastAsia="Consolas"/>
          <w:b w:val="0"/>
          <w:i w:val="0"/>
          <w:sz w:val="15"/>
        </w:rPr>
        <w:t xml:space="preserve">                            |           |               |</w:t>
      </w:r>
    </w:p>
    <w:p>
      <w:pPr>
        <w:spacing w:after="0" w:line="240" w:lineRule="auto"/>
        <w:ind w:left="0"/>
        <w:jc w:val="left"/>
      </w:pPr>
      <w:r>
        <w:rPr>
          <w:rFonts w:ascii="Consolas" w:hAnsi="Consolas" w:eastAsia="Consolas"/>
          <w:b w:val="0"/>
          <w:i w:val="0"/>
          <w:sz w:val="15"/>
        </w:rPr>
        <w:t xml:space="preserve">                        registo    (180) Porta de       |</w:t>
      </w:r>
    </w:p>
    <w:p>
      <w:pPr>
        <w:spacing w:after="0" w:line="240" w:lineRule="auto"/>
        <w:ind w:left="0"/>
        <w:jc w:val="left"/>
      </w:pPr>
      <w:r>
        <w:rPr>
          <w:rFonts w:ascii="Consolas" w:hAnsi="Consolas" w:eastAsia="Consolas"/>
          <w:b w:val="0"/>
          <w:i w:val="0"/>
          <w:sz w:val="15"/>
        </w:rPr>
        <w:t xml:space="preserve">                        apenas      aprovacao ----------+</w:t>
      </w:r>
    </w:p>
    <w:p>
      <w:pPr>
        <w:spacing w:after="0" w:line="240" w:lineRule="auto"/>
        <w:ind w:left="0"/>
        <w:jc w:val="left"/>
      </w:pPr>
      <w:r>
        <w:rPr>
          <w:rFonts w:ascii="Consolas" w:hAnsi="Consolas" w:eastAsia="Consolas"/>
          <w:b w:val="0"/>
          <w:i w:val="0"/>
          <w:sz w:val="15"/>
        </w:rPr>
        <w:t xml:space="preserve">                                    (182) registo durável</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(190) Executor de ciclo fechado</w:t>
      </w:r>
    </w:p>
    <w:p>
      <w:pPr>
        <w:spacing w:after="0" w:line="240" w:lineRule="auto"/>
        <w:ind w:left="0"/>
        <w:jc w:val="left"/>
      </w:pPr>
      <w:r>
        <w:rPr>
          <w:rFonts w:ascii="Consolas" w:hAnsi="Consolas" w:eastAsia="Consolas"/>
          <w:b w:val="0"/>
          <w:i w:val="0"/>
          <w:sz w:val="15"/>
        </w:rPr>
        <w:t xml:space="preserve">                                     (192) verificador</w:t>
      </w:r>
    </w:p>
    <w:p>
      <w:pPr>
        <w:spacing w:after="0" w:line="240" w:lineRule="auto"/>
        <w:ind w:left="0"/>
        <w:jc w:val="left"/>
      </w:pPr>
      <w:r>
        <w:rPr>
          <w:rFonts w:ascii="Consolas" w:hAnsi="Consolas" w:eastAsia="Consolas"/>
          <w:b w:val="0"/>
          <w:i w:val="0"/>
          <w:sz w:val="15"/>
        </w:rPr>
        <w:t xml:space="preserve">                                     (194) travões de contenção</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(200) Camada de execução sem agente</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(196) Registo de auditoria</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(210) Módulo de aprendizagem</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(220) Compilador de autoria (tempo de autoria)</w:t>
      </w:r>
    </w:p>
    <w:p>
      <w:pPr>
        <w:spacing w:after="200" w:line="307" w:lineRule="auto"/>
        <w:ind w:left="0"/>
        <w:jc w:val="both"/>
      </w:pPr>
    </w:p>
    <w:p>
      <w:pPr>
        <w:keepNext/>
        <w:spacing w:after="120" w:line="307" w:lineRule="auto" w:before="240"/>
        <w:ind w:left="0"/>
        <w:jc w:val="left"/>
      </w:pPr>
      <w:r>
        <w:rPr>
          <w:rFonts w:ascii="Times New Roman" w:hAnsi="Times New Roman" w:eastAsia="Times New Roman"/>
          <w:b/>
          <w:i w:val="0"/>
          <w:sz w:val="22"/>
        </w:rPr>
        <w:t>Figura 5 — Máquina de estados do executor (190)</w:t>
      </w:r>
    </w:p>
    <w:p>
      <w:pPr>
        <w:spacing w:after="0" w:line="240" w:lineRule="auto"/>
        <w:ind w:left="0"/>
        <w:jc w:val="left"/>
      </w:pPr>
      <w:r>
        <w:rPr>
          <w:rFonts w:ascii="Consolas" w:hAnsi="Consolas" w:eastAsia="Consolas"/>
          <w:b w:val="0"/>
          <w:i w:val="0"/>
          <w:sz w:val="15"/>
        </w:rPr>
        <w:t xml:space="preserve">                          proposto</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 observacao       | semi             | autonomo</w:t>
      </w:r>
    </w:p>
    <w:p>
      <w:pPr>
        <w:spacing w:after="0" w:line="240" w:lineRule="auto"/>
        <w:ind w:left="0"/>
        <w:jc w:val="left"/>
      </w:pPr>
      <w:r>
        <w:rPr>
          <w:rFonts w:ascii="Consolas" w:hAnsi="Consolas" w:eastAsia="Consolas"/>
          <w:b w:val="0"/>
          <w:i w:val="0"/>
          <w:sz w:val="15"/>
        </w:rPr>
        <w:t xml:space="preserve">      registado        aguardando aprovacao     |</w:t>
      </w:r>
    </w:p>
    <w:p>
      <w:pPr>
        <w:spacing w:after="0" w:line="240" w:lineRule="auto"/>
        <w:ind w:left="0"/>
        <w:jc w:val="left"/>
      </w:pPr>
      <w:r>
        <w:rPr>
          <w:rFonts w:ascii="Consolas" w:hAnsi="Consolas" w:eastAsia="Consolas"/>
          <w:b w:val="0"/>
          <w:i w:val="0"/>
          <w:sz w:val="15"/>
        </w:rPr>
        <w:t xml:space="preserve">      sem execucao           |                  |</w:t>
      </w:r>
    </w:p>
    <w:p>
      <w:pPr>
        <w:spacing w:after="0" w:line="240" w:lineRule="auto"/>
        <w:ind w:left="0"/>
        <w:jc w:val="left"/>
      </w:pPr>
      <w:r>
        <w:rPr>
          <w:rFonts w:ascii="Consolas" w:hAnsi="Consolas" w:eastAsia="Consolas"/>
          <w:b w:val="0"/>
          <w:i w:val="0"/>
          <w:sz w:val="15"/>
        </w:rPr>
        <w:t xml:space="preserve">                     +-------+-------+          |</w:t>
      </w:r>
    </w:p>
    <w:p>
      <w:pPr>
        <w:spacing w:after="0" w:line="240" w:lineRule="auto"/>
        <w:ind w:left="0"/>
        <w:jc w:val="left"/>
      </w:pPr>
      <w:r>
        <w:rPr>
          <w:rFonts w:ascii="Consolas" w:hAnsi="Consolas" w:eastAsia="Consolas"/>
          <w:b w:val="0"/>
          <w:i w:val="0"/>
          <w:sz w:val="15"/>
        </w:rPr>
        <w:t xml:space="preserve">                  aprovado        negado/       |</w:t>
      </w:r>
    </w:p>
    <w:p>
      <w:pPr>
        <w:spacing w:after="0" w:line="240" w:lineRule="auto"/>
        <w:ind w:left="0"/>
        <w:jc w:val="left"/>
      </w:pPr>
      <w:r>
        <w:rPr>
          <w:rFonts w:ascii="Consolas" w:hAnsi="Consolas" w:eastAsia="Consolas"/>
          <w:b w:val="0"/>
          <w:i w:val="0"/>
          <w:sz w:val="15"/>
        </w:rPr>
        <w:t xml:space="preserve">                     |            expirado      |</w:t>
      </w:r>
    </w:p>
    <w:p>
      <w:pPr>
        <w:spacing w:after="0" w:line="240" w:lineRule="auto"/>
        <w:ind w:left="0"/>
        <w:jc w:val="left"/>
      </w:pPr>
      <w:r>
        <w:rPr>
          <w:rFonts w:ascii="Consolas" w:hAnsi="Consolas" w:eastAsia="Consolas"/>
          <w:b w:val="0"/>
          <w:i w:val="0"/>
          <w:sz w:val="15"/>
        </w:rPr>
        <w:t xml:space="preserve">                     |               |           </w:t>
      </w:r>
    </w:p>
    <w:p>
      <w:pPr>
        <w:spacing w:after="0" w:line="240" w:lineRule="auto"/>
        <w:ind w:left="0"/>
        <w:jc w:val="left"/>
      </w:pPr>
      <w:r>
        <w:rPr>
          <w:rFonts w:ascii="Consolas" w:hAnsi="Consolas" w:eastAsia="Consolas"/>
          <w:b w:val="0"/>
          <w:i w:val="0"/>
          <w:sz w:val="15"/>
        </w:rPr>
        <w:t xml:space="preserve">                     +-------+-------+----&gt; abortado / escalado</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verificacao de pre-condicoes ---- incumprida ----&gt; abortado</w:t>
      </w:r>
    </w:p>
    <w:p>
      <w:pPr>
        <w:spacing w:after="0" w:line="240" w:lineRule="auto"/>
        <w:ind w:left="0"/>
        <w:jc w:val="left"/>
      </w:pPr>
      <w:r>
        <w:rPr>
          <w:rFonts w:ascii="Consolas" w:hAnsi="Consolas" w:eastAsia="Consolas"/>
          <w:b w:val="0"/>
          <w:i w:val="0"/>
          <w:sz w:val="15"/>
        </w:rPr>
        <w:t xml:space="preserve">                             | cumpridas</w:t>
      </w:r>
    </w:p>
    <w:p>
      <w:pPr>
        <w:spacing w:after="0" w:line="240" w:lineRule="auto"/>
        <w:ind w:left="0"/>
        <w:jc w:val="left"/>
      </w:pPr>
      <w:r>
        <w:rPr>
          <w:rFonts w:ascii="Consolas" w:hAnsi="Consolas" w:eastAsia="Consolas"/>
          <w:b w:val="0"/>
          <w:i w:val="0"/>
          <w:sz w:val="15"/>
        </w:rPr>
        <w:t xml:space="preserve">                       captura de estado   (se existir plano de reversao)</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em execucao ---- falha irrecuperavel ----&gt; escalado</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espera   (periodo de estabilizacao)</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verificacao   (MESMA serie canonica da deteccao)</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          |                         |              |</w:t>
      </w:r>
    </w:p>
    <w:p>
      <w:pPr>
        <w:spacing w:after="0" w:line="240" w:lineRule="auto"/>
        <w:ind w:left="0"/>
        <w:jc w:val="left"/>
      </w:pPr>
      <w:r>
        <w:rPr>
          <w:rFonts w:ascii="Consolas" w:hAnsi="Consolas" w:eastAsia="Consolas"/>
          <w:b w:val="0"/>
          <w:i w:val="0"/>
          <w:sz w:val="15"/>
        </w:rPr>
        <w:t xml:space="preserve">  remediado  ineficaz                 agravado     nao verificavel</w:t>
      </w:r>
    </w:p>
    <w:p>
      <w:pPr>
        <w:spacing w:after="0" w:line="240" w:lineRule="auto"/>
        <w:ind w:left="0"/>
        <w:jc w:val="left"/>
      </w:pPr>
      <w:r>
        <w:rPr>
          <w:rFonts w:ascii="Consolas" w:hAnsi="Consolas" w:eastAsia="Consolas"/>
          <w:b w:val="0"/>
          <w:i w:val="0"/>
          <w:sz w:val="15"/>
        </w:rPr>
        <w:t xml:space="preserve">     |          |                         |              |</w:t>
      </w:r>
    </w:p>
    <w:p>
      <w:pPr>
        <w:spacing w:after="0" w:line="240" w:lineRule="auto"/>
        <w:ind w:left="0"/>
        <w:jc w:val="left"/>
      </w:pPr>
      <w:r>
        <w:rPr>
          <w:rFonts w:ascii="Consolas" w:hAnsi="Consolas" w:eastAsia="Consolas"/>
          <w:b w:val="0"/>
          <w:i w:val="0"/>
          <w:sz w:val="15"/>
        </w:rPr>
        <w:t xml:space="preserve">  encerra    escalado                 reversao        escalado</w:t>
      </w:r>
    </w:p>
    <w:p>
      <w:pPr>
        <w:spacing w:after="0" w:line="240" w:lineRule="auto"/>
        <w:ind w:left="0"/>
        <w:jc w:val="left"/>
      </w:pPr>
      <w:r>
        <w:rPr>
          <w:rFonts w:ascii="Consolas" w:hAnsi="Consolas" w:eastAsia="Consolas"/>
          <w:b w:val="0"/>
          <w:i w:val="0"/>
          <w:sz w:val="15"/>
        </w:rPr>
        <w:t xml:space="preserve">  problema                                |</w:t>
      </w:r>
    </w:p>
    <w:p>
      <w:pPr>
        <w:spacing w:after="0" w:line="240" w:lineRule="auto"/>
        <w:ind w:left="0"/>
        <w:jc w:val="left"/>
      </w:pPr>
      <w:r>
        <w:rPr>
          <w:rFonts w:ascii="Consolas" w:hAnsi="Consolas" w:eastAsia="Consolas"/>
          <w:b w:val="0"/>
          <w:i w:val="0"/>
          <w:sz w:val="15"/>
        </w:rPr>
        <w:t xml:space="preserve">                                   +------+------+</w:t>
      </w:r>
    </w:p>
    <w:p>
      <w:pPr>
        <w:spacing w:after="0" w:line="240" w:lineRule="auto"/>
        <w:ind w:left="0"/>
        <w:jc w:val="left"/>
      </w:pPr>
      <w:r>
        <w:rPr>
          <w:rFonts w:ascii="Consolas" w:hAnsi="Consolas" w:eastAsia="Consolas"/>
          <w:b w:val="0"/>
          <w:i w:val="0"/>
          <w:sz w:val="15"/>
        </w:rPr>
        <w:t xml:space="preserve">                                revertido    escalado</w:t>
      </w:r>
    </w:p>
    <w:p>
      <w:pPr>
        <w:spacing w:after="200" w:line="307" w:lineRule="auto"/>
        <w:ind w:left="0"/>
        <w:jc w:val="both"/>
      </w:pPr>
    </w:p>
    <w:p>
      <w:r>
        <w:br w:type="page"/>
      </w:r>
    </w:p>
    <w:p>
      <w:pPr>
        <w:keepNext/>
        <w:spacing w:after="160" w:line="276" w:lineRule="auto" w:before="340"/>
        <w:ind w:left="0"/>
        <w:jc w:val="left"/>
        <w:pBdr>
          <w:bottom w:val="single" w:sz="6" w:space="4" w:color="1F3864"/>
        </w:pBdr>
      </w:pPr>
      <w:r>
        <w:rPr>
          <w:rFonts w:ascii="Times New Roman" w:hAnsi="Times New Roman" w:eastAsia="Times New Roman"/>
          <w:b/>
          <w:i w:val="0"/>
          <w:color w:val="1F3864"/>
          <w:sz w:val="28"/>
        </w:rPr>
        <w:t>11. Reivindicações</w:t>
      </w:r>
    </w:p>
    <w:p>
      <w:pPr>
        <w:spacing w:after="200" w:line="288" w:lineRule="auto" w:before="160"/>
        <w:ind w:left="340"/>
        <w:jc w:val="both"/>
        <w:pBdr>
          <w:left w:val="single" w:sz="12" w:space="10" w:color="BFA36A"/>
        </w:pBdr>
      </w:pPr>
      <w:r>
        <w:rPr>
          <w:rFonts w:ascii="Times New Roman" w:hAnsi="Times New Roman" w:eastAsia="Times New Roman"/>
          <w:b w:val="0"/>
          <w:i/>
          <w:color w:val="3A3A3A"/>
          <w:sz w:val="20"/>
        </w:rPr>
        <w:t>Estrutura do conjunto: a reivindicação 1 é a independente principal, de sistema; a reivindicação 20 é a independente de método; a reivindicação 29 é a independente de produto de programa de computador; a reivindicação 34 é uma reivindicação de utilização. As reivindicações 2 a 19 e 30 a 33 são dependentes de sistema e as reivindicações 21 a 28 são dependentes de método. Sugere-se ao mandatário considerar a apresentação das reivindicações 5, 8, 11 e 14 também em forma independente, em pedido divisionário, caso o exame venha a objectar unidade de invenção, dado que cada uma delas resolve um subproblema técnico autonomamente identificado na descrição.</w:t>
      </w:r>
    </w:p>
    <w:p>
      <w:pPr>
        <w:keepNext/>
        <w:spacing w:after="120" w:line="317" w:lineRule="auto" w:before="240"/>
        <w:ind w:left="0"/>
        <w:jc w:val="both"/>
      </w:pPr>
      <w:r>
        <w:rPr>
          <w:rFonts w:ascii="Times New Roman" w:hAnsi="Times New Roman" w:eastAsia="Times New Roman"/>
          <w:b/>
          <w:i w:val="0"/>
          <w:color w:val="1F3864"/>
          <w:sz w:val="22"/>
        </w:rPr>
        <w:t xml:space="preserve">1. </w:t>
      </w:r>
      <w:r>
        <w:rPr>
          <w:rFonts w:ascii="Times New Roman" w:hAnsi="Times New Roman" w:eastAsia="Times New Roman"/>
          <w:b w:val="0"/>
          <w:i w:val="0"/>
          <w:sz w:val="22"/>
        </w:rPr>
        <w:t>Sistema (100) de remediação autónoma verificada de infraestrutura de tecnologias de informação, compreendendo pelo menos uma unidade de processamento, memória e armazenamento não volátil, e compreendendo:</w:t>
      </w:r>
    </w:p>
    <w:p>
      <w:pPr>
        <w:spacing w:after="100" w:line="317" w:lineRule="auto"/>
        <w:ind w:left="520"/>
        <w:jc w:val="both"/>
      </w:pPr>
      <w:r>
        <w:rPr>
          <w:rFonts w:ascii="Times New Roman" w:hAnsi="Times New Roman" w:eastAsia="Times New Roman"/>
          <w:b w:val="0"/>
          <w:i w:val="0"/>
          <w:sz w:val="22"/>
        </w:rPr>
        <w:t>a) uma camada de aquisição (110) configurada para interrogar periodicamente, com cadência configurável por alvo de recolha, uma pluralidade de plataformas de monitorização de terceiros (10a, 10b, 10c), fazendo-o por invocação de ferramentas expostas por uma camada de integração autenticada (250) que detém e renova as credenciais de cada plataforma, sem que a dita camada de aquisição detenha credenciais das ditas plataformas, compreendendo a camada de aquisição uma pluralidade de adaptadores (112), um por plataforma, configurados para interpretar a resposta recebida e produzir amostras num formato canónico único (114) que compreende identificador de entidade, natureza de entidade, chave de métrica normalizada, valor, unidade, marca temporal, identificador de fonte e dimensões livres, e sendo as ditas amostras persistidas num repositório de séries temporais (116);</w:t>
      </w:r>
    </w:p>
    <w:p>
      <w:pPr>
        <w:spacing w:after="100" w:line="317" w:lineRule="auto"/>
        <w:ind w:left="520"/>
        <w:jc w:val="both"/>
      </w:pPr>
      <w:r>
        <w:rPr>
          <w:rFonts w:ascii="Times New Roman" w:hAnsi="Times New Roman" w:eastAsia="Times New Roman"/>
          <w:b w:val="0"/>
          <w:i w:val="0"/>
          <w:sz w:val="22"/>
        </w:rPr>
        <w:t>b) um motor de caracterização sazonal (122) configurado para manter, por série identificada pelo par entidade e chave de métrica e por intervalo sazonal definido pelo par hora-do-dia e dia-da-semana, agregados estatísticos compreendendo média, desvio-padrão e contagem de amostras, e para gravar periodicamente os ditos agregados, e não as amostras individuais, no dito armazenamento não volátil, recarregando-os no arranque do processo;</w:t>
      </w:r>
    </w:p>
    <w:p>
      <w:pPr>
        <w:spacing w:after="100" w:line="317" w:lineRule="auto"/>
        <w:ind w:left="520"/>
        <w:jc w:val="both"/>
      </w:pPr>
      <w:r>
        <w:rPr>
          <w:rFonts w:ascii="Times New Roman" w:hAnsi="Times New Roman" w:eastAsia="Times New Roman"/>
          <w:b w:val="0"/>
          <w:i w:val="0"/>
          <w:sz w:val="22"/>
        </w:rPr>
        <w:t>c) um agregador (130) configurado para agrupar alertas resultantes de desvio face aos ditos agregados num problema com ciclo de vida próprio;</w:t>
      </w:r>
    </w:p>
    <w:p>
      <w:pPr>
        <w:spacing w:after="100" w:line="317" w:lineRule="auto"/>
        <w:ind w:left="520"/>
        <w:jc w:val="both"/>
      </w:pPr>
      <w:r>
        <w:rPr>
          <w:rFonts w:ascii="Times New Roman" w:hAnsi="Times New Roman" w:eastAsia="Times New Roman"/>
          <w:b w:val="0"/>
          <w:i w:val="0"/>
          <w:sz w:val="22"/>
        </w:rPr>
        <w:t>d) um catálogo (150) de registos de procedimento de correcção versionados, compreendendo cada registo uma assinatura de correspondência determinística (152), um grafo de execução (154) constituído por nós de um vocabulário predefinido e por arestas de dependência, uma classe de risco atribuída por autor humano, uma delimitação de raio de impacto, um plano de verificação (156) e um estado de ciclo de vida, sendo o modelo de dados do dito catálogo configurado para impedir a transição de um registo para o estado aprovado na ausência de plano de verificação (156) não vazio;</w:t>
      </w:r>
    </w:p>
    <w:p>
      <w:pPr>
        <w:spacing w:after="100" w:line="317" w:lineRule="auto"/>
        <w:ind w:left="520"/>
        <w:jc w:val="both"/>
      </w:pPr>
      <w:r>
        <w:rPr>
          <w:rFonts w:ascii="Times New Roman" w:hAnsi="Times New Roman" w:eastAsia="Times New Roman"/>
          <w:b w:val="0"/>
          <w:i w:val="0"/>
          <w:sz w:val="22"/>
        </w:rPr>
        <w:t>e) um despachante de eventos (140) configurado para submeter cada problema emitido pelo dito agregador (130) a um planeador (160);</w:t>
      </w:r>
    </w:p>
    <w:p>
      <w:pPr>
        <w:spacing w:after="100" w:line="317" w:lineRule="auto"/>
        <w:ind w:left="520"/>
        <w:jc w:val="both"/>
      </w:pPr>
      <w:r>
        <w:rPr>
          <w:rFonts w:ascii="Times New Roman" w:hAnsi="Times New Roman" w:eastAsia="Times New Roman"/>
          <w:b w:val="0"/>
          <w:i w:val="0"/>
          <w:sz w:val="22"/>
        </w:rPr>
        <w:t>f) o dito planeador (160), configurado para calcular uma assinatura de gatilho a partir do conjunto de tipos de alerta, da natureza da entidade, da chave de métrica e de atributos da entidade, e para seleccionar, por comparação determinística e sem invocação de modelo de linguagem, um registo de procedimento em estado aprovado cuja assinatura de correspondência (152) corresponda à dita assinatura de gatilho, produzindo uma candidatura de remediação;</w:t>
      </w:r>
    </w:p>
    <w:p>
      <w:pPr>
        <w:spacing w:after="100" w:line="317" w:lineRule="auto"/>
        <w:ind w:left="520"/>
        <w:jc w:val="both"/>
      </w:pPr>
      <w:r>
        <w:rPr>
          <w:rFonts w:ascii="Times New Roman" w:hAnsi="Times New Roman" w:eastAsia="Times New Roman"/>
          <w:b w:val="0"/>
          <w:i w:val="0"/>
          <w:sz w:val="22"/>
        </w:rPr>
        <w:t>g) um motor de política de autonomia (170) configurado para determinar, para cada candidatura, um modo efectivo seleccionado entre observação, semi-autónomo e autónomo, por resolução de políticas (172) definidas em âmbitos de especificidade crescente compreendendo âmbito global, âmbito de categoria de entidade, âmbito de entidade individual e âmbito de procedimento individual;</w:t>
      </w:r>
    </w:p>
    <w:p>
      <w:pPr>
        <w:spacing w:after="100" w:line="317" w:lineRule="auto"/>
        <w:ind w:left="520"/>
        <w:jc w:val="both"/>
      </w:pPr>
      <w:r>
        <w:rPr>
          <w:rFonts w:ascii="Times New Roman" w:hAnsi="Times New Roman" w:eastAsia="Times New Roman"/>
          <w:b w:val="0"/>
          <w:i w:val="0"/>
          <w:sz w:val="22"/>
        </w:rPr>
        <w:t>h) um executor de ciclo fechado (190) configurado para, mediante autorização do dito motor de política (170) e, quando o modo efectivo seja semi-autónomo, mediante aprovação humana registada com identidade do decisor, avaliar pré-condições sobre a entidade concreta, executar o dito grafo de execução (154) através de uma camada de execução (200) que actua sobre a entidade alvo sem agente de software residente do dito sistema, aguardar um período de estabilização declarado no dito plano de verificação (156), e invocar um verificador (192); e</w:t>
      </w:r>
    </w:p>
    <w:p>
      <w:pPr>
        <w:spacing w:after="100" w:line="317" w:lineRule="auto"/>
        <w:ind w:left="520"/>
        <w:jc w:val="both"/>
      </w:pPr>
      <w:r>
        <w:rPr>
          <w:rFonts w:ascii="Times New Roman" w:hAnsi="Times New Roman" w:eastAsia="Times New Roman"/>
          <w:b w:val="0"/>
          <w:i w:val="0"/>
          <w:sz w:val="22"/>
        </w:rPr>
        <w:t>i) um registo de auditoria (196) configurado para conservar, por execução, o procedimento e a sua versão, a natureza e a referência do gatilho, a entidade, o modo efectivo, as medições anteriores e posteriores à execução, o resultado de cada nó do grafo e o estado terminal;</w:t>
      </w:r>
    </w:p>
    <w:p>
      <w:pPr>
        <w:spacing w:after="140" w:line="317" w:lineRule="auto"/>
        <w:ind w:left="260"/>
        <w:jc w:val="left"/>
      </w:pPr>
      <w:r>
        <w:rPr>
          <w:rFonts w:ascii="Times New Roman" w:hAnsi="Times New Roman" w:eastAsia="Times New Roman"/>
          <w:b/>
          <w:i w:val="0"/>
          <w:sz w:val="22"/>
        </w:rPr>
        <w:t>caracterizado por:</w:t>
      </w:r>
    </w:p>
    <w:p>
      <w:pPr>
        <w:spacing w:after="100" w:line="317" w:lineRule="auto"/>
        <w:ind w:left="520"/>
        <w:jc w:val="both"/>
      </w:pPr>
      <w:r>
        <w:rPr>
          <w:rFonts w:ascii="Times New Roman" w:hAnsi="Times New Roman" w:eastAsia="Times New Roman"/>
          <w:b w:val="0"/>
          <w:i w:val="0"/>
          <w:sz w:val="22"/>
        </w:rPr>
        <w:t>j) o dito motor de política (170) determinar o dito modo efectivo por aplicação, sobre uma ordem total de permissividade em que a observação é o elemento mínimo e o modo autónomo o elemento máximo, de uma operação de conjunção restritiva monótona não crescente na dita ordem, designadamente a operação de mínimo, entre o modo da política aplicável de maior especificidade e o modo de um tecto global, de tal modo que nenhuma política de âmbito mais específico possa conceder autonomia superior à concedida pelo dito tecto global, e por o dito motor de política desconsiderar qualquer indicação de auto-execução ou de classe de risco produzida por modelo de linguagem;</w:t>
      </w:r>
    </w:p>
    <w:p>
      <w:pPr>
        <w:spacing w:after="100" w:line="317" w:lineRule="auto"/>
        <w:ind w:left="520"/>
        <w:jc w:val="both"/>
      </w:pPr>
      <w:r>
        <w:rPr>
          <w:rFonts w:ascii="Times New Roman" w:hAnsi="Times New Roman" w:eastAsia="Times New Roman"/>
          <w:b w:val="0"/>
          <w:i w:val="0"/>
          <w:sz w:val="22"/>
        </w:rPr>
        <w:t>k) o dito verificador (192) reavaliar a mesma série métrica canónica que originou a detecção, identificada pela mesma chave de métrica normalizada e pela mesma entidade e obtida pelo mesmo caminho de aquisição da dita camada de aquisição (110), e não uma leitura obtida por outro meio no momento da verificação; e</w:t>
      </w:r>
    </w:p>
    <w:p>
      <w:pPr>
        <w:spacing w:after="100" w:line="317" w:lineRule="auto"/>
        <w:ind w:left="520"/>
        <w:jc w:val="both"/>
      </w:pPr>
      <w:r>
        <w:rPr>
          <w:rFonts w:ascii="Times New Roman" w:hAnsi="Times New Roman" w:eastAsia="Times New Roman"/>
          <w:b w:val="0"/>
          <w:i w:val="0"/>
          <w:sz w:val="22"/>
        </w:rPr>
        <w:t>l) o dito executor (190) classificar o resultado da reavaliação numa de quatro categorias mutuamente exclusivas, compreendendo remediação, ineficácia, agravamento e não verificabilidade, e atribuir ao ciclo um único estado terminal seleccionado de um conjunto de estados mutuamente exclusivos que compreende remediado, ineficaz, revertido, escalado, abortado e não verificável, sendo o estado revertido atribuível apenas quando o registo de procedimento comporte plano de reversão (158), sendo a categoria de não verificabilidade atribuída quando a dita série métrica canónica não seja recebida no dito período de estabilização acrescido de uma tolerância ou quando a plataforma de origem não responda, e sendo esta categoria tratada como resultado desconhecido, distinto da remediação e não conducente ao encerramento do problema de origem.</w:t>
      </w:r>
    </w:p>
    <w:p>
      <w:pPr>
        <w:keepNext/>
        <w:spacing w:after="120" w:line="317" w:lineRule="auto" w:before="240"/>
        <w:ind w:left="0"/>
        <w:jc w:val="both"/>
      </w:pPr>
      <w:r>
        <w:rPr>
          <w:rFonts w:ascii="Times New Roman" w:hAnsi="Times New Roman" w:eastAsia="Times New Roman"/>
          <w:b/>
          <w:i w:val="0"/>
          <w:color w:val="1F3864"/>
          <w:sz w:val="22"/>
        </w:rPr>
        <w:t xml:space="preserve">2. </w:t>
      </w:r>
      <w:r>
        <w:rPr>
          <w:rFonts w:ascii="Times New Roman" w:hAnsi="Times New Roman" w:eastAsia="Times New Roman"/>
          <w:b w:val="0"/>
          <w:i w:val="0"/>
          <w:sz w:val="22"/>
        </w:rPr>
        <w:t>Sistema de acordo com a reivindicação 1, caracterizado por o modelo de linguagem ser invocado, em tempo de autoria, para produzir a partir de uma descrição em linguagem natural um registo de procedimento de correcção em estado de rascunho, e por nenhuma invocação de modelo de linguagem produzir código executado sobre uma entidade alvo durante o ciclo de remediação, sendo a selecção do registo de procedimento e a execução do respectivo grafo integralmente determinísticas.</w:t>
      </w:r>
    </w:p>
    <w:p>
      <w:pPr>
        <w:keepNext/>
        <w:spacing w:after="120" w:line="317" w:lineRule="auto" w:before="240"/>
        <w:ind w:left="0"/>
        <w:jc w:val="both"/>
      </w:pPr>
      <w:r>
        <w:rPr>
          <w:rFonts w:ascii="Times New Roman" w:hAnsi="Times New Roman" w:eastAsia="Times New Roman"/>
          <w:b/>
          <w:i w:val="0"/>
          <w:color w:val="1F3864"/>
          <w:sz w:val="22"/>
        </w:rPr>
        <w:t xml:space="preserve">3. </w:t>
      </w:r>
      <w:r>
        <w:rPr>
          <w:rFonts w:ascii="Times New Roman" w:hAnsi="Times New Roman" w:eastAsia="Times New Roman"/>
          <w:b w:val="0"/>
          <w:i w:val="0"/>
          <w:sz w:val="22"/>
        </w:rPr>
        <w:t>Sistema de acordo com a reivindicação 2, caracterizado por o dito planeador (160), na ausência de correspondência entre a assinatura de gatilho e qualquer registo em estado aprovado, invocar o modelo de linguagem para propor um novo registo de procedimento de correcção, gravar o dito registo em estado de rascunho e encaminhá-lo para um ciclo de autoria compreendendo revisão estática, ensaio em modo de leitura e aprovação humana, não sendo o dito registo executável enquanto não transitar para o estado aprovado.</w:t>
      </w:r>
    </w:p>
    <w:p>
      <w:pPr>
        <w:keepNext/>
        <w:spacing w:after="120" w:line="317" w:lineRule="auto" w:before="240"/>
        <w:ind w:left="0"/>
        <w:jc w:val="both"/>
      </w:pPr>
      <w:r>
        <w:rPr>
          <w:rFonts w:ascii="Times New Roman" w:hAnsi="Times New Roman" w:eastAsia="Times New Roman"/>
          <w:b/>
          <w:i w:val="0"/>
          <w:color w:val="1F3864"/>
          <w:sz w:val="22"/>
        </w:rPr>
        <w:t xml:space="preserve">4. </w:t>
      </w:r>
      <w:r>
        <w:rPr>
          <w:rFonts w:ascii="Times New Roman" w:hAnsi="Times New Roman" w:eastAsia="Times New Roman"/>
          <w:b w:val="0"/>
          <w:i w:val="0"/>
          <w:sz w:val="22"/>
        </w:rPr>
        <w:t>Sistema de acordo com qualquer das reivindicações anteriores, caracterizado por o dito plano de verificação (156) compreender um período de estabilização expresso em unidades de tempo, um conjunto de asserções em que cada asserção refere uma chave de métrica canónica e uma relação com um valor de referência ou uma verificação de estado de um recurso do sistema, e uma acção a executar em caso de incumprimento, seleccionada entre reverter, escalar e nenhuma.</w:t>
      </w:r>
    </w:p>
    <w:p>
      <w:pPr>
        <w:keepNext/>
        <w:spacing w:after="120" w:line="317" w:lineRule="auto" w:before="240"/>
        <w:ind w:left="0"/>
        <w:jc w:val="both"/>
      </w:pPr>
      <w:r>
        <w:rPr>
          <w:rFonts w:ascii="Times New Roman" w:hAnsi="Times New Roman" w:eastAsia="Times New Roman"/>
          <w:b/>
          <w:i w:val="0"/>
          <w:color w:val="1F3864"/>
          <w:sz w:val="22"/>
        </w:rPr>
        <w:t xml:space="preserve">5. </w:t>
      </w:r>
      <w:r>
        <w:rPr>
          <w:rFonts w:ascii="Times New Roman" w:hAnsi="Times New Roman" w:eastAsia="Times New Roman"/>
          <w:b w:val="0"/>
          <w:i w:val="0"/>
          <w:sz w:val="22"/>
        </w:rPr>
        <w:t>Sistema de acordo com qualquer das reivindicações anteriores, caracterizado por compreender adicionalmente um motor de previsão (126) configurado para operar sobre janelas de observação de semanas do dito repositório de séries temporais (116) e para detectar deriva sustentada do próprio perfil sazonal, por comparação dos agregados sazonais correntes do dito motor de caracterização (122) com agregados sazonais homólogos de período anterior, e por emitir um objecto de previsão de risco (132) estruturalmente distinto do alerta instantâneo e do dito problema agregado, compreendendo o dito objecto a entidade, a chave de métrica, o valor corrente, um limiar, um tempo estimado até à violação do dito limiar, um grau de confiança, uma designação de método e evidência estatística compreendendo inclinação estimada, medida de qualidade de ajuste e dimensão da janela utilizada.</w:t>
      </w:r>
    </w:p>
    <w:p>
      <w:pPr>
        <w:keepNext/>
        <w:spacing w:after="120" w:line="317" w:lineRule="auto" w:before="240"/>
        <w:ind w:left="0"/>
        <w:jc w:val="both"/>
      </w:pPr>
      <w:r>
        <w:rPr>
          <w:rFonts w:ascii="Times New Roman" w:hAnsi="Times New Roman" w:eastAsia="Times New Roman"/>
          <w:b/>
          <w:i w:val="0"/>
          <w:color w:val="1F3864"/>
          <w:sz w:val="22"/>
        </w:rPr>
        <w:t xml:space="preserve">6. </w:t>
      </w:r>
      <w:r>
        <w:rPr>
          <w:rFonts w:ascii="Times New Roman" w:hAnsi="Times New Roman" w:eastAsia="Times New Roman"/>
          <w:b w:val="0"/>
          <w:i w:val="0"/>
          <w:sz w:val="22"/>
        </w:rPr>
        <w:t>Sistema de acordo com a reivindicação 5, caracterizado por o dito despachante de eventos (140) submeter ao dito planeador (160), como gatilhos admissíveis e alternativos, tanto problemas agregados emitidos pelo dito agregador (130) como objectos de previsão de risco (132) emitidos pelo dito motor de previsão (126), sendo a natureza do gatilho conservada no dito registo de auditoria (196).</w:t>
      </w:r>
    </w:p>
    <w:p>
      <w:pPr>
        <w:keepNext/>
        <w:spacing w:after="120" w:line="317" w:lineRule="auto" w:before="240"/>
        <w:ind w:left="0"/>
        <w:jc w:val="both"/>
      </w:pPr>
      <w:r>
        <w:rPr>
          <w:rFonts w:ascii="Times New Roman" w:hAnsi="Times New Roman" w:eastAsia="Times New Roman"/>
          <w:b/>
          <w:i w:val="0"/>
          <w:color w:val="1F3864"/>
          <w:sz w:val="22"/>
        </w:rPr>
        <w:t xml:space="preserve">7. </w:t>
      </w:r>
      <w:r>
        <w:rPr>
          <w:rFonts w:ascii="Times New Roman" w:hAnsi="Times New Roman" w:eastAsia="Times New Roman"/>
          <w:b w:val="0"/>
          <w:i w:val="0"/>
          <w:sz w:val="22"/>
        </w:rPr>
        <w:t>Sistema de acordo com a reivindicação 5 ou 6, caracterizado por o dito motor de política (170) condicionar a execução autónoma desencadeada por objecto de previsão de risco (132) a um valor mínimo do dito grau de confiança, e por agendar a dita execução para uma janela de manutenção declarada na política aplicável quando o dito tempo estimado até à violação do limiar exceda o intervalo até ao início da dita janela.</w:t>
      </w:r>
    </w:p>
    <w:p>
      <w:pPr>
        <w:keepNext/>
        <w:spacing w:after="120" w:line="317" w:lineRule="auto" w:before="240"/>
        <w:ind w:left="0"/>
        <w:jc w:val="both"/>
      </w:pPr>
      <w:r>
        <w:rPr>
          <w:rFonts w:ascii="Times New Roman" w:hAnsi="Times New Roman" w:eastAsia="Times New Roman"/>
          <w:b/>
          <w:i w:val="0"/>
          <w:color w:val="1F3864"/>
          <w:sz w:val="22"/>
        </w:rPr>
        <w:t xml:space="preserve">8. </w:t>
      </w:r>
      <w:r>
        <w:rPr>
          <w:rFonts w:ascii="Times New Roman" w:hAnsi="Times New Roman" w:eastAsia="Times New Roman"/>
          <w:b w:val="0"/>
          <w:i w:val="0"/>
          <w:sz w:val="22"/>
        </w:rPr>
        <w:t>Sistema de acordo com qualquer das reivindicações anteriores, caracterizado por compreender adicionalmente um módulo de contenção (194) configurado para interditar a progressão em modo autónomo mediante uma aferição de sanidade de fonte que compara, por plataforma de monitorização de origem, a idade da amostra mais recente com a cadência declarada do alvo de recolha, a dispersão das amostras recentes com a dispersão histórica da série, e a proporção de entidades da mesma plataforma em desvio simultâneo com um limiar de plausibilidade, interditando a dita progressão quando qualquer destas comparações seja reprovada, de modo que a indisponibilidade de uma plataforma de monitorização de terceiros não origine remediação de uma pluralidade de entidades.</w:t>
      </w:r>
    </w:p>
    <w:p>
      <w:pPr>
        <w:keepNext/>
        <w:spacing w:after="120" w:line="317" w:lineRule="auto" w:before="240"/>
        <w:ind w:left="0"/>
        <w:jc w:val="both"/>
      </w:pPr>
      <w:r>
        <w:rPr>
          <w:rFonts w:ascii="Times New Roman" w:hAnsi="Times New Roman" w:eastAsia="Times New Roman"/>
          <w:b/>
          <w:i w:val="0"/>
          <w:color w:val="1F3864"/>
          <w:sz w:val="22"/>
        </w:rPr>
        <w:t xml:space="preserve">9. </w:t>
      </w:r>
      <w:r>
        <w:rPr>
          <w:rFonts w:ascii="Times New Roman" w:hAnsi="Times New Roman" w:eastAsia="Times New Roman"/>
          <w:b w:val="0"/>
          <w:i w:val="0"/>
          <w:sz w:val="22"/>
        </w:rPr>
        <w:t>Sistema de acordo com a reivindicação 8, caracterizado por o dito módulo de contenção (194) implementar adicionalmente: um interruptor de corte por procedimento accionado por um número declarado de desfechos não favoráveis consecutivos, que faz transitar o registo do procedimento para estado suspenso; um interruptor de corte por entidade que limita o número de execuções por unidade de tempo sobre a mesma entidade; um interruptor geral armazenado em configuração e de efeito imediato sem reimplantação de software; e uma supressão de repetição que, perante a mesma assinatura de gatilho sobre a mesma entidade em intervalo de arrefecimento, faz transitar o ciclo para o estado terminal escalado em vez de repetir a execução.</w:t>
      </w:r>
    </w:p>
    <w:p>
      <w:pPr>
        <w:keepNext/>
        <w:spacing w:after="120" w:line="317" w:lineRule="auto" w:before="240"/>
        <w:ind w:left="0"/>
        <w:jc w:val="both"/>
      </w:pPr>
      <w:r>
        <w:rPr>
          <w:rFonts w:ascii="Times New Roman" w:hAnsi="Times New Roman" w:eastAsia="Times New Roman"/>
          <w:b/>
          <w:i w:val="0"/>
          <w:color w:val="1F3864"/>
          <w:sz w:val="22"/>
        </w:rPr>
        <w:t xml:space="preserve">10. </w:t>
      </w:r>
      <w:r>
        <w:rPr>
          <w:rFonts w:ascii="Times New Roman" w:hAnsi="Times New Roman" w:eastAsia="Times New Roman"/>
          <w:b w:val="0"/>
          <w:i w:val="0"/>
          <w:sz w:val="22"/>
        </w:rPr>
        <w:t>Sistema de acordo com qualquer das reivindicações anteriores, caracterizado por o dito motor de política (170) exigir aprovação humana, independentemente do modo efectivo determinado e mesmo em modo autónomo, sempre que o número de entidades sobre as quais a candidatura incidiria exceda a dita delimitação de raio de impacto declarada no registo de procedimento.</w:t>
      </w:r>
    </w:p>
    <w:p>
      <w:pPr>
        <w:keepNext/>
        <w:spacing w:after="120" w:line="317" w:lineRule="auto" w:before="240"/>
        <w:ind w:left="0"/>
        <w:jc w:val="both"/>
      </w:pPr>
      <w:r>
        <w:rPr>
          <w:rFonts w:ascii="Times New Roman" w:hAnsi="Times New Roman" w:eastAsia="Times New Roman"/>
          <w:b/>
          <w:i w:val="0"/>
          <w:color w:val="1F3864"/>
          <w:sz w:val="22"/>
        </w:rPr>
        <w:t xml:space="preserve">11. </w:t>
      </w:r>
      <w:r>
        <w:rPr>
          <w:rFonts w:ascii="Times New Roman" w:hAnsi="Times New Roman" w:eastAsia="Times New Roman"/>
          <w:b w:val="0"/>
          <w:i w:val="0"/>
          <w:sz w:val="22"/>
        </w:rPr>
        <w:t>Sistema de acordo com qualquer das reivindicações anteriores, caracterizado por compreender uma porta de aprovação unificada (180) dotada de um registo durável (182) em armazenamento transaccional persistente, no qual cada pedido pendente compreende um identificador, um segredo de utilização única, a natureza do pedido, o conteúdo submetido a decisão, o canal de origem, o requerente, o conjunto de aprovadores admissíveis expresso por referência a grupos de um serviço de directório, a identidade do decisor resolvida contra o dito serviço de directório, a decisão, o instante da decisão, o instante de expiração e uma acção por omissão à expiração seleccionada entre negar e escalar, sendo o dito registo durável a fonte de verdade para efeitos de auditoria e sendo um armazenamento em memória de acesso rápido utilizado apenas para validação do dito segredo.</w:t>
      </w:r>
    </w:p>
    <w:p>
      <w:pPr>
        <w:keepNext/>
        <w:spacing w:after="120" w:line="317" w:lineRule="auto" w:before="240"/>
        <w:ind w:left="0"/>
        <w:jc w:val="both"/>
      </w:pPr>
      <w:r>
        <w:rPr>
          <w:rFonts w:ascii="Times New Roman" w:hAnsi="Times New Roman" w:eastAsia="Times New Roman"/>
          <w:b/>
          <w:i w:val="0"/>
          <w:color w:val="1F3864"/>
          <w:sz w:val="22"/>
        </w:rPr>
        <w:t xml:space="preserve">12. </w:t>
      </w:r>
      <w:r>
        <w:rPr>
          <w:rFonts w:ascii="Times New Roman" w:hAnsi="Times New Roman" w:eastAsia="Times New Roman"/>
          <w:b w:val="0"/>
          <w:i w:val="0"/>
          <w:sz w:val="22"/>
        </w:rPr>
        <w:t>Sistema de acordo com qualquer das reivindicações anteriores, caracterizado por o dito vocabulário predefinido de nós do grafo de execução (154) compreender um subconjunto de nós de remediação, inseridos no grafo em tempo de autoria por revisor humano e não produzidos pelo compilador de linguagem natural, compreendendo o dito subconjunto: um nó de espera, que suspende a progressão pelo período de estabilização declarado; um nó de asserção de métrica, que avalia uma condição sobre uma série métrica canónica do dito repositório (116) e cujo resultado condiciona a progressão; e um nó de captura de estado, que registra, antes da execução de qualquer nó de efeito de escrita, o estado a repor em caso de reversão.</w:t>
      </w:r>
    </w:p>
    <w:p>
      <w:pPr>
        <w:keepNext/>
        <w:spacing w:after="120" w:line="317" w:lineRule="auto" w:before="240"/>
        <w:ind w:left="0"/>
        <w:jc w:val="both"/>
      </w:pPr>
      <w:r>
        <w:rPr>
          <w:rFonts w:ascii="Times New Roman" w:hAnsi="Times New Roman" w:eastAsia="Times New Roman"/>
          <w:b/>
          <w:i w:val="0"/>
          <w:color w:val="1F3864"/>
          <w:sz w:val="22"/>
        </w:rPr>
        <w:t xml:space="preserve">13. </w:t>
      </w:r>
      <w:r>
        <w:rPr>
          <w:rFonts w:ascii="Times New Roman" w:hAnsi="Times New Roman" w:eastAsia="Times New Roman"/>
          <w:b w:val="0"/>
          <w:i w:val="0"/>
          <w:sz w:val="22"/>
        </w:rPr>
        <w:t>Sistema de acordo com a reivindicação 12, caracterizado por cada registo de procedimento compreender adicionalmente um plano de reversão (158) constituído por um segundo grafo do dito vocabulário, destinado a repor o estado registado pelo dito nó de captura de estado, sendo o dito plano de reversão dotado de plano de verificação próprio e conduzindo o incumprimento deste ao estado terminal escalado sem nova tentativa automática de reversão.</w:t>
      </w:r>
    </w:p>
    <w:p>
      <w:pPr>
        <w:keepNext/>
        <w:spacing w:after="120" w:line="317" w:lineRule="auto" w:before="240"/>
        <w:ind w:left="0"/>
        <w:jc w:val="both"/>
      </w:pPr>
      <w:r>
        <w:rPr>
          <w:rFonts w:ascii="Times New Roman" w:hAnsi="Times New Roman" w:eastAsia="Times New Roman"/>
          <w:b/>
          <w:i w:val="0"/>
          <w:color w:val="1F3864"/>
          <w:sz w:val="22"/>
        </w:rPr>
        <w:t xml:space="preserve">14. </w:t>
      </w:r>
      <w:r>
        <w:rPr>
          <w:rFonts w:ascii="Times New Roman" w:hAnsi="Times New Roman" w:eastAsia="Times New Roman"/>
          <w:b w:val="0"/>
          <w:i w:val="0"/>
          <w:sz w:val="22"/>
        </w:rPr>
        <w:t>Sistema de acordo com qualquer das reivindicações anteriores, caracterizado por a dita camada de execução (200) actuar sobre entidades alvo desprovidas de agente de software residente do dito sistema, estabelecendo sessão administrativa sobre protocolo de gestão remota com perfis de autenticação distintos por classe de entidade, e compreendendo um regulador de concorrência com fila de prioridades e limitadores em cascata de âmbito global, por credencial, por entidade alvo e por operador.</w:t>
      </w:r>
    </w:p>
    <w:p>
      <w:pPr>
        <w:keepNext/>
        <w:spacing w:after="120" w:line="317" w:lineRule="auto" w:before="240"/>
        <w:ind w:left="0"/>
        <w:jc w:val="both"/>
      </w:pPr>
      <w:r>
        <w:rPr>
          <w:rFonts w:ascii="Times New Roman" w:hAnsi="Times New Roman" w:eastAsia="Times New Roman"/>
          <w:b/>
          <w:i w:val="0"/>
          <w:color w:val="1F3864"/>
          <w:sz w:val="22"/>
        </w:rPr>
        <w:t xml:space="preserve">15. </w:t>
      </w:r>
      <w:r>
        <w:rPr>
          <w:rFonts w:ascii="Times New Roman" w:hAnsi="Times New Roman" w:eastAsia="Times New Roman"/>
          <w:b w:val="0"/>
          <w:i w:val="0"/>
          <w:sz w:val="22"/>
        </w:rPr>
        <w:t>Sistema de acordo com a reivindicação 14, caracterizado por a dita camada de execução (200) compreender um vigilante configurado para, em caso de expiração do prazo local de espera de resultado, estabelecer sessão independente com a entidade alvo a fim de averiguar se o artefacto de resultado foi produzido na dita entidade, não presumindo a falha da execução por ausência de resposta no canal original.</w:t>
      </w:r>
    </w:p>
    <w:p>
      <w:pPr>
        <w:keepNext/>
        <w:spacing w:after="120" w:line="317" w:lineRule="auto" w:before="240"/>
        <w:ind w:left="0"/>
        <w:jc w:val="both"/>
      </w:pPr>
      <w:r>
        <w:rPr>
          <w:rFonts w:ascii="Times New Roman" w:hAnsi="Times New Roman" w:eastAsia="Times New Roman"/>
          <w:b/>
          <w:i w:val="0"/>
          <w:color w:val="1F3864"/>
          <w:sz w:val="22"/>
        </w:rPr>
        <w:t xml:space="preserve">16. </w:t>
      </w:r>
      <w:r>
        <w:rPr>
          <w:rFonts w:ascii="Times New Roman" w:hAnsi="Times New Roman" w:eastAsia="Times New Roman"/>
          <w:b w:val="0"/>
          <w:i w:val="0"/>
          <w:sz w:val="22"/>
        </w:rPr>
        <w:t>Sistema de acordo com qualquer das reivindicações anteriores, caracterizado por o modo de observação do dito motor de política (170) determinar a avaliação integral da cadeia compreendendo cálculo de assinatura de gatilho, selecção de registo de procedimento e avaliação de pré-condições em modo de leitura, e o registo no dito registo de auditoria (196) da intervenção que teria sido executada, sem execução de qualquer nó de efeito de escrita, constituindo o dito modo de observação o modo por omissão no arranque do sistema.</w:t>
      </w:r>
    </w:p>
    <w:p>
      <w:pPr>
        <w:keepNext/>
        <w:spacing w:after="120" w:line="317" w:lineRule="auto" w:before="240"/>
        <w:ind w:left="0"/>
        <w:jc w:val="both"/>
      </w:pPr>
      <w:r>
        <w:rPr>
          <w:rFonts w:ascii="Times New Roman" w:hAnsi="Times New Roman" w:eastAsia="Times New Roman"/>
          <w:b/>
          <w:i w:val="0"/>
          <w:color w:val="1F3864"/>
          <w:sz w:val="22"/>
        </w:rPr>
        <w:t xml:space="preserve">17. </w:t>
      </w:r>
      <w:r>
        <w:rPr>
          <w:rFonts w:ascii="Times New Roman" w:hAnsi="Times New Roman" w:eastAsia="Times New Roman"/>
          <w:b w:val="0"/>
          <w:i w:val="0"/>
          <w:sz w:val="22"/>
        </w:rPr>
        <w:t>Sistema de acordo com qualquer das reivindicações anteriores, caracterizado por compreender um módulo de aprendizagem (210) configurado para agregar o dito registo de auditoria (196) em indicadores de eficácia por procedimento e por versão, e para emitir propostas de elevação do modo de autonomia aplicável a um procedimento, requerendo as ditas propostas aprovação humana registada para produzir efeito, não sendo admitida elevação automática do modo de autonomia.</w:t>
      </w:r>
    </w:p>
    <w:p>
      <w:pPr>
        <w:keepNext/>
        <w:spacing w:after="120" w:line="317" w:lineRule="auto" w:before="240"/>
        <w:ind w:left="0"/>
        <w:jc w:val="both"/>
      </w:pPr>
      <w:r>
        <w:rPr>
          <w:rFonts w:ascii="Times New Roman" w:hAnsi="Times New Roman" w:eastAsia="Times New Roman"/>
          <w:b/>
          <w:i w:val="0"/>
          <w:color w:val="1F3864"/>
          <w:sz w:val="22"/>
        </w:rPr>
        <w:t xml:space="preserve">18. </w:t>
      </w:r>
      <w:r>
        <w:rPr>
          <w:rFonts w:ascii="Times New Roman" w:hAnsi="Times New Roman" w:eastAsia="Times New Roman"/>
          <w:b w:val="0"/>
          <w:i w:val="0"/>
          <w:sz w:val="22"/>
        </w:rPr>
        <w:t>Sistema de acordo com qualquer das reivindicações anteriores, caracterizado por a dita unicidade dos registos do catálogo (150) ser estabelecida pelo par identificador de procedimento e número de versão, produzindo a alteração de um procedimento em uso um novo registo de versão superior e não a modificação do registo vigente, e por o dito registo de auditoria (196) referenciar simultaneamente o identificador e a versão do procedimento executado.</w:t>
      </w:r>
    </w:p>
    <w:p>
      <w:pPr>
        <w:keepNext/>
        <w:spacing w:after="120" w:line="317" w:lineRule="auto" w:before="240"/>
        <w:ind w:left="0"/>
        <w:jc w:val="both"/>
      </w:pPr>
      <w:r>
        <w:rPr>
          <w:rFonts w:ascii="Times New Roman" w:hAnsi="Times New Roman" w:eastAsia="Times New Roman"/>
          <w:b/>
          <w:i w:val="0"/>
          <w:color w:val="1F3864"/>
          <w:sz w:val="22"/>
        </w:rPr>
        <w:t xml:space="preserve">19. </w:t>
      </w:r>
      <w:r>
        <w:rPr>
          <w:rFonts w:ascii="Times New Roman" w:hAnsi="Times New Roman" w:eastAsia="Times New Roman"/>
          <w:b w:val="0"/>
          <w:i w:val="0"/>
          <w:sz w:val="22"/>
        </w:rPr>
        <w:t>Sistema de acordo com qualquer das reivindicações anteriores, caracterizado por as ditas pré-condições serem avaliadas sobre a entidade concreta sobre a qual a execução incidiria, e não sobre a agregação que originou o gatilho, e por o incumprimento de qualquer pré-condição conduzir ao estado terminal abortado sem execução de qualquer nó de efeito de escrita.</w:t>
      </w:r>
    </w:p>
    <w:p>
      <w:pPr>
        <w:keepNext/>
        <w:spacing w:after="120" w:line="317" w:lineRule="auto" w:before="240"/>
        <w:ind w:left="0"/>
        <w:jc w:val="both"/>
      </w:pPr>
      <w:r>
        <w:rPr>
          <w:rFonts w:ascii="Times New Roman" w:hAnsi="Times New Roman" w:eastAsia="Times New Roman"/>
          <w:b/>
          <w:i w:val="0"/>
          <w:color w:val="1F3864"/>
          <w:sz w:val="22"/>
        </w:rPr>
        <w:t xml:space="preserve">20. </w:t>
      </w:r>
      <w:r>
        <w:rPr>
          <w:rFonts w:ascii="Times New Roman" w:hAnsi="Times New Roman" w:eastAsia="Times New Roman"/>
          <w:b w:val="0"/>
          <w:i w:val="0"/>
          <w:sz w:val="22"/>
        </w:rPr>
        <w:t>Método de remediação autónoma verificada de infraestrutura de tecnologias de informação, executado por um sistema informático, compreendendo as etapas de:</w:t>
      </w:r>
    </w:p>
    <w:p>
      <w:pPr>
        <w:spacing w:after="100" w:line="317" w:lineRule="auto"/>
        <w:ind w:left="520"/>
        <w:jc w:val="both"/>
      </w:pPr>
      <w:r>
        <w:rPr>
          <w:rFonts w:ascii="Times New Roman" w:hAnsi="Times New Roman" w:eastAsia="Times New Roman"/>
          <w:b w:val="0"/>
          <w:i w:val="0"/>
          <w:sz w:val="22"/>
        </w:rPr>
        <w:t>a) interrogar periodicamente, com cadência configurável por alvo de recolha, uma pluralidade de plataformas de monitorização de terceiros, exclusivamente por invocação de ferramentas de uma camada de integração autenticada, e converter cada resposta, por meio de um adaptador específico da plataforma, em amostras de um formato canónico único compreendendo identificador de entidade, natureza de entidade, chave de métrica normalizada, valor, unidade, marca temporal, identificador de fonte e dimensões livres;</w:t>
      </w:r>
    </w:p>
    <w:p>
      <w:pPr>
        <w:spacing w:after="100" w:line="317" w:lineRule="auto"/>
        <w:ind w:left="520"/>
        <w:jc w:val="both"/>
      </w:pPr>
      <w:r>
        <w:rPr>
          <w:rFonts w:ascii="Times New Roman" w:hAnsi="Times New Roman" w:eastAsia="Times New Roman"/>
          <w:b w:val="0"/>
          <w:i w:val="0"/>
          <w:sz w:val="22"/>
        </w:rPr>
        <w:t>b) persistir as ditas amostras num repositório de séries temporais e manter, por série e por intervalo sazonal definido pelo par hora-do-dia e dia-da-semana, agregados estatísticos compreendendo média, desvio-padrão e contagem, gravando periodicamente os ditos agregados em armazenamento não volátil e recarregando-os no arranque;</w:t>
      </w:r>
    </w:p>
    <w:p>
      <w:pPr>
        <w:spacing w:after="100" w:line="317" w:lineRule="auto"/>
        <w:ind w:left="520"/>
        <w:jc w:val="both"/>
      </w:pPr>
      <w:r>
        <w:rPr>
          <w:rFonts w:ascii="Times New Roman" w:hAnsi="Times New Roman" w:eastAsia="Times New Roman"/>
          <w:b w:val="0"/>
          <w:i w:val="0"/>
          <w:sz w:val="22"/>
        </w:rPr>
        <w:t>c) detectar um desvio face aos ditos agregados e agrupar alertas num problema, e/ou estimar, por regressão sobre janelas de semanas do dito repositório e por comparação dos agregados sazonais correntes com agregados sazonais homólogos de período anterior, um tempo remanescente até à violação de um limiar, emitindo um objecto de previsão de risco;</w:t>
      </w:r>
    </w:p>
    <w:p>
      <w:pPr>
        <w:spacing w:after="100" w:line="317" w:lineRule="auto"/>
        <w:ind w:left="520"/>
        <w:jc w:val="both"/>
      </w:pPr>
      <w:r>
        <w:rPr>
          <w:rFonts w:ascii="Times New Roman" w:hAnsi="Times New Roman" w:eastAsia="Times New Roman"/>
          <w:b w:val="0"/>
          <w:i w:val="0"/>
          <w:sz w:val="22"/>
        </w:rPr>
        <w:t>d) calcular uma assinatura de gatilho a partir do dito problema ou do dito objecto de previsão de risco e seleccionar, por comparação determinística e sem invocação de modelo de linguagem, um registo de procedimento de correcção em estado aprovado de um catálogo versionado, sendo cada registo dotado de um grafo de execução, de uma classe de risco atribuída por autor humano, de uma delimitação de raio de impacto e de um plano de verificação, e não sendo admissível o estado aprovado na ausência do dito plano de verificação;</w:t>
      </w:r>
    </w:p>
    <w:p>
      <w:pPr>
        <w:spacing w:after="100" w:line="317" w:lineRule="auto"/>
        <w:ind w:left="520"/>
        <w:jc w:val="both"/>
      </w:pPr>
      <w:r>
        <w:rPr>
          <w:rFonts w:ascii="Times New Roman" w:hAnsi="Times New Roman" w:eastAsia="Times New Roman"/>
          <w:b w:val="0"/>
          <w:i w:val="0"/>
          <w:sz w:val="22"/>
        </w:rPr>
        <w:t>e) determinar um modo efectivo de autonomia por resolução de políticas definidas em âmbitos de especificidade crescente, calculando o dito modo efectivo como o mínimo, numa ordem total de permissividade, entre o modo da política de maior especificidade aplicável e o modo de um tecto global, e desconsiderando qualquer indicação de auto-execução ou de classe de risco produzida por modelo de linguagem;</w:t>
      </w:r>
    </w:p>
    <w:p>
      <w:pPr>
        <w:spacing w:after="100" w:line="317" w:lineRule="auto"/>
        <w:ind w:left="520"/>
        <w:jc w:val="both"/>
      </w:pPr>
      <w:r>
        <w:rPr>
          <w:rFonts w:ascii="Times New Roman" w:hAnsi="Times New Roman" w:eastAsia="Times New Roman"/>
          <w:b w:val="0"/>
          <w:i w:val="0"/>
          <w:sz w:val="22"/>
        </w:rPr>
        <w:t>f) em modo de observação, registar a intervenção que teria sido executada sem executar qualquer nó de efeito de escrita; em modo semi-autónomo, submeter a candidatura a uma porta de aprovação e aguardar decisão humana registada, aplicando à expiração do prazo uma acção por omissão declarada; e em modo autónomo, prosseguir directamente;</w:t>
      </w:r>
    </w:p>
    <w:p>
      <w:pPr>
        <w:spacing w:after="100" w:line="317" w:lineRule="auto"/>
        <w:ind w:left="520"/>
        <w:jc w:val="both"/>
      </w:pPr>
      <w:r>
        <w:rPr>
          <w:rFonts w:ascii="Times New Roman" w:hAnsi="Times New Roman" w:eastAsia="Times New Roman"/>
          <w:b w:val="0"/>
          <w:i w:val="0"/>
          <w:sz w:val="22"/>
        </w:rPr>
        <w:t>g) verificar as pré-condições sobre a entidade concreta, capturar o estado a repor quando exista plano de reversão, executar o dito grafo de execução sobre a entidade alvo através de uma camada de execução que actua sem agente de software residente, e aguardar um período de estabilização declarado no dito plano de verificação;</w:t>
      </w:r>
    </w:p>
    <w:p>
      <w:pPr>
        <w:spacing w:after="100" w:line="317" w:lineRule="auto"/>
        <w:ind w:left="520"/>
        <w:jc w:val="both"/>
      </w:pPr>
      <w:r>
        <w:rPr>
          <w:rFonts w:ascii="Times New Roman" w:hAnsi="Times New Roman" w:eastAsia="Times New Roman"/>
          <w:b w:val="0"/>
          <w:i w:val="0"/>
          <w:sz w:val="22"/>
        </w:rPr>
        <w:t>h) reavaliar a mesma série métrica canónica que originou a detecção, identificada pela mesma chave de métrica normalizada e pela mesma entidade e obtida pelo mesmo caminho de aquisição da etapa a), e avaliar as asserções do dito plano de verificação;</w:t>
      </w:r>
    </w:p>
    <w:p>
      <w:pPr>
        <w:spacing w:after="100" w:line="317" w:lineRule="auto"/>
        <w:ind w:left="520"/>
        <w:jc w:val="both"/>
      </w:pPr>
      <w:r>
        <w:rPr>
          <w:rFonts w:ascii="Times New Roman" w:hAnsi="Times New Roman" w:eastAsia="Times New Roman"/>
          <w:b w:val="0"/>
          <w:i w:val="0"/>
          <w:sz w:val="22"/>
        </w:rPr>
        <w:t>i) classificar o resultado da reavaliação em remediação, ineficácia, agravamento ou não verificabilidade, e atribuir ao ciclo um único estado terminal seleccionado de um conjunto de estados mutuamente exclusivos que compreende remediado, ineficaz, revertido, escalado, abortado e não verificável, sendo a não verificabilidade atribuída quando a dita série não seja recebida no dito período de estabilização acrescido de tolerância ou a plataforma de origem não responda, e não sendo a dita não verificabilidade equiparada a remediação nem conducente ao encerramento do problema; e</w:t>
      </w:r>
    </w:p>
    <w:p>
      <w:pPr>
        <w:spacing w:after="100" w:line="317" w:lineRule="auto"/>
        <w:ind w:left="520"/>
        <w:jc w:val="both"/>
      </w:pPr>
      <w:r>
        <w:rPr>
          <w:rFonts w:ascii="Times New Roman" w:hAnsi="Times New Roman" w:eastAsia="Times New Roman"/>
          <w:b w:val="0"/>
          <w:i w:val="0"/>
          <w:sz w:val="22"/>
        </w:rPr>
        <w:t>j) gravar num registo de auditoria o procedimento e a sua versão, a natureza e a referência do gatilho, a entidade, o modo efectivo, a identidade do aprovador quando aplicável, as medições anteriores e posteriores, o resultado de cada nó e o dito estado terminal.</w:t>
      </w:r>
    </w:p>
    <w:p>
      <w:pPr>
        <w:keepNext/>
        <w:spacing w:after="120" w:line="317" w:lineRule="auto" w:before="240"/>
        <w:ind w:left="0"/>
        <w:jc w:val="both"/>
      </w:pPr>
      <w:r>
        <w:rPr>
          <w:rFonts w:ascii="Times New Roman" w:hAnsi="Times New Roman" w:eastAsia="Times New Roman"/>
          <w:b/>
          <w:i w:val="0"/>
          <w:color w:val="1F3864"/>
          <w:sz w:val="22"/>
        </w:rPr>
        <w:t xml:space="preserve">21. </w:t>
      </w:r>
      <w:r>
        <w:rPr>
          <w:rFonts w:ascii="Times New Roman" w:hAnsi="Times New Roman" w:eastAsia="Times New Roman"/>
          <w:b w:val="0"/>
          <w:i w:val="0"/>
          <w:sz w:val="22"/>
        </w:rPr>
        <w:t>Método de acordo com a reivindicação 20, caracterizado por compreender, na ausência de correspondência entre a dita assinatura de gatilho e qualquer registo em estado aprovado, a etapa adicional de invocar um modelo de linguagem para propor um novo registo de procedimento de correcção, gravá-lo em estado de rascunho e submetê-lo a um ciclo de autoria compreendendo compilação a partir de linguagem natural, revisão estática, ensaio em modo de leitura e aprovação humana, não sendo o dito registo executado antes de transitar para o estado aprovado.</w:t>
      </w:r>
    </w:p>
    <w:p>
      <w:pPr>
        <w:keepNext/>
        <w:spacing w:after="120" w:line="317" w:lineRule="auto" w:before="240"/>
        <w:ind w:left="0"/>
        <w:jc w:val="both"/>
      </w:pPr>
      <w:r>
        <w:rPr>
          <w:rFonts w:ascii="Times New Roman" w:hAnsi="Times New Roman" w:eastAsia="Times New Roman"/>
          <w:b/>
          <w:i w:val="0"/>
          <w:color w:val="1F3864"/>
          <w:sz w:val="22"/>
        </w:rPr>
        <w:t xml:space="preserve">22. </w:t>
      </w:r>
      <w:r>
        <w:rPr>
          <w:rFonts w:ascii="Times New Roman" w:hAnsi="Times New Roman" w:eastAsia="Times New Roman"/>
          <w:b w:val="0"/>
          <w:i w:val="0"/>
          <w:sz w:val="22"/>
        </w:rPr>
        <w:t>Método de acordo com a reivindicação 20 ou 21, caracterizado por compreender a etapa adicional de interditar a progressão em modo autónomo quando uma aferição de sanidade da plataforma de origem reprove, sendo a dita aferição realizada por comparação da idade da amostra mais recente com a cadência declarada, da dispersão das amostras recentes com a dispersão histórica, e da proporção de entidades da mesma plataforma em desvio simultâneo com um limiar de plausibilidade.</w:t>
      </w:r>
    </w:p>
    <w:p>
      <w:pPr>
        <w:keepNext/>
        <w:spacing w:after="120" w:line="317" w:lineRule="auto" w:before="240"/>
        <w:ind w:left="0"/>
        <w:jc w:val="both"/>
      </w:pPr>
      <w:r>
        <w:rPr>
          <w:rFonts w:ascii="Times New Roman" w:hAnsi="Times New Roman" w:eastAsia="Times New Roman"/>
          <w:b/>
          <w:i w:val="0"/>
          <w:color w:val="1F3864"/>
          <w:sz w:val="22"/>
        </w:rPr>
        <w:t xml:space="preserve">23. </w:t>
      </w:r>
      <w:r>
        <w:rPr>
          <w:rFonts w:ascii="Times New Roman" w:hAnsi="Times New Roman" w:eastAsia="Times New Roman"/>
          <w:b w:val="0"/>
          <w:i w:val="0"/>
          <w:sz w:val="22"/>
        </w:rPr>
        <w:t>Método de acordo com qualquer das reivindicações 20 a 22, caracterizado por compreender a etapa adicional de exigir aprovação humana, independentemente do modo efectivo e mesmo em modo autónomo, quando o número de entidades sobre as quais a execução incidiria exceda a dita delimitação de raio de impacto.</w:t>
      </w:r>
    </w:p>
    <w:p>
      <w:pPr>
        <w:keepNext/>
        <w:spacing w:after="120" w:line="317" w:lineRule="auto" w:before="240"/>
        <w:ind w:left="0"/>
        <w:jc w:val="both"/>
      </w:pPr>
      <w:r>
        <w:rPr>
          <w:rFonts w:ascii="Times New Roman" w:hAnsi="Times New Roman" w:eastAsia="Times New Roman"/>
          <w:b/>
          <w:i w:val="0"/>
          <w:color w:val="1F3864"/>
          <w:sz w:val="22"/>
        </w:rPr>
        <w:t xml:space="preserve">24. </w:t>
      </w:r>
      <w:r>
        <w:rPr>
          <w:rFonts w:ascii="Times New Roman" w:hAnsi="Times New Roman" w:eastAsia="Times New Roman"/>
          <w:b w:val="0"/>
          <w:i w:val="0"/>
          <w:sz w:val="22"/>
        </w:rPr>
        <w:t>Método de acordo com qualquer das reivindicações 20 a 23, caracterizado por, na classificação do resultado como agravamento, ser executado o plano de reversão para repor o estado capturado na etapa g), sendo o resultado da reversão objecto de verificação própria e conduzindo o incumprimento desta ao estado terminal escalado sem nova tentativa automática.</w:t>
      </w:r>
    </w:p>
    <w:p>
      <w:pPr>
        <w:keepNext/>
        <w:spacing w:after="120" w:line="317" w:lineRule="auto" w:before="240"/>
        <w:ind w:left="0"/>
        <w:jc w:val="both"/>
      </w:pPr>
      <w:r>
        <w:rPr>
          <w:rFonts w:ascii="Times New Roman" w:hAnsi="Times New Roman" w:eastAsia="Times New Roman"/>
          <w:b/>
          <w:i w:val="0"/>
          <w:color w:val="1F3864"/>
          <w:sz w:val="22"/>
        </w:rPr>
        <w:t xml:space="preserve">25. </w:t>
      </w:r>
      <w:r>
        <w:rPr>
          <w:rFonts w:ascii="Times New Roman" w:hAnsi="Times New Roman" w:eastAsia="Times New Roman"/>
          <w:b w:val="0"/>
          <w:i w:val="0"/>
          <w:sz w:val="22"/>
        </w:rPr>
        <w:t>Método de acordo com qualquer das reivindicações 20 a 24, caracterizado por, quando o gatilho seja um objecto de previsão de risco e o tempo remanescente estimado exceda o intervalo até ao início de uma janela de manutenção declarada, a execução ser agendada para a dita janela, e por a execução autónoma desencadeada por objecto de previsão de risco estar condicionada a um valor mínimo de grau de confiança.</w:t>
      </w:r>
    </w:p>
    <w:p>
      <w:pPr>
        <w:keepNext/>
        <w:spacing w:after="120" w:line="317" w:lineRule="auto" w:before="240"/>
        <w:ind w:left="0"/>
        <w:jc w:val="both"/>
      </w:pPr>
      <w:r>
        <w:rPr>
          <w:rFonts w:ascii="Times New Roman" w:hAnsi="Times New Roman" w:eastAsia="Times New Roman"/>
          <w:b/>
          <w:i w:val="0"/>
          <w:color w:val="1F3864"/>
          <w:sz w:val="22"/>
        </w:rPr>
        <w:t xml:space="preserve">26. </w:t>
      </w:r>
      <w:r>
        <w:rPr>
          <w:rFonts w:ascii="Times New Roman" w:hAnsi="Times New Roman" w:eastAsia="Times New Roman"/>
          <w:b w:val="0"/>
          <w:i w:val="0"/>
          <w:sz w:val="22"/>
        </w:rPr>
        <w:t>Método de acordo com qualquer das reivindicações 20 a 25, caracterizado por compreender a etapa adicional de agregar o dito registo de auditoria em indicadores de eficácia por procedimento e por versão e de emitir propostas de elevação do modo de autonomia, requerendo as ditas propostas aprovação humana registada para produzir efeito.</w:t>
      </w:r>
    </w:p>
    <w:p>
      <w:pPr>
        <w:keepNext/>
        <w:spacing w:after="120" w:line="317" w:lineRule="auto" w:before="240"/>
        <w:ind w:left="0"/>
        <w:jc w:val="both"/>
      </w:pPr>
      <w:r>
        <w:rPr>
          <w:rFonts w:ascii="Times New Roman" w:hAnsi="Times New Roman" w:eastAsia="Times New Roman"/>
          <w:b/>
          <w:i w:val="0"/>
          <w:color w:val="1F3864"/>
          <w:sz w:val="22"/>
        </w:rPr>
        <w:t xml:space="preserve">27. </w:t>
      </w:r>
      <w:r>
        <w:rPr>
          <w:rFonts w:ascii="Times New Roman" w:hAnsi="Times New Roman" w:eastAsia="Times New Roman"/>
          <w:b w:val="0"/>
          <w:i w:val="0"/>
          <w:sz w:val="22"/>
        </w:rPr>
        <w:t>Método de acordo com qualquer das reivindicações 20 a 26, caracterizado por a etapa de selecção resolver a existência de correspondências múltiplas por desempate segundo indicador de eficácia histórica e, subsidiariamente, segundo classe de risco menor.</w:t>
      </w:r>
    </w:p>
    <w:p>
      <w:pPr>
        <w:keepNext/>
        <w:spacing w:after="120" w:line="317" w:lineRule="auto" w:before="240"/>
        <w:ind w:left="0"/>
        <w:jc w:val="both"/>
      </w:pPr>
      <w:r>
        <w:rPr>
          <w:rFonts w:ascii="Times New Roman" w:hAnsi="Times New Roman" w:eastAsia="Times New Roman"/>
          <w:b/>
          <w:i w:val="0"/>
          <w:color w:val="1F3864"/>
          <w:sz w:val="22"/>
        </w:rPr>
        <w:t xml:space="preserve">28. </w:t>
      </w:r>
      <w:r>
        <w:rPr>
          <w:rFonts w:ascii="Times New Roman" w:hAnsi="Times New Roman" w:eastAsia="Times New Roman"/>
          <w:b w:val="0"/>
          <w:i w:val="0"/>
          <w:sz w:val="22"/>
        </w:rPr>
        <w:t>Método de acordo com qualquer das reivindicações 20 a 27, caracterizado por os ditos agregados estatísticos gravados em armazenamento não volátil compreenderem exclusivamente média, desvio-padrão e contagem por série e por intervalo sazonal, com exclusão das amostras individuais, mantendo-se o volume de persistência proporcional ao produto do número de séries pelo número de intervalos sazonais e independente do número de amostras observadas.</w:t>
      </w:r>
    </w:p>
    <w:p>
      <w:pPr>
        <w:keepNext/>
        <w:spacing w:after="120" w:line="317" w:lineRule="auto" w:before="240"/>
        <w:ind w:left="0"/>
        <w:jc w:val="both"/>
      </w:pPr>
      <w:r>
        <w:rPr>
          <w:rFonts w:ascii="Times New Roman" w:hAnsi="Times New Roman" w:eastAsia="Times New Roman"/>
          <w:b/>
          <w:i w:val="0"/>
          <w:color w:val="1F3864"/>
          <w:sz w:val="22"/>
        </w:rPr>
        <w:t xml:space="preserve">29. </w:t>
      </w:r>
      <w:r>
        <w:rPr>
          <w:rFonts w:ascii="Times New Roman" w:hAnsi="Times New Roman" w:eastAsia="Times New Roman"/>
          <w:b w:val="0"/>
          <w:i w:val="0"/>
          <w:sz w:val="22"/>
        </w:rPr>
        <w:t>Produto de programa de computador compreendendo instruções gravadas num meio legível por máquina não transitório que, quando executadas por pelo menos uma unidade de processamento de um sistema informático, fazem o dito sistema executar o método definido em qualquer das reivindicações 20 a 28.</w:t>
      </w:r>
    </w:p>
    <w:p>
      <w:pPr>
        <w:keepNext/>
        <w:spacing w:after="120" w:line="317" w:lineRule="auto" w:before="240"/>
        <w:ind w:left="0"/>
        <w:jc w:val="both"/>
      </w:pPr>
      <w:r>
        <w:rPr>
          <w:rFonts w:ascii="Times New Roman" w:hAnsi="Times New Roman" w:eastAsia="Times New Roman"/>
          <w:b/>
          <w:i w:val="0"/>
          <w:color w:val="1F3864"/>
          <w:sz w:val="22"/>
        </w:rPr>
        <w:t xml:space="preserve">30. </w:t>
      </w:r>
      <w:r>
        <w:rPr>
          <w:rFonts w:ascii="Times New Roman" w:hAnsi="Times New Roman" w:eastAsia="Times New Roman"/>
          <w:b w:val="0"/>
          <w:i w:val="0"/>
          <w:sz w:val="22"/>
        </w:rPr>
        <w:t>Sistema de acordo com qualquer das reivindicações 1 a 19, caracterizado por a dita camada de aquisição (110) interrogar as ditas plataformas de monitorização de terceiros exclusivamente por invocação de ferramentas da dita camada de integração autenticada (250), com exclusão de qualquer diálogo directo com a interface programática das ditas plataformas, e por a adição de uma nova plataforma de origem consistir na adição de um adaptador (112) e do respectivo registo, sem alteração de código da camada de aquisição.</w:t>
      </w:r>
    </w:p>
    <w:p>
      <w:pPr>
        <w:keepNext/>
        <w:spacing w:after="120" w:line="317" w:lineRule="auto" w:before="240"/>
        <w:ind w:left="0"/>
        <w:jc w:val="both"/>
      </w:pPr>
      <w:r>
        <w:rPr>
          <w:rFonts w:ascii="Times New Roman" w:hAnsi="Times New Roman" w:eastAsia="Times New Roman"/>
          <w:b/>
          <w:i w:val="0"/>
          <w:color w:val="1F3864"/>
          <w:sz w:val="22"/>
        </w:rPr>
        <w:t xml:space="preserve">31. </w:t>
      </w:r>
      <w:r>
        <w:rPr>
          <w:rFonts w:ascii="Times New Roman" w:hAnsi="Times New Roman" w:eastAsia="Times New Roman"/>
          <w:b w:val="0"/>
          <w:i w:val="0"/>
          <w:sz w:val="22"/>
        </w:rPr>
        <w:t>Sistema de acordo com qualquer das reivindicações 1 a 19 e 30, caracterizado por a dita camada de aquisição (110) associar às estruturas derivadas de cada alvo de recolha um identificador de sessão de recolha estável, obtido por aplicação de uma função de dispersão ao identificador do dito alvo, de modo que ciclos consecutivos de recolha do mesmo alvo sejam reconhecidos pelos ditos motores de análise como pertencentes a uma série contínua e permitam a acumulação de tendência entre ciclos.</w:t>
      </w:r>
    </w:p>
    <w:p>
      <w:pPr>
        <w:keepNext/>
        <w:spacing w:after="120" w:line="317" w:lineRule="auto" w:before="240"/>
        <w:ind w:left="0"/>
        <w:jc w:val="both"/>
      </w:pPr>
      <w:r>
        <w:rPr>
          <w:rFonts w:ascii="Times New Roman" w:hAnsi="Times New Roman" w:eastAsia="Times New Roman"/>
          <w:b/>
          <w:i w:val="0"/>
          <w:color w:val="1F3864"/>
          <w:sz w:val="22"/>
        </w:rPr>
        <w:t xml:space="preserve">32. </w:t>
      </w:r>
      <w:r>
        <w:rPr>
          <w:rFonts w:ascii="Times New Roman" w:hAnsi="Times New Roman" w:eastAsia="Times New Roman"/>
          <w:b w:val="0"/>
          <w:i w:val="0"/>
          <w:sz w:val="22"/>
        </w:rPr>
        <w:t>Sistema de acordo com qualquer das reivindicações 1 a 19, 30 e 31, caracterizado por a transição de um registo de procedimento de correcção para o estado aprovado estar adicionalmente condicionada ao registo de um ensaio prévio em modo de leitura, no qual apenas os nós do dito grafo de execução (154) desprovidos de efeito de escrita foram executados, sendo a evidência do dito ensaio conservada em associação ao registo do procedimento.</w:t>
      </w:r>
    </w:p>
    <w:p>
      <w:pPr>
        <w:keepNext/>
        <w:spacing w:after="120" w:line="317" w:lineRule="auto" w:before="240"/>
        <w:ind w:left="0"/>
        <w:jc w:val="both"/>
      </w:pPr>
      <w:r>
        <w:rPr>
          <w:rFonts w:ascii="Times New Roman" w:hAnsi="Times New Roman" w:eastAsia="Times New Roman"/>
          <w:b/>
          <w:i w:val="0"/>
          <w:color w:val="1F3864"/>
          <w:sz w:val="22"/>
        </w:rPr>
        <w:t xml:space="preserve">33. </w:t>
      </w:r>
      <w:r>
        <w:rPr>
          <w:rFonts w:ascii="Times New Roman" w:hAnsi="Times New Roman" w:eastAsia="Times New Roman"/>
          <w:b w:val="0"/>
          <w:i w:val="0"/>
          <w:sz w:val="22"/>
        </w:rPr>
        <w:t>Sistema de acordo com qualquer das reivindicações 1 a 19 e 30 a 32, caracterizado por compreender um motor de limiar adaptativo (124) configurado para ajustar, por série, o factor multiplicativo do desvio-padrão aplicado aos agregados do dito motor de caracterização sazonal (122) em função da proporção histórica de alertas da dita série que não vieram a integrar problema agregado, percorrendo um ciclo de aprendizagem e adaptação com recálculo periódico e com estado persistido no dito armazenamento não volátil.</w:t>
      </w:r>
    </w:p>
    <w:p>
      <w:pPr>
        <w:keepNext/>
        <w:spacing w:after="120" w:line="317" w:lineRule="auto" w:before="240"/>
        <w:ind w:left="0"/>
        <w:jc w:val="both"/>
      </w:pPr>
      <w:r>
        <w:rPr>
          <w:rFonts w:ascii="Times New Roman" w:hAnsi="Times New Roman" w:eastAsia="Times New Roman"/>
          <w:b/>
          <w:i w:val="0"/>
          <w:color w:val="1F3864"/>
          <w:sz w:val="22"/>
        </w:rPr>
        <w:t xml:space="preserve">34. </w:t>
      </w:r>
      <w:r>
        <w:rPr>
          <w:rFonts w:ascii="Times New Roman" w:hAnsi="Times New Roman" w:eastAsia="Times New Roman"/>
          <w:b w:val="0"/>
          <w:i w:val="0"/>
          <w:sz w:val="22"/>
        </w:rPr>
        <w:t>Utilização do sistema definido em qualquer das reivindicações 1 a 19 e 30 a 33 na exploração de infraestrutura informática de centros de dados, de instituições financeiras, de operadores de telecomunicações, de organismos da administração pública ou de prestadores de serviços gestionados de tecnologias de informação, para redução do tempo de indisponibilidade de serviço por intervenção correctiva verificada e sem instalação de agente de software nas entidades alvo.</w:t>
      </w:r>
    </w:p>
    <w:p>
      <w:r>
        <w:br w:type="page"/>
      </w:r>
    </w:p>
    <w:p>
      <w:pPr>
        <w:keepNext/>
        <w:spacing w:after="160" w:line="276" w:lineRule="auto" w:before="340"/>
        <w:ind w:left="0"/>
        <w:jc w:val="left"/>
        <w:pBdr>
          <w:bottom w:val="single" w:sz="6" w:space="4" w:color="1F3864"/>
        </w:pBdr>
      </w:pPr>
      <w:r>
        <w:rPr>
          <w:rFonts w:ascii="Times New Roman" w:hAnsi="Times New Roman" w:eastAsia="Times New Roman"/>
          <w:b/>
          <w:i w:val="0"/>
          <w:color w:val="1F3864"/>
          <w:sz w:val="28"/>
        </w:rPr>
        <w:t>12. Resumo</w:t>
      </w:r>
    </w:p>
    <w:p>
      <w:pPr>
        <w:spacing w:after="160" w:line="317" w:lineRule="auto"/>
        <w:ind w:left="0"/>
        <w:jc w:val="both"/>
      </w:pPr>
      <w:r>
        <w:rPr>
          <w:rFonts w:ascii="Times New Roman" w:hAnsi="Times New Roman" w:eastAsia="Times New Roman"/>
          <w:b w:val="0"/>
          <w:i w:val="0"/>
          <w:sz w:val="22"/>
        </w:rPr>
        <w:t>Sistema (100) e método de remediação autónoma verificada de infraestrutura informática. Uma camada de aquisição (110) interroga plataformas de monitorização de terceiros através de uma camada de integração autenticada (250) e normaliza as respostas em amostras canónicas (114) persistidas num repositório (116). Um motor de caracterização sazonal (122) mantém agregados por hora e dia da semana, gravados em armazenamento não volátil, e um motor de previsão (126) detecta deriva de perfil e emite previsões de risco (132). Um planeador (160) selecciona deterministicamente, de um catálogo versionado (150), um procedimento aprovado dotado de plano de verificação obrigatório. Um motor de política (170) determina o modo de autonomia por conjunção restritiva entre âmbitos, desconsiderando qualquer juízo do modelo de linguagem, o qual é confinado ao tempo de autoria. Um executor (190) executa sem agente residente e verifica o efeito sobre a mesma série métrica que originou a detecção, distinguindo remediação de não verificabilidade. (Figura 1)</w:t>
      </w:r>
    </w:p>
    <w:p>
      <w:pPr>
        <w:spacing w:after="200" w:line="288" w:lineRule="auto" w:before="160"/>
        <w:ind w:left="340"/>
        <w:jc w:val="both"/>
        <w:pBdr>
          <w:left w:val="single" w:sz="12" w:space="10" w:color="BFA36A"/>
        </w:pBdr>
      </w:pPr>
      <w:r>
        <w:rPr>
          <w:rFonts w:ascii="Times New Roman" w:hAnsi="Times New Roman" w:eastAsia="Times New Roman"/>
          <w:b w:val="0"/>
          <w:i/>
          <w:color w:val="3A3A3A"/>
          <w:sz w:val="20"/>
        </w:rPr>
        <w:t>Extensão do resumo: 153 palavras. Verificar o limite de palavras admitido pelo IAPI e reduzir se necessário; a frase relativa ao motor de previsão é a primeira candidata a supressão sem perda de suporte.</w:t>
      </w:r>
    </w:p>
    <w:p>
      <w:r>
        <w:br w:type="page"/>
      </w:r>
    </w:p>
    <w:p>
      <w:pPr>
        <w:keepNext/>
        <w:spacing w:after="160" w:line="276" w:lineRule="auto" w:before="340"/>
        <w:ind w:left="0"/>
        <w:jc w:val="left"/>
        <w:pBdr>
          <w:bottom w:val="single" w:sz="6" w:space="4" w:color="1F3864"/>
        </w:pBdr>
      </w:pPr>
      <w:r>
        <w:rPr>
          <w:rFonts w:ascii="Times New Roman" w:hAnsi="Times New Roman" w:eastAsia="Times New Roman"/>
          <w:b/>
          <w:i w:val="0"/>
          <w:color w:val="1F3864"/>
          <w:sz w:val="28"/>
        </w:rPr>
        <w:t>13. Lista de números de referência</w:t>
      </w:r>
    </w:p>
    <w:tbl>
      <w:tblPr>
        <w:tblStyle w:val="TableGrid"/>
        <w:tblW w:type="auto" w:w="0"/>
        <w:jc w:val="center"/>
        <w:tblLook w:firstColumn="1" w:firstRow="1" w:lastColumn="0" w:lastRow="0" w:noHBand="0" w:noVBand="1" w:val="04A0"/>
      </w:tblPr>
      <w:tblGrid>
        <w:gridCol w:w="4618"/>
        <w:gridCol w:w="4618"/>
      </w:tblGrid>
      <w:tr>
        <w:tc>
          <w:tcPr>
            <w:tcW w:type="dxa" w:w="1247"/>
            <w:shd w:val="clear" w:color="auto" w:fill="E8EDF5"/>
          </w:tcPr>
          <w:p>
            <w:pPr>
              <w:spacing w:after="40" w:line="276" w:lineRule="auto"/>
              <w:jc w:val="left"/>
            </w:pPr>
            <w:r>
              <w:rPr>
                <w:rFonts w:ascii="Times New Roman" w:hAnsi="Times New Roman"/>
                <w:b/>
                <w:sz w:val="19"/>
              </w:rPr>
              <w:t>N.º</w:t>
            </w:r>
          </w:p>
        </w:tc>
        <w:tc>
          <w:tcPr>
            <w:tcW w:type="dxa" w:w="7540"/>
            <w:shd w:val="clear" w:color="auto" w:fill="E8EDF5"/>
          </w:tcPr>
          <w:p>
            <w:pPr>
              <w:spacing w:after="40" w:line="276" w:lineRule="auto"/>
              <w:jc w:val="left"/>
            </w:pPr>
            <w:r>
              <w:rPr>
                <w:rFonts w:ascii="Times New Roman" w:hAnsi="Times New Roman"/>
                <w:b/>
                <w:sz w:val="19"/>
              </w:rPr>
              <w:t>Elemento</w:t>
            </w:r>
          </w:p>
        </w:tc>
      </w:tr>
      <w:tr>
        <w:tc>
          <w:tcPr>
            <w:tcW w:type="dxa" w:w="1247"/>
          </w:tcPr>
          <w:p>
            <w:pPr>
              <w:spacing w:after="40" w:line="276" w:lineRule="auto"/>
              <w:jc w:val="left"/>
            </w:pPr>
            <w:r>
              <w:rPr>
                <w:rFonts w:ascii="Times New Roman" w:hAnsi="Times New Roman"/>
                <w:sz w:val="19"/>
              </w:rPr>
              <w:t>10a, 10b, 10c</w:t>
            </w:r>
          </w:p>
        </w:tc>
        <w:tc>
          <w:tcPr>
            <w:tcW w:type="dxa" w:w="7540"/>
          </w:tcPr>
          <w:p>
            <w:pPr>
              <w:spacing w:after="40" w:line="276" w:lineRule="auto"/>
              <w:jc w:val="left"/>
            </w:pPr>
            <w:r>
              <w:rPr>
                <w:rFonts w:ascii="Times New Roman" w:hAnsi="Times New Roman"/>
                <w:sz w:val="19"/>
              </w:rPr>
              <w:t>Plataformas de monitorização de terceiros</w:t>
            </w:r>
          </w:p>
        </w:tc>
      </w:tr>
      <w:tr>
        <w:tc>
          <w:tcPr>
            <w:tcW w:type="dxa" w:w="1247"/>
          </w:tcPr>
          <w:p>
            <w:pPr>
              <w:spacing w:after="40" w:line="276" w:lineRule="auto"/>
              <w:jc w:val="left"/>
            </w:pPr>
            <w:r>
              <w:rPr>
                <w:rFonts w:ascii="Times New Roman" w:hAnsi="Times New Roman"/>
                <w:sz w:val="19"/>
              </w:rPr>
              <w:t>10d</w:t>
            </w:r>
          </w:p>
        </w:tc>
        <w:tc>
          <w:tcPr>
            <w:tcW w:type="dxa" w:w="7540"/>
          </w:tcPr>
          <w:p>
            <w:pPr>
              <w:spacing w:after="40" w:line="276" w:lineRule="auto"/>
              <w:jc w:val="left"/>
            </w:pPr>
            <w:r>
              <w:rPr>
                <w:rFonts w:ascii="Times New Roman" w:hAnsi="Times New Roman"/>
                <w:sz w:val="19"/>
              </w:rPr>
              <w:t>Agente de software próprio, opcional</w:t>
            </w:r>
          </w:p>
        </w:tc>
      </w:tr>
      <w:tr>
        <w:tc>
          <w:tcPr>
            <w:tcW w:type="dxa" w:w="1247"/>
          </w:tcPr>
          <w:p>
            <w:pPr>
              <w:spacing w:after="40" w:line="276" w:lineRule="auto"/>
              <w:jc w:val="left"/>
            </w:pPr>
            <w:r>
              <w:rPr>
                <w:rFonts w:ascii="Times New Roman" w:hAnsi="Times New Roman"/>
                <w:sz w:val="19"/>
              </w:rPr>
              <w:t>100</w:t>
            </w:r>
          </w:p>
        </w:tc>
        <w:tc>
          <w:tcPr>
            <w:tcW w:type="dxa" w:w="7540"/>
          </w:tcPr>
          <w:p>
            <w:pPr>
              <w:spacing w:after="40" w:line="276" w:lineRule="auto"/>
              <w:jc w:val="left"/>
            </w:pPr>
            <w:r>
              <w:rPr>
                <w:rFonts w:ascii="Times New Roman" w:hAnsi="Times New Roman"/>
                <w:sz w:val="19"/>
              </w:rPr>
              <w:t>Sistema de remediação autónoma verificada</w:t>
            </w:r>
          </w:p>
        </w:tc>
      </w:tr>
      <w:tr>
        <w:tc>
          <w:tcPr>
            <w:tcW w:type="dxa" w:w="1247"/>
          </w:tcPr>
          <w:p>
            <w:pPr>
              <w:spacing w:after="40" w:line="276" w:lineRule="auto"/>
              <w:jc w:val="left"/>
            </w:pPr>
            <w:r>
              <w:rPr>
                <w:rFonts w:ascii="Times New Roman" w:hAnsi="Times New Roman"/>
                <w:sz w:val="19"/>
              </w:rPr>
              <w:t>110</w:t>
            </w:r>
          </w:p>
        </w:tc>
        <w:tc>
          <w:tcPr>
            <w:tcW w:type="dxa" w:w="7540"/>
          </w:tcPr>
          <w:p>
            <w:pPr>
              <w:spacing w:after="40" w:line="276" w:lineRule="auto"/>
              <w:jc w:val="left"/>
            </w:pPr>
            <w:r>
              <w:rPr>
                <w:rFonts w:ascii="Times New Roman" w:hAnsi="Times New Roman"/>
                <w:sz w:val="19"/>
              </w:rPr>
              <w:t>Camada de aquisição normalizada</w:t>
            </w:r>
          </w:p>
        </w:tc>
      </w:tr>
      <w:tr>
        <w:tc>
          <w:tcPr>
            <w:tcW w:type="dxa" w:w="1247"/>
          </w:tcPr>
          <w:p>
            <w:pPr>
              <w:spacing w:after="40" w:line="276" w:lineRule="auto"/>
              <w:jc w:val="left"/>
            </w:pPr>
            <w:r>
              <w:rPr>
                <w:rFonts w:ascii="Times New Roman" w:hAnsi="Times New Roman"/>
                <w:sz w:val="19"/>
              </w:rPr>
              <w:t>112</w:t>
            </w:r>
          </w:p>
        </w:tc>
        <w:tc>
          <w:tcPr>
            <w:tcW w:type="dxa" w:w="7540"/>
          </w:tcPr>
          <w:p>
            <w:pPr>
              <w:spacing w:after="40" w:line="276" w:lineRule="auto"/>
              <w:jc w:val="left"/>
            </w:pPr>
            <w:r>
              <w:rPr>
                <w:rFonts w:ascii="Times New Roman" w:hAnsi="Times New Roman"/>
                <w:sz w:val="19"/>
              </w:rPr>
              <w:t>Adaptadores de métrica por plataforma de origem</w:t>
            </w:r>
          </w:p>
        </w:tc>
      </w:tr>
      <w:tr>
        <w:tc>
          <w:tcPr>
            <w:tcW w:type="dxa" w:w="1247"/>
          </w:tcPr>
          <w:p>
            <w:pPr>
              <w:spacing w:after="40" w:line="276" w:lineRule="auto"/>
              <w:jc w:val="left"/>
            </w:pPr>
            <w:r>
              <w:rPr>
                <w:rFonts w:ascii="Times New Roman" w:hAnsi="Times New Roman"/>
                <w:sz w:val="19"/>
              </w:rPr>
              <w:t>114</w:t>
            </w:r>
          </w:p>
        </w:tc>
        <w:tc>
          <w:tcPr>
            <w:tcW w:type="dxa" w:w="7540"/>
          </w:tcPr>
          <w:p>
            <w:pPr>
              <w:spacing w:after="40" w:line="276" w:lineRule="auto"/>
              <w:jc w:val="left"/>
            </w:pPr>
            <w:r>
              <w:rPr>
                <w:rFonts w:ascii="Times New Roman" w:hAnsi="Times New Roman"/>
                <w:sz w:val="19"/>
              </w:rPr>
              <w:t>Amostra canónica</w:t>
            </w:r>
          </w:p>
        </w:tc>
      </w:tr>
      <w:tr>
        <w:tc>
          <w:tcPr>
            <w:tcW w:type="dxa" w:w="1247"/>
          </w:tcPr>
          <w:p>
            <w:pPr>
              <w:spacing w:after="40" w:line="276" w:lineRule="auto"/>
              <w:jc w:val="left"/>
            </w:pPr>
            <w:r>
              <w:rPr>
                <w:rFonts w:ascii="Times New Roman" w:hAnsi="Times New Roman"/>
                <w:sz w:val="19"/>
              </w:rPr>
              <w:t>116</w:t>
            </w:r>
          </w:p>
        </w:tc>
        <w:tc>
          <w:tcPr>
            <w:tcW w:type="dxa" w:w="7540"/>
          </w:tcPr>
          <w:p>
            <w:pPr>
              <w:spacing w:after="40" w:line="276" w:lineRule="auto"/>
              <w:jc w:val="left"/>
            </w:pPr>
            <w:r>
              <w:rPr>
                <w:rFonts w:ascii="Times New Roman" w:hAnsi="Times New Roman"/>
                <w:sz w:val="19"/>
              </w:rPr>
              <w:t>Repositório de séries temporais</w:t>
            </w:r>
          </w:p>
        </w:tc>
      </w:tr>
      <w:tr>
        <w:tc>
          <w:tcPr>
            <w:tcW w:type="dxa" w:w="1247"/>
          </w:tcPr>
          <w:p>
            <w:pPr>
              <w:spacing w:after="40" w:line="276" w:lineRule="auto"/>
              <w:jc w:val="left"/>
            </w:pPr>
            <w:r>
              <w:rPr>
                <w:rFonts w:ascii="Times New Roman" w:hAnsi="Times New Roman"/>
                <w:sz w:val="19"/>
              </w:rPr>
              <w:t>120</w:t>
            </w:r>
          </w:p>
        </w:tc>
        <w:tc>
          <w:tcPr>
            <w:tcW w:type="dxa" w:w="7540"/>
          </w:tcPr>
          <w:p>
            <w:pPr>
              <w:spacing w:after="40" w:line="276" w:lineRule="auto"/>
              <w:jc w:val="left"/>
            </w:pPr>
            <w:r>
              <w:rPr>
                <w:rFonts w:ascii="Times New Roman" w:hAnsi="Times New Roman"/>
                <w:sz w:val="19"/>
              </w:rPr>
              <w:t>Conjunto de motores de análise</w:t>
            </w:r>
          </w:p>
        </w:tc>
      </w:tr>
      <w:tr>
        <w:tc>
          <w:tcPr>
            <w:tcW w:type="dxa" w:w="1247"/>
          </w:tcPr>
          <w:p>
            <w:pPr>
              <w:spacing w:after="40" w:line="276" w:lineRule="auto"/>
              <w:jc w:val="left"/>
            </w:pPr>
            <w:r>
              <w:rPr>
                <w:rFonts w:ascii="Times New Roman" w:hAnsi="Times New Roman"/>
                <w:sz w:val="19"/>
              </w:rPr>
              <w:t>122</w:t>
            </w:r>
          </w:p>
        </w:tc>
        <w:tc>
          <w:tcPr>
            <w:tcW w:type="dxa" w:w="7540"/>
          </w:tcPr>
          <w:p>
            <w:pPr>
              <w:spacing w:after="40" w:line="276" w:lineRule="auto"/>
              <w:jc w:val="left"/>
            </w:pPr>
            <w:r>
              <w:rPr>
                <w:rFonts w:ascii="Times New Roman" w:hAnsi="Times New Roman"/>
                <w:sz w:val="19"/>
              </w:rPr>
              <w:t>Motor de caracterização sazonal persistente</w:t>
            </w:r>
          </w:p>
        </w:tc>
      </w:tr>
      <w:tr>
        <w:tc>
          <w:tcPr>
            <w:tcW w:type="dxa" w:w="1247"/>
          </w:tcPr>
          <w:p>
            <w:pPr>
              <w:spacing w:after="40" w:line="276" w:lineRule="auto"/>
              <w:jc w:val="left"/>
            </w:pPr>
            <w:r>
              <w:rPr>
                <w:rFonts w:ascii="Times New Roman" w:hAnsi="Times New Roman"/>
                <w:sz w:val="19"/>
              </w:rPr>
              <w:t>124</w:t>
            </w:r>
          </w:p>
        </w:tc>
        <w:tc>
          <w:tcPr>
            <w:tcW w:type="dxa" w:w="7540"/>
          </w:tcPr>
          <w:p>
            <w:pPr>
              <w:spacing w:after="40" w:line="276" w:lineRule="auto"/>
              <w:jc w:val="left"/>
            </w:pPr>
            <w:r>
              <w:rPr>
                <w:rFonts w:ascii="Times New Roman" w:hAnsi="Times New Roman"/>
                <w:sz w:val="19"/>
              </w:rPr>
              <w:t>Motor de limiar adaptativo</w:t>
            </w:r>
          </w:p>
        </w:tc>
      </w:tr>
      <w:tr>
        <w:tc>
          <w:tcPr>
            <w:tcW w:type="dxa" w:w="1247"/>
          </w:tcPr>
          <w:p>
            <w:pPr>
              <w:spacing w:after="40" w:line="276" w:lineRule="auto"/>
              <w:jc w:val="left"/>
            </w:pPr>
            <w:r>
              <w:rPr>
                <w:rFonts w:ascii="Times New Roman" w:hAnsi="Times New Roman"/>
                <w:sz w:val="19"/>
              </w:rPr>
              <w:t>126</w:t>
            </w:r>
          </w:p>
        </w:tc>
        <w:tc>
          <w:tcPr>
            <w:tcW w:type="dxa" w:w="7540"/>
          </w:tcPr>
          <w:p>
            <w:pPr>
              <w:spacing w:after="40" w:line="276" w:lineRule="auto"/>
              <w:jc w:val="left"/>
            </w:pPr>
            <w:r>
              <w:rPr>
                <w:rFonts w:ascii="Times New Roman" w:hAnsi="Times New Roman"/>
                <w:sz w:val="19"/>
              </w:rPr>
              <w:t>Motor de previsão</w:t>
            </w:r>
          </w:p>
        </w:tc>
      </w:tr>
      <w:tr>
        <w:tc>
          <w:tcPr>
            <w:tcW w:type="dxa" w:w="1247"/>
          </w:tcPr>
          <w:p>
            <w:pPr>
              <w:spacing w:after="40" w:line="276" w:lineRule="auto"/>
              <w:jc w:val="left"/>
            </w:pPr>
            <w:r>
              <w:rPr>
                <w:rFonts w:ascii="Times New Roman" w:hAnsi="Times New Roman"/>
                <w:sz w:val="19"/>
              </w:rPr>
              <w:t>128</w:t>
            </w:r>
          </w:p>
        </w:tc>
        <w:tc>
          <w:tcPr>
            <w:tcW w:type="dxa" w:w="7540"/>
          </w:tcPr>
          <w:p>
            <w:pPr>
              <w:spacing w:after="40" w:line="276" w:lineRule="auto"/>
              <w:jc w:val="left"/>
            </w:pPr>
            <w:r>
              <w:rPr>
                <w:rFonts w:ascii="Times New Roman" w:hAnsi="Times New Roman"/>
                <w:sz w:val="19"/>
              </w:rPr>
              <w:t>Correlacionador de eventos</w:t>
            </w:r>
          </w:p>
        </w:tc>
      </w:tr>
      <w:tr>
        <w:tc>
          <w:tcPr>
            <w:tcW w:type="dxa" w:w="1247"/>
          </w:tcPr>
          <w:p>
            <w:pPr>
              <w:spacing w:after="40" w:line="276" w:lineRule="auto"/>
              <w:jc w:val="left"/>
            </w:pPr>
            <w:r>
              <w:rPr>
                <w:rFonts w:ascii="Times New Roman" w:hAnsi="Times New Roman"/>
                <w:sz w:val="19"/>
              </w:rPr>
              <w:t>130</w:t>
            </w:r>
          </w:p>
        </w:tc>
        <w:tc>
          <w:tcPr>
            <w:tcW w:type="dxa" w:w="7540"/>
          </w:tcPr>
          <w:p>
            <w:pPr>
              <w:spacing w:after="40" w:line="276" w:lineRule="auto"/>
              <w:jc w:val="left"/>
            </w:pPr>
            <w:r>
              <w:rPr>
                <w:rFonts w:ascii="Times New Roman" w:hAnsi="Times New Roman"/>
                <w:sz w:val="19"/>
              </w:rPr>
              <w:t>Agregador de problemas</w:t>
            </w:r>
          </w:p>
        </w:tc>
      </w:tr>
      <w:tr>
        <w:tc>
          <w:tcPr>
            <w:tcW w:type="dxa" w:w="1247"/>
          </w:tcPr>
          <w:p>
            <w:pPr>
              <w:spacing w:after="40" w:line="276" w:lineRule="auto"/>
              <w:jc w:val="left"/>
            </w:pPr>
            <w:r>
              <w:rPr>
                <w:rFonts w:ascii="Times New Roman" w:hAnsi="Times New Roman"/>
                <w:sz w:val="19"/>
              </w:rPr>
              <w:t>132</w:t>
            </w:r>
          </w:p>
        </w:tc>
        <w:tc>
          <w:tcPr>
            <w:tcW w:type="dxa" w:w="7540"/>
          </w:tcPr>
          <w:p>
            <w:pPr>
              <w:spacing w:after="40" w:line="276" w:lineRule="auto"/>
              <w:jc w:val="left"/>
            </w:pPr>
            <w:r>
              <w:rPr>
                <w:rFonts w:ascii="Times New Roman" w:hAnsi="Times New Roman"/>
                <w:sz w:val="19"/>
              </w:rPr>
              <w:t>Objecto de previsão de risco</w:t>
            </w:r>
          </w:p>
        </w:tc>
      </w:tr>
      <w:tr>
        <w:tc>
          <w:tcPr>
            <w:tcW w:type="dxa" w:w="1247"/>
          </w:tcPr>
          <w:p>
            <w:pPr>
              <w:spacing w:after="40" w:line="276" w:lineRule="auto"/>
              <w:jc w:val="left"/>
            </w:pPr>
            <w:r>
              <w:rPr>
                <w:rFonts w:ascii="Times New Roman" w:hAnsi="Times New Roman"/>
                <w:sz w:val="19"/>
              </w:rPr>
              <w:t>140</w:t>
            </w:r>
          </w:p>
        </w:tc>
        <w:tc>
          <w:tcPr>
            <w:tcW w:type="dxa" w:w="7540"/>
          </w:tcPr>
          <w:p>
            <w:pPr>
              <w:spacing w:after="40" w:line="276" w:lineRule="auto"/>
              <w:jc w:val="left"/>
            </w:pPr>
            <w:r>
              <w:rPr>
                <w:rFonts w:ascii="Times New Roman" w:hAnsi="Times New Roman"/>
                <w:sz w:val="19"/>
              </w:rPr>
              <w:t>Despachante de eventos</w:t>
            </w:r>
          </w:p>
        </w:tc>
      </w:tr>
      <w:tr>
        <w:tc>
          <w:tcPr>
            <w:tcW w:type="dxa" w:w="1247"/>
          </w:tcPr>
          <w:p>
            <w:pPr>
              <w:spacing w:after="40" w:line="276" w:lineRule="auto"/>
              <w:jc w:val="left"/>
            </w:pPr>
            <w:r>
              <w:rPr>
                <w:rFonts w:ascii="Times New Roman" w:hAnsi="Times New Roman"/>
                <w:sz w:val="19"/>
              </w:rPr>
              <w:t>150</w:t>
            </w:r>
          </w:p>
        </w:tc>
        <w:tc>
          <w:tcPr>
            <w:tcW w:type="dxa" w:w="7540"/>
          </w:tcPr>
          <w:p>
            <w:pPr>
              <w:spacing w:after="40" w:line="276" w:lineRule="auto"/>
              <w:jc w:val="left"/>
            </w:pPr>
            <w:r>
              <w:rPr>
                <w:rFonts w:ascii="Times New Roman" w:hAnsi="Times New Roman"/>
                <w:sz w:val="19"/>
              </w:rPr>
              <w:t>Catálogo versionado de procedimentos de correcção</w:t>
            </w:r>
          </w:p>
        </w:tc>
      </w:tr>
      <w:tr>
        <w:tc>
          <w:tcPr>
            <w:tcW w:type="dxa" w:w="1247"/>
          </w:tcPr>
          <w:p>
            <w:pPr>
              <w:spacing w:after="40" w:line="276" w:lineRule="auto"/>
              <w:jc w:val="left"/>
            </w:pPr>
            <w:r>
              <w:rPr>
                <w:rFonts w:ascii="Times New Roman" w:hAnsi="Times New Roman"/>
                <w:sz w:val="19"/>
              </w:rPr>
              <w:t>152</w:t>
            </w:r>
          </w:p>
        </w:tc>
        <w:tc>
          <w:tcPr>
            <w:tcW w:type="dxa" w:w="7540"/>
          </w:tcPr>
          <w:p>
            <w:pPr>
              <w:spacing w:after="40" w:line="276" w:lineRule="auto"/>
              <w:jc w:val="left"/>
            </w:pPr>
            <w:r>
              <w:rPr>
                <w:rFonts w:ascii="Times New Roman" w:hAnsi="Times New Roman"/>
                <w:sz w:val="19"/>
              </w:rPr>
              <w:t>Assinatura de correspondência determinística</w:t>
            </w:r>
          </w:p>
        </w:tc>
      </w:tr>
      <w:tr>
        <w:tc>
          <w:tcPr>
            <w:tcW w:type="dxa" w:w="1247"/>
          </w:tcPr>
          <w:p>
            <w:pPr>
              <w:spacing w:after="40" w:line="276" w:lineRule="auto"/>
              <w:jc w:val="left"/>
            </w:pPr>
            <w:r>
              <w:rPr>
                <w:rFonts w:ascii="Times New Roman" w:hAnsi="Times New Roman"/>
                <w:sz w:val="19"/>
              </w:rPr>
              <w:t>154</w:t>
            </w:r>
          </w:p>
        </w:tc>
        <w:tc>
          <w:tcPr>
            <w:tcW w:type="dxa" w:w="7540"/>
          </w:tcPr>
          <w:p>
            <w:pPr>
              <w:spacing w:after="40" w:line="276" w:lineRule="auto"/>
              <w:jc w:val="left"/>
            </w:pPr>
            <w:r>
              <w:rPr>
                <w:rFonts w:ascii="Times New Roman" w:hAnsi="Times New Roman"/>
                <w:sz w:val="19"/>
              </w:rPr>
              <w:t>Grafo de execução</w:t>
            </w:r>
          </w:p>
        </w:tc>
      </w:tr>
      <w:tr>
        <w:tc>
          <w:tcPr>
            <w:tcW w:type="dxa" w:w="1247"/>
          </w:tcPr>
          <w:p>
            <w:pPr>
              <w:spacing w:after="40" w:line="276" w:lineRule="auto"/>
              <w:jc w:val="left"/>
            </w:pPr>
            <w:r>
              <w:rPr>
                <w:rFonts w:ascii="Times New Roman" w:hAnsi="Times New Roman"/>
                <w:sz w:val="19"/>
              </w:rPr>
              <w:t>156</w:t>
            </w:r>
          </w:p>
        </w:tc>
        <w:tc>
          <w:tcPr>
            <w:tcW w:type="dxa" w:w="7540"/>
          </w:tcPr>
          <w:p>
            <w:pPr>
              <w:spacing w:after="40" w:line="276" w:lineRule="auto"/>
              <w:jc w:val="left"/>
            </w:pPr>
            <w:r>
              <w:rPr>
                <w:rFonts w:ascii="Times New Roman" w:hAnsi="Times New Roman"/>
                <w:sz w:val="19"/>
              </w:rPr>
              <w:t>Plano de verificação</w:t>
            </w:r>
          </w:p>
        </w:tc>
      </w:tr>
      <w:tr>
        <w:tc>
          <w:tcPr>
            <w:tcW w:type="dxa" w:w="1247"/>
          </w:tcPr>
          <w:p>
            <w:pPr>
              <w:spacing w:after="40" w:line="276" w:lineRule="auto"/>
              <w:jc w:val="left"/>
            </w:pPr>
            <w:r>
              <w:rPr>
                <w:rFonts w:ascii="Times New Roman" w:hAnsi="Times New Roman"/>
                <w:sz w:val="19"/>
              </w:rPr>
              <w:t>158</w:t>
            </w:r>
          </w:p>
        </w:tc>
        <w:tc>
          <w:tcPr>
            <w:tcW w:type="dxa" w:w="7540"/>
          </w:tcPr>
          <w:p>
            <w:pPr>
              <w:spacing w:after="40" w:line="276" w:lineRule="auto"/>
              <w:jc w:val="left"/>
            </w:pPr>
            <w:r>
              <w:rPr>
                <w:rFonts w:ascii="Times New Roman" w:hAnsi="Times New Roman"/>
                <w:sz w:val="19"/>
              </w:rPr>
              <w:t>Plano de reversão</w:t>
            </w:r>
          </w:p>
        </w:tc>
      </w:tr>
      <w:tr>
        <w:tc>
          <w:tcPr>
            <w:tcW w:type="dxa" w:w="1247"/>
          </w:tcPr>
          <w:p>
            <w:pPr>
              <w:spacing w:after="40" w:line="276" w:lineRule="auto"/>
              <w:jc w:val="left"/>
            </w:pPr>
            <w:r>
              <w:rPr>
                <w:rFonts w:ascii="Times New Roman" w:hAnsi="Times New Roman"/>
                <w:sz w:val="19"/>
              </w:rPr>
              <w:t>160</w:t>
            </w:r>
          </w:p>
        </w:tc>
        <w:tc>
          <w:tcPr>
            <w:tcW w:type="dxa" w:w="7540"/>
          </w:tcPr>
          <w:p>
            <w:pPr>
              <w:spacing w:after="40" w:line="276" w:lineRule="auto"/>
              <w:jc w:val="left"/>
            </w:pPr>
            <w:r>
              <w:rPr>
                <w:rFonts w:ascii="Times New Roman" w:hAnsi="Times New Roman"/>
                <w:sz w:val="19"/>
              </w:rPr>
              <w:t>Planeador de remediação</w:t>
            </w:r>
          </w:p>
        </w:tc>
      </w:tr>
      <w:tr>
        <w:tc>
          <w:tcPr>
            <w:tcW w:type="dxa" w:w="1247"/>
          </w:tcPr>
          <w:p>
            <w:pPr>
              <w:spacing w:after="40" w:line="276" w:lineRule="auto"/>
              <w:jc w:val="left"/>
            </w:pPr>
            <w:r>
              <w:rPr>
                <w:rFonts w:ascii="Times New Roman" w:hAnsi="Times New Roman"/>
                <w:sz w:val="19"/>
              </w:rPr>
              <w:t>170</w:t>
            </w:r>
          </w:p>
        </w:tc>
        <w:tc>
          <w:tcPr>
            <w:tcW w:type="dxa" w:w="7540"/>
          </w:tcPr>
          <w:p>
            <w:pPr>
              <w:spacing w:after="40" w:line="276" w:lineRule="auto"/>
              <w:jc w:val="left"/>
            </w:pPr>
            <w:r>
              <w:rPr>
                <w:rFonts w:ascii="Times New Roman" w:hAnsi="Times New Roman"/>
                <w:sz w:val="19"/>
              </w:rPr>
              <w:t>Motor de política de autonomia</w:t>
            </w:r>
          </w:p>
        </w:tc>
      </w:tr>
      <w:tr>
        <w:tc>
          <w:tcPr>
            <w:tcW w:type="dxa" w:w="1247"/>
          </w:tcPr>
          <w:p>
            <w:pPr>
              <w:spacing w:after="40" w:line="276" w:lineRule="auto"/>
              <w:jc w:val="left"/>
            </w:pPr>
            <w:r>
              <w:rPr>
                <w:rFonts w:ascii="Times New Roman" w:hAnsi="Times New Roman"/>
                <w:sz w:val="19"/>
              </w:rPr>
              <w:t>172</w:t>
            </w:r>
          </w:p>
        </w:tc>
        <w:tc>
          <w:tcPr>
            <w:tcW w:type="dxa" w:w="7540"/>
          </w:tcPr>
          <w:p>
            <w:pPr>
              <w:spacing w:after="40" w:line="276" w:lineRule="auto"/>
              <w:jc w:val="left"/>
            </w:pPr>
            <w:r>
              <w:rPr>
                <w:rFonts w:ascii="Times New Roman" w:hAnsi="Times New Roman"/>
                <w:sz w:val="19"/>
              </w:rPr>
              <w:t>Políticas de autonomia por âmbito</w:t>
            </w:r>
          </w:p>
        </w:tc>
      </w:tr>
      <w:tr>
        <w:tc>
          <w:tcPr>
            <w:tcW w:type="dxa" w:w="1247"/>
          </w:tcPr>
          <w:p>
            <w:pPr>
              <w:spacing w:after="40" w:line="276" w:lineRule="auto"/>
              <w:jc w:val="left"/>
            </w:pPr>
            <w:r>
              <w:rPr>
                <w:rFonts w:ascii="Times New Roman" w:hAnsi="Times New Roman"/>
                <w:sz w:val="19"/>
              </w:rPr>
              <w:t>180</w:t>
            </w:r>
          </w:p>
        </w:tc>
        <w:tc>
          <w:tcPr>
            <w:tcW w:type="dxa" w:w="7540"/>
          </w:tcPr>
          <w:p>
            <w:pPr>
              <w:spacing w:after="40" w:line="276" w:lineRule="auto"/>
              <w:jc w:val="left"/>
            </w:pPr>
            <w:r>
              <w:rPr>
                <w:rFonts w:ascii="Times New Roman" w:hAnsi="Times New Roman"/>
                <w:sz w:val="19"/>
              </w:rPr>
              <w:t>Porta de aprovação unificada</w:t>
            </w:r>
          </w:p>
        </w:tc>
      </w:tr>
      <w:tr>
        <w:tc>
          <w:tcPr>
            <w:tcW w:type="dxa" w:w="1247"/>
          </w:tcPr>
          <w:p>
            <w:pPr>
              <w:spacing w:after="40" w:line="276" w:lineRule="auto"/>
              <w:jc w:val="left"/>
            </w:pPr>
            <w:r>
              <w:rPr>
                <w:rFonts w:ascii="Times New Roman" w:hAnsi="Times New Roman"/>
                <w:sz w:val="19"/>
              </w:rPr>
              <w:t>182</w:t>
            </w:r>
          </w:p>
        </w:tc>
        <w:tc>
          <w:tcPr>
            <w:tcW w:type="dxa" w:w="7540"/>
          </w:tcPr>
          <w:p>
            <w:pPr>
              <w:spacing w:after="40" w:line="276" w:lineRule="auto"/>
              <w:jc w:val="left"/>
            </w:pPr>
            <w:r>
              <w:rPr>
                <w:rFonts w:ascii="Times New Roman" w:hAnsi="Times New Roman"/>
                <w:sz w:val="19"/>
              </w:rPr>
              <w:t>Registo durável de aprovações</w:t>
            </w:r>
          </w:p>
        </w:tc>
      </w:tr>
      <w:tr>
        <w:tc>
          <w:tcPr>
            <w:tcW w:type="dxa" w:w="1247"/>
          </w:tcPr>
          <w:p>
            <w:pPr>
              <w:spacing w:after="40" w:line="276" w:lineRule="auto"/>
              <w:jc w:val="left"/>
            </w:pPr>
            <w:r>
              <w:rPr>
                <w:rFonts w:ascii="Times New Roman" w:hAnsi="Times New Roman"/>
                <w:sz w:val="19"/>
              </w:rPr>
              <w:t>190</w:t>
            </w:r>
          </w:p>
        </w:tc>
        <w:tc>
          <w:tcPr>
            <w:tcW w:type="dxa" w:w="7540"/>
          </w:tcPr>
          <w:p>
            <w:pPr>
              <w:spacing w:after="40" w:line="276" w:lineRule="auto"/>
              <w:jc w:val="left"/>
            </w:pPr>
            <w:r>
              <w:rPr>
                <w:rFonts w:ascii="Times New Roman" w:hAnsi="Times New Roman"/>
                <w:sz w:val="19"/>
              </w:rPr>
              <w:t>Executor de ciclo fechado</w:t>
            </w:r>
          </w:p>
        </w:tc>
      </w:tr>
      <w:tr>
        <w:tc>
          <w:tcPr>
            <w:tcW w:type="dxa" w:w="1247"/>
          </w:tcPr>
          <w:p>
            <w:pPr>
              <w:spacing w:after="40" w:line="276" w:lineRule="auto"/>
              <w:jc w:val="left"/>
            </w:pPr>
            <w:r>
              <w:rPr>
                <w:rFonts w:ascii="Times New Roman" w:hAnsi="Times New Roman"/>
                <w:sz w:val="19"/>
              </w:rPr>
              <w:t>192</w:t>
            </w:r>
          </w:p>
        </w:tc>
        <w:tc>
          <w:tcPr>
            <w:tcW w:type="dxa" w:w="7540"/>
          </w:tcPr>
          <w:p>
            <w:pPr>
              <w:spacing w:after="40" w:line="276" w:lineRule="auto"/>
              <w:jc w:val="left"/>
            </w:pPr>
            <w:r>
              <w:rPr>
                <w:rFonts w:ascii="Times New Roman" w:hAnsi="Times New Roman"/>
                <w:sz w:val="19"/>
              </w:rPr>
              <w:t>Verificador</w:t>
            </w:r>
          </w:p>
        </w:tc>
      </w:tr>
      <w:tr>
        <w:tc>
          <w:tcPr>
            <w:tcW w:type="dxa" w:w="1247"/>
          </w:tcPr>
          <w:p>
            <w:pPr>
              <w:spacing w:after="40" w:line="276" w:lineRule="auto"/>
              <w:jc w:val="left"/>
            </w:pPr>
            <w:r>
              <w:rPr>
                <w:rFonts w:ascii="Times New Roman" w:hAnsi="Times New Roman"/>
                <w:sz w:val="19"/>
              </w:rPr>
              <w:t>194</w:t>
            </w:r>
          </w:p>
        </w:tc>
        <w:tc>
          <w:tcPr>
            <w:tcW w:type="dxa" w:w="7540"/>
          </w:tcPr>
          <w:p>
            <w:pPr>
              <w:spacing w:after="40" w:line="276" w:lineRule="auto"/>
              <w:jc w:val="left"/>
            </w:pPr>
            <w:r>
              <w:rPr>
                <w:rFonts w:ascii="Times New Roman" w:hAnsi="Times New Roman"/>
                <w:sz w:val="19"/>
              </w:rPr>
              <w:t>Módulo de travões de contenção</w:t>
            </w:r>
          </w:p>
        </w:tc>
      </w:tr>
      <w:tr>
        <w:tc>
          <w:tcPr>
            <w:tcW w:type="dxa" w:w="1247"/>
          </w:tcPr>
          <w:p>
            <w:pPr>
              <w:spacing w:after="40" w:line="276" w:lineRule="auto"/>
              <w:jc w:val="left"/>
            </w:pPr>
            <w:r>
              <w:rPr>
                <w:rFonts w:ascii="Times New Roman" w:hAnsi="Times New Roman"/>
                <w:sz w:val="19"/>
              </w:rPr>
              <w:t>196</w:t>
            </w:r>
          </w:p>
        </w:tc>
        <w:tc>
          <w:tcPr>
            <w:tcW w:type="dxa" w:w="7540"/>
          </w:tcPr>
          <w:p>
            <w:pPr>
              <w:spacing w:after="40" w:line="276" w:lineRule="auto"/>
              <w:jc w:val="left"/>
            </w:pPr>
            <w:r>
              <w:rPr>
                <w:rFonts w:ascii="Times New Roman" w:hAnsi="Times New Roman"/>
                <w:sz w:val="19"/>
              </w:rPr>
              <w:t>Registo de auditoria de execuções</w:t>
            </w:r>
          </w:p>
        </w:tc>
      </w:tr>
      <w:tr>
        <w:tc>
          <w:tcPr>
            <w:tcW w:type="dxa" w:w="1247"/>
          </w:tcPr>
          <w:p>
            <w:pPr>
              <w:spacing w:after="40" w:line="276" w:lineRule="auto"/>
              <w:jc w:val="left"/>
            </w:pPr>
            <w:r>
              <w:rPr>
                <w:rFonts w:ascii="Times New Roman" w:hAnsi="Times New Roman"/>
                <w:sz w:val="19"/>
              </w:rPr>
              <w:t>200</w:t>
            </w:r>
          </w:p>
        </w:tc>
        <w:tc>
          <w:tcPr>
            <w:tcW w:type="dxa" w:w="7540"/>
          </w:tcPr>
          <w:p>
            <w:pPr>
              <w:spacing w:after="40" w:line="276" w:lineRule="auto"/>
              <w:jc w:val="left"/>
            </w:pPr>
            <w:r>
              <w:rPr>
                <w:rFonts w:ascii="Times New Roman" w:hAnsi="Times New Roman"/>
                <w:sz w:val="19"/>
              </w:rPr>
              <w:t>Camada de execução sem agente residente</w:t>
            </w:r>
          </w:p>
        </w:tc>
      </w:tr>
      <w:tr>
        <w:tc>
          <w:tcPr>
            <w:tcW w:type="dxa" w:w="1247"/>
          </w:tcPr>
          <w:p>
            <w:pPr>
              <w:spacing w:after="40" w:line="276" w:lineRule="auto"/>
              <w:jc w:val="left"/>
            </w:pPr>
            <w:r>
              <w:rPr>
                <w:rFonts w:ascii="Times New Roman" w:hAnsi="Times New Roman"/>
                <w:sz w:val="19"/>
              </w:rPr>
              <w:t>210</w:t>
            </w:r>
          </w:p>
        </w:tc>
        <w:tc>
          <w:tcPr>
            <w:tcW w:type="dxa" w:w="7540"/>
          </w:tcPr>
          <w:p>
            <w:pPr>
              <w:spacing w:after="40" w:line="276" w:lineRule="auto"/>
              <w:jc w:val="left"/>
            </w:pPr>
            <w:r>
              <w:rPr>
                <w:rFonts w:ascii="Times New Roman" w:hAnsi="Times New Roman"/>
                <w:sz w:val="19"/>
              </w:rPr>
              <w:t>Módulo de aprendizagem e eficácia</w:t>
            </w:r>
          </w:p>
        </w:tc>
      </w:tr>
      <w:tr>
        <w:tc>
          <w:tcPr>
            <w:tcW w:type="dxa" w:w="1247"/>
          </w:tcPr>
          <w:p>
            <w:pPr>
              <w:spacing w:after="40" w:line="276" w:lineRule="auto"/>
              <w:jc w:val="left"/>
            </w:pPr>
            <w:r>
              <w:rPr>
                <w:rFonts w:ascii="Times New Roman" w:hAnsi="Times New Roman"/>
                <w:sz w:val="19"/>
              </w:rPr>
              <w:t>220</w:t>
            </w:r>
          </w:p>
        </w:tc>
        <w:tc>
          <w:tcPr>
            <w:tcW w:type="dxa" w:w="7540"/>
          </w:tcPr>
          <w:p>
            <w:pPr>
              <w:spacing w:after="40" w:line="276" w:lineRule="auto"/>
              <w:jc w:val="left"/>
            </w:pPr>
            <w:r>
              <w:rPr>
                <w:rFonts w:ascii="Times New Roman" w:hAnsi="Times New Roman"/>
                <w:sz w:val="19"/>
              </w:rPr>
              <w:t>Compilador de autoria de linguagem natural em grafo</w:t>
            </w:r>
          </w:p>
        </w:tc>
      </w:tr>
      <w:tr>
        <w:tc>
          <w:tcPr>
            <w:tcW w:type="dxa" w:w="1247"/>
          </w:tcPr>
          <w:p>
            <w:pPr>
              <w:spacing w:after="40" w:line="276" w:lineRule="auto"/>
              <w:jc w:val="left"/>
            </w:pPr>
            <w:r>
              <w:rPr>
                <w:rFonts w:ascii="Times New Roman" w:hAnsi="Times New Roman"/>
                <w:sz w:val="19"/>
              </w:rPr>
              <w:t>250</w:t>
            </w:r>
          </w:p>
        </w:tc>
        <w:tc>
          <w:tcPr>
            <w:tcW w:type="dxa" w:w="7540"/>
          </w:tcPr>
          <w:p>
            <w:pPr>
              <w:spacing w:after="40" w:line="276" w:lineRule="auto"/>
              <w:jc w:val="left"/>
            </w:pPr>
            <w:r>
              <w:rPr>
                <w:rFonts w:ascii="Times New Roman" w:hAnsi="Times New Roman"/>
                <w:sz w:val="19"/>
              </w:rPr>
              <w:t>Camada de integração autenticada</w:t>
            </w:r>
          </w:p>
        </w:tc>
      </w:tr>
    </w:tbl>
    <w:p>
      <w:pPr>
        <w:spacing w:after="180" w:line="307" w:lineRule="auto"/>
        <w:ind w:left="0"/>
        <w:jc w:val="both"/>
      </w:pPr>
    </w:p>
    <w:p>
      <w:r>
        <w:br w:type="page"/>
      </w:r>
    </w:p>
    <w:p>
      <w:pPr>
        <w:keepNext/>
        <w:spacing w:after="160" w:line="276" w:lineRule="auto" w:before="340"/>
        <w:ind w:left="0"/>
        <w:jc w:val="left"/>
        <w:pBdr>
          <w:bottom w:val="single" w:sz="6" w:space="4" w:color="1F3864"/>
        </w:pBdr>
      </w:pPr>
      <w:r>
        <w:rPr>
          <w:rFonts w:ascii="Times New Roman" w:hAnsi="Times New Roman" w:eastAsia="Times New Roman"/>
          <w:b/>
          <w:i w:val="0"/>
          <w:color w:val="1F3864"/>
          <w:sz w:val="28"/>
        </w:rPr>
        <w:t>14. Observações para a preparação da submissão</w:t>
      </w:r>
    </w:p>
    <w:p>
      <w:pPr>
        <w:spacing w:after="200" w:line="288" w:lineRule="auto" w:before="160"/>
        <w:ind w:left="340"/>
        <w:jc w:val="both"/>
        <w:pBdr>
          <w:left w:val="single" w:sz="12" w:space="10" w:color="BFA36A"/>
        </w:pBdr>
      </w:pPr>
      <w:r>
        <w:rPr>
          <w:rFonts w:ascii="Times New Roman" w:hAnsi="Times New Roman" w:eastAsia="Times New Roman"/>
          <w:b w:val="0"/>
          <w:i/>
          <w:color w:val="3A3A3A"/>
          <w:sz w:val="20"/>
        </w:rPr>
        <w:t>Esta secção é auxiliar e não integra a memória descritiva. Deve ser removida do exemplar entregue ao IAPI.</w:t>
      </w:r>
    </w:p>
    <w:p>
      <w:pPr>
        <w:spacing w:after="160" w:line="317" w:lineRule="auto"/>
        <w:ind w:left="0"/>
        <w:jc w:val="both"/>
      </w:pPr>
      <w:r>
        <w:rPr>
          <w:rFonts w:ascii="Times New Roman" w:hAnsi="Times New Roman" w:eastAsia="Times New Roman"/>
          <w:b w:val="0"/>
          <w:i w:val="0"/>
          <w:sz w:val="22"/>
        </w:rPr>
        <w:t>Divulgação anterior. A protecção por patente exige novidade. Verificar, antes da submissão, se a documentação interna que serviu de base a este texto, o repositório de código, apresentações comerciais ou demonstrações a clientes constituíram divulgação pública da invenção. Documentação interna e repositórios privados sob acordo de confidencialidade não constituem, em regra, divulgação; demonstrações a terceiros sem acordo de confidencialidade podem constituí-la.</w:t>
      </w:r>
    </w:p>
    <w:p>
      <w:pPr>
        <w:spacing w:after="160" w:line="317" w:lineRule="auto"/>
        <w:ind w:left="0"/>
        <w:jc w:val="both"/>
      </w:pPr>
      <w:r>
        <w:rPr>
          <w:rFonts w:ascii="Times New Roman" w:hAnsi="Times New Roman" w:eastAsia="Times New Roman"/>
          <w:b w:val="0"/>
          <w:i w:val="0"/>
          <w:sz w:val="22"/>
        </w:rPr>
        <w:t>Articulação com o pedido anterior. O ponto 0050 e a reivindicação 12 adoptam deliberadamente a via de declarar um vocabulário de remediação distinto, não processado pelo compilador de linguagem natural, de modo a não colidir com eventual caracterização do vocabulário de nós pelo seu número concreto no pedido anterior do requerente. Confirmar esta opção com o mandatário à luz do texto efectivamente depositado naquele pedido.</w:t>
      </w:r>
    </w:p>
    <w:p>
      <w:pPr>
        <w:spacing w:after="160" w:line="317" w:lineRule="auto"/>
        <w:ind w:left="0"/>
        <w:jc w:val="both"/>
      </w:pPr>
      <w:r>
        <w:rPr>
          <w:rFonts w:ascii="Times New Roman" w:hAnsi="Times New Roman" w:eastAsia="Times New Roman"/>
          <w:b w:val="0"/>
          <w:i w:val="0"/>
          <w:sz w:val="22"/>
        </w:rPr>
        <w:t>Extensão internacional. Angola é Estado contratante do Tratado de Cooperação em matéria de Patentes. Caso se pretenda protecção fora de Angola, o pedido internacional deve ser apresentado dentro do prazo de prioridade de doze meses contado da data do presente depósito, prazo que se recomenda registar em agenda no acto da submissão. Confirmar com o mandatário o estado actual da adesão de Angola aos instrumentos regionais aplicáveis e as vias disponíveis.</w:t>
      </w:r>
    </w:p>
    <w:p>
      <w:pPr>
        <w:spacing w:after="160" w:line="317" w:lineRule="auto"/>
        <w:ind w:left="0"/>
        <w:jc w:val="both"/>
      </w:pPr>
      <w:r>
        <w:rPr>
          <w:rFonts w:ascii="Times New Roman" w:hAnsi="Times New Roman" w:eastAsia="Times New Roman"/>
          <w:b w:val="0"/>
          <w:i w:val="0"/>
          <w:sz w:val="22"/>
        </w:rPr>
        <w:t>Elementos a instruir. Requerimento em formulário oficial, memória descritiva, reivindicações, resumo, pranchas de desenho, comprovativo de pagamento das taxas devidas, procuração quando exista mandatário e documento de cessão de direitos dos inventores para o requerente quando estes sejam pessoas distintas.</w:t>
      </w:r>
    </w:p>
    <w:p>
      <w:pPr>
        <w:spacing w:after="160" w:line="317" w:lineRule="auto"/>
        <w:ind w:left="0"/>
        <w:jc w:val="both"/>
      </w:pPr>
      <w:r>
        <w:rPr>
          <w:rFonts w:ascii="Times New Roman" w:hAnsi="Times New Roman" w:eastAsia="Times New Roman"/>
          <w:b w:val="0"/>
          <w:i w:val="0"/>
          <w:sz w:val="22"/>
        </w:rPr>
        <w:t>Recomendação. Submeter este texto a revisão por mandatário oficial de propriedade industrial antes do depósito, em especial quanto à admissibilidade das reivindicações de programa de computador e de utilização, cuja aceitação varia consoante a prática do instituto, e quanto à eventual necessidade de pedido divisionário se o exame objectar falta de unidade de invenção.</w:t>
      </w:r>
    </w:p>
    <w:sectPr w:rsidR="00FC693F" w:rsidRPr="0006063C" w:rsidSect="00034616">
      <w:headerReference w:type="default" r:id="rId9"/>
      <w:footerReference w:type="default" r:id="rId10"/>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95959"/>
        <w:sz w:val="16"/>
      </w:rPr>
      <w:t xml:space="preserve">Pág. </w:t>
    </w:r>
    <w:r>
      <w:rPr>
        <w:rFonts w:ascii="Times New Roman" w:hAnsi="Times New Roman"/>
        <w:color w:val="595959"/>
        <w:sz w:val="16"/>
      </w:rPr>
      <w:fldChar w:fldCharType="begin"/>
      <w:instrText xml:space="preserve">PAGE</w:instrText>
      <w:fldChar w:fldCharType="end"/>
    </w:r>
    <w:r>
      <w:rPr>
        <w:rFonts w:ascii="Times New Roman" w:hAnsi="Times New Roman"/>
        <w:color w:val="595959"/>
        <w:sz w:val="16"/>
      </w:rPr>
      <w:t xml:space="preserve"> de </w:t>
    </w:r>
    <w:r>
      <w:rPr>
        <w:rFonts w:ascii="Times New Roman" w:hAnsi="Times New Roman"/>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CCCCC"/>
      </w:pBdr>
    </w:pPr>
    <w:r>
      <w:rPr>
        <w:rFonts w:ascii="Times New Roman" w:hAnsi="Times New Roman"/>
        <w:color w:val="595959"/>
        <w:sz w:val="16"/>
      </w:rPr>
      <w:t>Pedido de patente de invenção — memória descritiva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7"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