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80"/>
        <w:jc w:val="center"/>
      </w:pPr>
      <w:r>
        <w:rPr>
          <w:rFonts w:ascii="Arial" w:cs="Arial" w:eastAsia="Arial" w:hAnsi="Arial"/>
          <w:b/>
          <w:bCs/>
          <w:color w:val="1F4E79"/>
          <w:sz w:val="56"/>
          <w:szCs w:val="56"/>
        </w:rPr>
        <w:t xml:space="preserve">SUBTALLER 3</w:t>
      </w:r>
    </w:p>
    <w:p>
      <w:pPr>
        <w:spacing w:after="120" w:before="0"/>
        <w:jc w:val="center"/>
      </w:pPr>
      <w:r>
        <w:rPr>
          <w:rFonts w:ascii="Arial" w:cs="Arial" w:eastAsia="Arial" w:hAnsi="Arial"/>
          <w:b/>
          <w:bCs/>
          <w:color w:val="2E75B6"/>
          <w:sz w:val="40"/>
          <w:szCs w:val="40"/>
        </w:rPr>
        <w:t xml:space="preserve">Arquitectura Medallion en AWS</w:t>
      </w:r>
    </w:p>
    <w:p>
      <w:pPr>
        <w:spacing w:after="80" w:before="0"/>
        <w:jc w:val="center"/>
      </w:pPr>
      <w:r>
        <w:rPr>
          <w:rFonts w:ascii="Arial" w:cs="Arial" w:eastAsia="Arial" w:hAnsi="Arial"/>
          <w:color w:val="444444"/>
          <w:sz w:val="28"/>
          <w:szCs w:val="28"/>
        </w:rPr>
        <w:t xml:space="preserve">AWS Glue · Amazon S3 · Amazon Athena</w:t>
      </w:r>
    </w:p>
    <w:p>
      <w:pPr>
        <w:pBdr>
          <w:bottom w:val="single" w:color="2E75B6" w:sz="6" w:space="1"/>
        </w:pBdr>
        <w:spacing w:after="200" w:before="200"/>
      </w:pPr>
    </w:p>
    <w:p>
      <w:pPr>
        <w:spacing w:after="80" w:before="80"/>
        <w:jc w:val="center"/>
      </w:pPr>
      <w:r>
        <w:rPr>
          <w:rFonts w:ascii="Arial" w:cs="Arial" w:eastAsia="Arial" w:hAnsi="Arial"/>
          <w:color w:val="666666"/>
          <w:sz w:val="24"/>
          <w:szCs w:val="24"/>
        </w:rPr>
        <w:t xml:space="preserve">Abril 2026</w:t>
      </w:r>
    </w:p>
    <w:p>
      <w:pPr>
        <w:spacing w:before="1440"/>
      </w:pPr>
    </w:p>
    <w:p>
      <w:pPr>
        <w:pStyle w:val="Heading1"/>
        <w:spacing w:after="160" w:before="400"/>
      </w:pPr>
      <w:r>
        <w:rPr>
          <w:rFonts w:ascii="Arial" w:cs="Arial" w:eastAsia="Arial" w:hAnsi="Arial"/>
          <w:b/>
          <w:bCs/>
          <w:color w:val="1F4E79"/>
          <w:sz w:val="32"/>
          <w:szCs w:val="32"/>
        </w:rPr>
        <w:t xml:space="preserve">1. Introducción</w:t>
      </w:r>
    </w:p>
    <w:p>
      <w:pPr>
        <w:spacing w:after="200" w:before="0"/>
      </w:pPr>
      <w:r>
        <w:rPr>
          <w:rFonts w:ascii="Arial" w:cs="Arial" w:eastAsia="Arial" w:hAnsi="Arial"/>
          <w:sz w:val="22"/>
          <w:szCs w:val="22"/>
        </w:rPr>
        <w:t xml:space="preserve">Este documento presenta la implementación de una Arquitectura Medallion (Bronze → Silver → Gold) en AWS, utilizando Amazon S3 como almacenamiento, AWS Glue para los procesos ETL, y Amazon Athena para consultas SQL sobre los datos procesados. A continuación se documentan cada uno de los pasos realizados con capturas de pantalla de la consola de AWS.</w:t>
      </w:r>
    </w:p>
    <w:p>
      <w:pPr>
        <w:pBdr>
          <w:bottom w:val="single" w:color="2E75B6" w:sz="6" w:space="1"/>
        </w:pBdr>
        <w:spacing w:after="200" w:before="200"/>
      </w:pPr>
    </w:p>
    <w:p>
      <w:pPr>
        <w:pStyle w:val="Heading1"/>
        <w:spacing w:after="160" w:before="400"/>
      </w:pPr>
      <w:r>
        <w:rPr>
          <w:rFonts w:ascii="Arial" w:cs="Arial" w:eastAsia="Arial" w:hAnsi="Arial"/>
          <w:b/>
          <w:bCs/>
          <w:color w:val="1F4E79"/>
          <w:sz w:val="32"/>
          <w:szCs w:val="32"/>
        </w:rPr>
        <w:t xml:space="preserve">2. Estructura del Bucket S3</w:t>
      </w:r>
    </w:p>
    <w:p>
      <w:pPr>
        <w:spacing w:after="80" w:before="160"/>
        <w:jc w:val="center"/>
      </w:pPr>
      <w:r>
        <w:drawing>
          <wp:inline distT="0" distB="0" distL="0" distR="0">
            <wp:extent cx="619125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076825"/>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1 – Estructura del bucket S3 con carpetas Bronze, Silver, Gold y Scripts</w:t>
      </w:r>
    </w:p>
    <w:p>
      <w:pPr>
        <w:spacing w:after="80" w:before="160"/>
        <w:jc w:val="center"/>
      </w:pPr>
      <w:r>
        <w:drawing>
          <wp:inline distT="0" distB="0" distL="0" distR="0">
            <wp:extent cx="61912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3340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2 – Detalle de la carpeta Bronze con el archivo ventas_ecommerce.json</w:t>
      </w:r>
    </w:p>
    <w:p>
      <w:pPr>
        <w:spacing w:after="80" w:before="160"/>
        <w:jc w:val="center"/>
      </w:pPr>
      <w:r>
        <w:drawing>
          <wp:inline distT="0" distB="0" distL="0" distR="0">
            <wp:extent cx="6191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44577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3 – Datos en capa Silver particionados por order_year y order_month (formato Parquet)</w:t>
      </w:r>
    </w:p>
    <w:p>
      <w:pPr>
        <w:pBdr>
          <w:bottom w:val="single" w:color="2E75B6" w:sz="6" w:space="1"/>
        </w:pBdr>
        <w:spacing w:after="200" w:before="200"/>
      </w:pPr>
    </w:p>
    <w:p>
      <w:pPr>
        <w:pStyle w:val="Heading1"/>
        <w:spacing w:after="160" w:before="400"/>
      </w:pPr>
      <w:r>
        <w:rPr>
          <w:rFonts w:ascii="Arial" w:cs="Arial" w:eastAsia="Arial" w:hAnsi="Arial"/>
          <w:b/>
          <w:bCs/>
          <w:color w:val="1F4E79"/>
          <w:sz w:val="32"/>
          <w:szCs w:val="32"/>
        </w:rPr>
        <w:t xml:space="preserve">3. Configuración de IAM Role para Glue</w:t>
      </w:r>
    </w:p>
    <w:p>
      <w:pPr>
        <w:spacing w:after="80" w:before="160"/>
        <w:jc w:val="center"/>
      </w:pPr>
      <w:r>
        <w:drawing>
          <wp:inline distT="0" distB="0" distL="0" distR="0">
            <wp:extent cx="619125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5229225"/>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4 – Creación del IAM Role GlueLabRole con políticas AWSGlueServiceRole y AmazonS3FullAccess</w:t>
      </w:r>
    </w:p>
    <w:p>
      <w:pPr>
        <w:pBdr>
          <w:bottom w:val="single" w:color="2E75B6" w:sz="6" w:space="1"/>
        </w:pBdr>
        <w:spacing w:after="200" w:before="200"/>
      </w:pPr>
    </w:p>
    <w:p>
      <w:pPr>
        <w:pStyle w:val="Heading1"/>
        <w:spacing w:after="160" w:before="400"/>
      </w:pPr>
      <w:r>
        <w:rPr>
          <w:rFonts w:ascii="Arial" w:cs="Arial" w:eastAsia="Arial" w:hAnsi="Arial"/>
          <w:b/>
          <w:bCs/>
          <w:color w:val="1F4E79"/>
          <w:sz w:val="32"/>
          <w:szCs w:val="32"/>
        </w:rPr>
        <w:t xml:space="preserve">4. Script y Glue Job (Bronze → Silver)</w:t>
      </w:r>
    </w:p>
    <w:p>
      <w:pPr>
        <w:spacing w:after="80" w:before="160"/>
        <w:jc w:val="center"/>
      </w:pPr>
      <w:r>
        <w:drawing>
          <wp:inline distT="0" distB="0" distL="0" distR="0">
            <wp:extent cx="619125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20065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5 – Script glue_bronze_to_silver.py subido a la carpeta Scripts en S3</w:t>
      </w:r>
    </w:p>
    <w:p>
      <w:pPr>
        <w:spacing w:after="80" w:before="160"/>
        <w:jc w:val="center"/>
      </w:pPr>
      <w:r>
        <w:drawing>
          <wp:inline distT="0" distB="0" distL="0" distR="0">
            <wp:extent cx="61912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56007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6 – Configuración del Glue Job bronze-to-silver-ventas (role, versión Glue 4.0, workers G.1X)</w:t>
      </w:r>
    </w:p>
    <w:p>
      <w:pPr>
        <w:spacing w:after="80" w:before="160"/>
        <w:jc w:val="center"/>
      </w:pPr>
      <w:r>
        <w:drawing>
          <wp:inline distT="0" distB="0" distL="0" distR="0">
            <wp:extent cx="619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2959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7 – Ejecución exitosa del Glue Job (estado: SUCCEEDED)</w:t>
      </w:r>
    </w:p>
    <w:p>
      <w:pPr>
        <w:pBdr>
          <w:bottom w:val="single" w:color="2E75B6" w:sz="6" w:space="1"/>
        </w:pBdr>
        <w:spacing w:after="200" w:before="200"/>
      </w:pPr>
    </w:p>
    <w:p>
      <w:pPr>
        <w:pStyle w:val="Heading1"/>
        <w:spacing w:after="160" w:before="400"/>
      </w:pPr>
      <w:r>
        <w:rPr>
          <w:rFonts w:ascii="Arial" w:cs="Arial" w:eastAsia="Arial" w:hAnsi="Arial"/>
          <w:b/>
          <w:bCs/>
          <w:color w:val="1F4E79"/>
          <w:sz w:val="32"/>
          <w:szCs w:val="32"/>
        </w:rPr>
        <w:t xml:space="preserve">5. Crawlers y Glue Data Catalog</w:t>
      </w:r>
    </w:p>
    <w:p>
      <w:pPr>
        <w:spacing w:after="80" w:before="160"/>
        <w:jc w:val="center"/>
      </w:pPr>
      <w:r>
        <w:drawing>
          <wp:inline distT="0" distB="0" distL="0" distR="0">
            <wp:extent cx="6191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79095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8 – Crawler crawler-silver-ventas apuntando a s3://.../silver/ventas/</w:t>
      </w:r>
    </w:p>
    <w:p>
      <w:pPr>
        <w:spacing w:after="80" w:before="160"/>
        <w:jc w:val="center"/>
      </w:pPr>
      <w:r>
        <w:drawing>
          <wp:inline distT="0" distB="0" distL="0" distR="0">
            <wp:extent cx="61912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5667375"/>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9 – Crawlers crawler-silver-ventas y crawler-gold en estado Completed</w:t>
      </w:r>
    </w:p>
    <w:p>
      <w:pPr>
        <w:spacing w:after="80" w:before="160"/>
        <w:jc w:val="center"/>
      </w:pPr>
      <w:r>
        <w:drawing>
          <wp:inline distT="0" distB="0" distL="0" distR="0">
            <wp:extent cx="619125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516255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10 – Base de datos medallion_db en el Glue Data Catalog con la tabla ventas</w:t>
      </w:r>
    </w:p>
    <w:p>
      <w:pPr>
        <w:pBdr>
          <w:bottom w:val="single" w:color="2E75B6" w:sz="6" w:space="1"/>
        </w:pBdr>
        <w:spacing w:after="200" w:before="200"/>
      </w:pPr>
    </w:p>
    <w:p>
      <w:pPr>
        <w:pStyle w:val="Heading1"/>
        <w:spacing w:after="160" w:before="400"/>
      </w:pPr>
      <w:r>
        <w:rPr>
          <w:rFonts w:ascii="Arial" w:cs="Arial" w:eastAsia="Arial" w:hAnsi="Arial"/>
          <w:b/>
          <w:bCs/>
          <w:color w:val="1F4E79"/>
          <w:sz w:val="32"/>
          <w:szCs w:val="32"/>
        </w:rPr>
        <w:t xml:space="preserve">6. Consultas con Amazon Athena</w:t>
      </w:r>
    </w:p>
    <w:p>
      <w:pPr>
        <w:spacing w:after="80" w:before="160"/>
        <w:jc w:val="center"/>
      </w:pPr>
      <w:r>
        <w:drawing>
          <wp:inline distT="0" distB="0" distL="0" distR="0">
            <wp:extent cx="61912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573405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11 – Consulta SQL ejecutada en Amazon Athena sobre la tabla ventas</w:t>
      </w:r>
    </w:p>
    <w:p>
      <w:pPr>
        <w:spacing w:after="80" w:before="160"/>
        <w:jc w:val="center"/>
      </w:pPr>
      <w:r>
        <w:drawing>
          <wp:inline distT="0" distB="0" distL="0" distR="0">
            <wp:extent cx="619125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58293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Figura 12 – Resultados de la consulta: ingresos netos por categoría (Electrónica, Muebles, Libros)</w:t>
      </w:r>
    </w:p>
    <w:p>
      <w:pPr>
        <w:pBdr>
          <w:bottom w:val="single" w:color="2E75B6" w:sz="6" w:space="1"/>
        </w:pBdr>
        <w:spacing w:after="200" w:before="200"/>
      </w:pPr>
    </w:p>
    <w:p>
      <w:pPr>
        <w:pStyle w:val="Heading1"/>
        <w:spacing w:after="160" w:before="400"/>
      </w:pPr>
      <w:r>
        <w:rPr>
          <w:rFonts w:ascii="Arial" w:cs="Arial" w:eastAsia="Arial" w:hAnsi="Arial"/>
          <w:b/>
          <w:bCs/>
          <w:color w:val="1F4E79"/>
          <w:sz w:val="32"/>
          <w:szCs w:val="32"/>
        </w:rPr>
        <w:t xml:space="preserve">7. Conclusiones</w:t>
      </w:r>
    </w:p>
    <w:p>
      <w:pPr>
        <w:spacing w:after="200" w:before="0"/>
      </w:pPr>
      <w:r>
        <w:rPr>
          <w:rFonts w:ascii="Arial" w:cs="Arial" w:eastAsia="Arial" w:hAnsi="Arial"/>
          <w:sz w:val="22"/>
          <w:szCs w:val="22"/>
        </w:rPr>
        <w:t xml:space="preserve">Se implementó exitosamente una arquitectura Medallion completa en AWS. Los datos en formato JSON fueron ingeridos en la capa Bronze (S3), transformados y limpiados en la capa Silver (Parquet particionado), y finalmente catalogados mediante AWS Glue Data Catalog para su consulta con Amazon Athena. Los resultados obtenidos muestran los ingresos netos por categoría, confirmando el correcto funcionamiento del pipeline ETL de extremo a extremo.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2E75B6"/>
        <w:sz w:val="18"/>
        <w:szCs w:val="18"/>
      </w:rPr>
      <w:t xml:space="preserve">Subtaller 3 – Arquitectura Medallion en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64cc395bafa3c9a5df8f6fe8248a6c9ec2c8b1.png"/><Relationship Id="rId10" Type="http://schemas.openxmlformats.org/officeDocument/2006/relationships/image" Target="media/bbcc8b59a846a61ad33f9571e7a53bf0b5d5b852.png"/><Relationship Id="rId11" Type="http://schemas.openxmlformats.org/officeDocument/2006/relationships/image" Target="media/cb4b7b716f34e7f3ce2f24eaf9793c665a79a9db.png"/><Relationship Id="rId12" Type="http://schemas.openxmlformats.org/officeDocument/2006/relationships/image" Target="media/ce2d47deee1737cc78c3a96a4f43b02ba261d2fc.png"/><Relationship Id="rId13" Type="http://schemas.openxmlformats.org/officeDocument/2006/relationships/image" Target="media/840853f9f948cdbf8c2a2e1cb49ccf19e3dc8272.png"/><Relationship Id="rId14" Type="http://schemas.openxmlformats.org/officeDocument/2006/relationships/image" Target="media/7ad255efd0db269744405332281e53a1b57c84dc.png"/><Relationship Id="rId15" Type="http://schemas.openxmlformats.org/officeDocument/2006/relationships/image" Target="media/2316ba317ed89c9b0bd8aa8c188761d8503ef344.png"/><Relationship Id="rId16" Type="http://schemas.openxmlformats.org/officeDocument/2006/relationships/image" Target="media/ce27afeca3e85f53dfe7ecd832adab913c5e9ede.png"/><Relationship Id="rId17" Type="http://schemas.openxmlformats.org/officeDocument/2006/relationships/image" Target="media/1d171ac08ecfa7866a07bfcbca1d0b1b47574350.png"/><Relationship Id="rId18" Type="http://schemas.openxmlformats.org/officeDocument/2006/relationships/image" Target="media/f3787226ae62b80a09c7740d05b9e99dca540247.png"/><Relationship Id="rId19" Type="http://schemas.openxmlformats.org/officeDocument/2006/relationships/image" Target="media/755452192d46856b03dca900f74876c2f9a6ae97.png"/><Relationship Id="rId20" Type="http://schemas.openxmlformats.org/officeDocument/2006/relationships/image" Target="media/164632cfe0cb357d4636e09cc1a846407fa71ef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2026-04-03T20:15:54.534Z</dcterms:created>
  <dcterms:modified xsi:type="dcterms:W3CDTF">2026-04-03T20:15:54.535Z</dcterms:modified>
</cp:coreProperties>
</file>

<file path=docProps/custom.xml><?xml version="1.0" encoding="utf-8"?>
<Properties xmlns="http://schemas.openxmlformats.org/officeDocument/2006/custom-properties" xmlns:vt="http://schemas.openxmlformats.org/officeDocument/2006/docPropsVTypes"/>
</file>