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b w:val="0"/>
          <w:color w:val="666666"/>
        </w:rPr>
      </w:pPr>
      <w:bookmarkStart w:colFirst="0" w:colLast="0" w:name="_heading=h.gjdgxs" w:id="0"/>
      <w:bookmarkEnd w:id="0"/>
      <w:r w:rsidDel="00000000" w:rsidR="00000000" w:rsidRPr="00000000">
        <w:rPr>
          <w:color w:val="666666"/>
          <w:rtl w:val="0"/>
        </w:rPr>
        <w:t xml:space="preserve">MullinStack Project </w:t>
      </w:r>
      <w:r w:rsidDel="00000000" w:rsidR="00000000" w:rsidRPr="00000000">
        <w:rPr>
          <w:b w:val="0"/>
          <w:color w:val="666666"/>
          <w:rtl w:val="0"/>
        </w:rPr>
        <w:t xml:space="preserve">Weekly Digest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center"/>
        <w:rPr>
          <w:rFonts w:ascii="Lora" w:cs="Lora" w:eastAsia="Lora" w:hAnsi="Lora"/>
        </w:rPr>
      </w:pPr>
      <w:r w:rsidDel="00000000" w:rsidR="00000000" w:rsidRPr="00000000">
        <w:rPr/>
        <w:drawing>
          <wp:inline distB="114300" distT="114300" distL="114300" distR="114300">
            <wp:extent cx="762000" cy="28575"/>
            <wp:effectExtent b="0" l="0" r="0" t="0"/>
            <wp:docPr descr="horizontal line" id="29"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7620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color w:val="000000"/>
        </w:rPr>
      </w:pPr>
      <w:bookmarkStart w:colFirst="0" w:colLast="0" w:name="_heading=h.30j0zll" w:id="1"/>
      <w:bookmarkEnd w:id="1"/>
      <w:r w:rsidDel="00000000" w:rsidR="00000000" w:rsidRPr="00000000">
        <w:rPr>
          <w:rtl w:val="0"/>
        </w:rPr>
        <w:t xml:space="preserve">CEIP with no internet, better I turn it off!</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spacing w:before="0" w:line="276" w:lineRule="auto"/>
        <w:jc w:val="center"/>
        <w:rPr>
          <w:rFonts w:ascii="Lora" w:cs="Lora" w:eastAsia="Lora" w:hAnsi="Lora"/>
          <w:sz w:val="24"/>
          <w:szCs w:val="24"/>
        </w:rPr>
      </w:pPr>
      <w:bookmarkStart w:colFirst="0" w:colLast="0" w:name="_heading=h.1fob9te" w:id="2"/>
      <w:bookmarkEnd w:id="2"/>
      <w:r w:rsidDel="00000000" w:rsidR="00000000" w:rsidRPr="00000000">
        <w:rPr>
          <w:rFonts w:ascii="Lora" w:cs="Lora" w:eastAsia="Lora" w:hAnsi="Lora"/>
          <w:sz w:val="24"/>
          <w:szCs w:val="24"/>
          <w:rtl w:val="0"/>
        </w:rPr>
        <w:t xml:space="preserve">And give back some free memory...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320" w:lineRule="auto"/>
        <w:jc w:val="center"/>
        <w:rPr/>
      </w:pPr>
      <w:r w:rsidDel="00000000" w:rsidR="00000000" w:rsidRPr="00000000">
        <w:rPr/>
        <w:drawing>
          <wp:inline distB="114300" distT="114300" distL="114300" distR="114300">
            <wp:extent cx="5943600" cy="3962400"/>
            <wp:effectExtent b="0" l="0" r="0" t="0"/>
            <wp:docPr id="3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By </w:t>
      </w:r>
      <w:r w:rsidDel="00000000" w:rsidR="00000000" w:rsidRPr="00000000">
        <w:rPr>
          <w:color w:val="ee0000"/>
          <w:rtl w:val="0"/>
        </w:rPr>
        <w:t xml:space="preserve">MullinStack Team</w:t>
      </w:r>
      <w:r w:rsidDel="00000000" w:rsidR="00000000" w:rsidRPr="00000000">
        <w:rPr>
          <w:color w:val="666666"/>
          <w:rtl w:val="0"/>
        </w:rPr>
        <w:t xml:space="preserve"> Sept 2019</w:t>
      </w:r>
    </w:p>
    <w:p w:rsidR="00000000" w:rsidDel="00000000" w:rsidP="00000000" w:rsidRDefault="00000000" w:rsidRPr="00000000" w14:paraId="00000008">
      <w:pPr>
        <w:jc w:val="both"/>
        <w:rPr/>
      </w:pPr>
      <w:r w:rsidDel="00000000" w:rsidR="00000000" w:rsidRPr="00000000">
        <w:rPr>
          <w:rtl w:val="0"/>
        </w:rPr>
        <w:t xml:space="preserve">Community, a short topic but so important having in count because is part of our work the </w:t>
      </w:r>
      <w:r w:rsidDel="00000000" w:rsidR="00000000" w:rsidRPr="00000000">
        <w:rPr>
          <w:b w:val="1"/>
          <w:rtl w:val="0"/>
        </w:rPr>
        <w:t xml:space="preserve">“resources optimizing”</w:t>
      </w:r>
      <w:r w:rsidDel="00000000" w:rsidR="00000000" w:rsidRPr="00000000">
        <w:rPr>
          <w:rtl w:val="0"/>
        </w:rPr>
        <w:t xml:space="preserve"> which in turn get more importance with the cloud services where the companies </w:t>
      </w:r>
      <w:r w:rsidDel="00000000" w:rsidR="00000000" w:rsidRPr="00000000">
        <w:rPr>
          <w:b w:val="1"/>
          <w:rtl w:val="0"/>
        </w:rPr>
        <w:t xml:space="preserve">charge us for the use </w:t>
      </w:r>
      <w:r w:rsidDel="00000000" w:rsidR="00000000" w:rsidRPr="00000000">
        <w:rPr>
          <w:rtl w:val="0"/>
        </w:rPr>
        <w:t xml:space="preserve">of it.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Recently we have created a couple of SQL Server servers into the cloud, version 2016 Standard Edition but when I take a look at the processes running into the servers, I see particularly 3 processes that get my attention because I really don’t know anything about it</w:t>
      </w:r>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1333500"/>
            <wp:effectExtent b="0" l="0" r="0" t="0"/>
            <wp:docPr id="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These processes belong to a Microsoft program called </w:t>
      </w:r>
      <w:r w:rsidDel="00000000" w:rsidR="00000000" w:rsidRPr="00000000">
        <w:rPr>
          <w:b w:val="1"/>
          <w:rtl w:val="0"/>
        </w:rPr>
        <w:t xml:space="preserve">“Customer Experience Improvements”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These are designed to gather information about Hardware use and how the users use the software, in this case specifically </w:t>
      </w:r>
      <w:r w:rsidDel="00000000" w:rsidR="00000000" w:rsidRPr="00000000">
        <w:rPr>
          <w:b w:val="1"/>
          <w:rtl w:val="0"/>
        </w:rPr>
        <w:t xml:space="preserve">SQL Server, Analysis and Integration Services</w:t>
      </w: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Reviewing the services through the SQL Configuration Manager Console, you won’t see them here.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2133600"/>
            <wp:effectExtent b="0" l="0" r="0" t="0"/>
            <wp:docPr id="3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But if I go to take a look at the Operative System services, through the Windows Services Manager Console, we found this: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24550" cy="2057400"/>
            <wp:effectExtent b="0" l="0" r="0" t="0"/>
            <wp:docPr id="3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245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From here, is possible to see the services which </w:t>
      </w:r>
      <w:r w:rsidDel="00000000" w:rsidR="00000000" w:rsidRPr="00000000">
        <w:rPr>
          <w:b w:val="1"/>
          <w:rtl w:val="0"/>
        </w:rPr>
        <w:t xml:space="preserve">“start”</w:t>
      </w:r>
      <w:r w:rsidDel="00000000" w:rsidR="00000000" w:rsidRPr="00000000">
        <w:rPr>
          <w:rtl w:val="0"/>
        </w:rPr>
        <w:t xml:space="preserve"> those processes that I saw with the Task Manager.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servers won’t have internet access and that means the main purpose, sharing information to Microsoft won’t work. Another point could be don’t agree with sharing information about our infrastructure use to Microsoft but anyway we have the plus getting back resources like memory… it is better to turn them off and disable them, to do that we need to follow some steps: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lineRule="auto"/>
        <w:ind w:left="720" w:hanging="360"/>
        <w:jc w:val="both"/>
        <w:rPr>
          <w:u w:val="none"/>
        </w:rPr>
      </w:pPr>
      <w:r w:rsidDel="00000000" w:rsidR="00000000" w:rsidRPr="00000000">
        <w:rPr>
          <w:rtl w:val="0"/>
        </w:rPr>
        <w:t xml:space="preserve">Deactivate the services:</w:t>
      </w:r>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u w:val="none"/>
        </w:rPr>
      </w:pPr>
      <w:r w:rsidDel="00000000" w:rsidR="00000000" w:rsidRPr="00000000">
        <w:rPr>
          <w:rtl w:val="0"/>
        </w:rPr>
        <w:t xml:space="preserve">SQL Server Analysis Services CEIP Service</w:t>
      </w:r>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u w:val="none"/>
        </w:rPr>
      </w:pPr>
      <w:r w:rsidDel="00000000" w:rsidR="00000000" w:rsidRPr="00000000">
        <w:rPr>
          <w:rtl w:val="0"/>
        </w:rPr>
        <w:t xml:space="preserve">SQL Server CEIP Service</w:t>
      </w:r>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u w:val="none"/>
        </w:rPr>
      </w:pPr>
      <w:r w:rsidDel="00000000" w:rsidR="00000000" w:rsidRPr="00000000">
        <w:rPr>
          <w:rtl w:val="0"/>
        </w:rPr>
        <w:t xml:space="preserve">SQL Server Integration Services CEIP Service</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u w:val="none"/>
        </w:rPr>
      </w:pPr>
      <w:r w:rsidDel="00000000" w:rsidR="00000000" w:rsidRPr="00000000">
        <w:rPr>
          <w:rtl w:val="0"/>
        </w:rPr>
        <w:t xml:space="preserve">Set the CEIP keys to cero (image below):</w:t>
      </w:r>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u w:val="none"/>
        </w:rPr>
      </w:pPr>
      <w:r w:rsidDel="00000000" w:rsidR="00000000" w:rsidRPr="00000000">
        <w:rPr>
          <w:rtl w:val="0"/>
        </w:rPr>
        <w:t xml:space="preserve">HKLM:\SOFTWARE\Microsoft\Microsoft SQL Server</w:t>
      </w:r>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before="0" w:lineRule="auto"/>
        <w:ind w:left="1440" w:hanging="360"/>
        <w:jc w:val="both"/>
        <w:rPr>
          <w:u w:val="none"/>
        </w:rPr>
      </w:pPr>
      <w:r w:rsidDel="00000000" w:rsidR="00000000" w:rsidRPr="00000000">
        <w:rPr>
          <w:rtl w:val="0"/>
        </w:rPr>
        <w:t xml:space="preserve">HKLM:\SOFTWARE\Wow6432Node\Microsoft\Microsoft SQL Server</w:t>
      </w: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drawing>
          <wp:inline distB="114300" distT="114300" distL="114300" distR="114300">
            <wp:extent cx="5943600" cy="2654300"/>
            <wp:effectExtent b="0" l="0" r="0" t="0"/>
            <wp:docPr id="2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these changes to get them turned off , we can find them within the </w:t>
      </w:r>
      <w:r w:rsidDel="00000000" w:rsidR="00000000" w:rsidRPr="00000000">
        <w:rPr>
          <w:b w:val="1"/>
          <w:rtl w:val="0"/>
        </w:rPr>
        <w:t xml:space="preserve">Powershell </w:t>
      </w:r>
      <w:r w:rsidDel="00000000" w:rsidR="00000000" w:rsidRPr="00000000">
        <w:rPr>
          <w:rtl w:val="0"/>
        </w:rPr>
        <w:t xml:space="preserve">script from the GitHub link at the references: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SQL Server CEIP Services Disable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References: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https://blog.dbi-services.com/sql-server-tips-deactivate-the-customer-experience-improvement-program-ceip/</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065.0" w:type="dxa"/>
        <w:jc w:val="left"/>
        <w:tblInd w:w="100.0" w:type="pct"/>
        <w:tblLayout w:type="fixed"/>
        <w:tblLook w:val="0600"/>
      </w:tblPr>
      <w:tblGrid>
        <w:gridCol w:w="4065"/>
        <w:tblGridChange w:id="0">
          <w:tblGrid>
            <w:gridCol w:w="4065"/>
          </w:tblGrid>
        </w:tblGridChange>
      </w:tblGrid>
      <w:tr>
        <w:trPr>
          <w:trHeight w:val="720" w:hRule="atLeast"/>
        </w:trPr>
        <w:tc>
          <w:tcPr>
            <w:tcBorders>
              <w:top w:color="000000" w:space="0" w:sz="0" w:val="nil"/>
              <w:left w:color="000000" w:space="0" w:sz="0" w:val="nil"/>
              <w:bottom w:color="000000" w:space="0" w:sz="0" w:val="nil"/>
              <w:right w:color="000000" w:space="0" w:sz="0" w:val="nil"/>
            </w:tcBorders>
            <w:shd w:fill="ee0000"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jc w:val="center"/>
              <w:rPr>
                <w:rFonts w:ascii="Quicksand" w:cs="Quicksand" w:eastAsia="Quicksand" w:hAnsi="Quicksand"/>
                <w:b w:val="1"/>
                <w:color w:val="ffffff"/>
                <w:u w:val="single"/>
              </w:rPr>
            </w:pPr>
            <w:hyperlink r:id="rId15">
              <w:r w:rsidDel="00000000" w:rsidR="00000000" w:rsidRPr="00000000">
                <w:rPr>
                  <w:rFonts w:ascii="Quicksand" w:cs="Quicksand" w:eastAsia="Quicksand" w:hAnsi="Quicksand"/>
                  <w:b w:val="1"/>
                  <w:color w:val="1155cc"/>
                  <w:u w:val="single"/>
                  <w:rtl w:val="0"/>
                </w:rPr>
                <w:t xml:space="preserve">LEER MAS EN NUESTRO SITIO WEB </w:t>
              </w:r>
            </w:hyperlink>
            <w:r w:rsidDel="00000000" w:rsidR="00000000" w:rsidRPr="00000000">
              <w:rPr>
                <w:rtl w:val="0"/>
              </w:rPr>
            </w:r>
          </w:p>
        </w:tc>
      </w:tr>
    </w:tbl>
    <w:p w:rsidR="00000000" w:rsidDel="00000000" w:rsidP="00000000" w:rsidRDefault="00000000" w:rsidRPr="00000000" w14:paraId="00000023">
      <w:pPr>
        <w:pStyle w:val="Subtitle"/>
        <w:pBdr>
          <w:top w:space="0" w:sz="0" w:val="nil"/>
          <w:left w:space="0" w:sz="0" w:val="nil"/>
          <w:bottom w:space="0" w:sz="0" w:val="nil"/>
          <w:right w:space="0" w:sz="0" w:val="nil"/>
          <w:between w:space="0" w:sz="0" w:val="nil"/>
        </w:pBdr>
        <w:shd w:fill="auto" w:val="clear"/>
        <w:spacing w:after="320" w:before="320" w:line="240" w:lineRule="auto"/>
        <w:rPr/>
      </w:pPr>
      <w:bookmarkStart w:colFirst="0" w:colLast="0" w:name="_heading=h.3znysh7" w:id="3"/>
      <w:bookmarkEnd w:id="3"/>
      <w:r w:rsidDel="00000000" w:rsidR="00000000" w:rsidRPr="00000000">
        <w:rPr>
          <w:color w:val="666666"/>
          <w:sz w:val="22"/>
          <w:szCs w:val="22"/>
        </w:rPr>
        <w:drawing>
          <wp:inline distB="114300" distT="114300" distL="114300" distR="114300">
            <wp:extent cx="728708" cy="439738"/>
            <wp:effectExtent b="0" l="0" r="0" t="0"/>
            <wp:docPr descr="placeholder logo" id="28" name="image7.png"/>
            <a:graphic>
              <a:graphicData uri="http://schemas.openxmlformats.org/drawingml/2006/picture">
                <pic:pic>
                  <pic:nvPicPr>
                    <pic:cNvPr descr="placeholder logo" id="0" name="image7.png"/>
                    <pic:cNvPicPr preferRelativeResize="0"/>
                  </pic:nvPicPr>
                  <pic:blipFill>
                    <a:blip r:embed="rId16"/>
                    <a:srcRect b="0" l="0" r="0" t="0"/>
                    <a:stretch>
                      <a:fillRect/>
                    </a:stretch>
                  </pic:blipFill>
                  <pic:spPr>
                    <a:xfrm>
                      <a:off x="0" y="0"/>
                      <a:ext cx="728708" cy="4397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MullinStack Project.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El Salvador, San Salvador, CA</w:t>
      </w:r>
    </w:p>
    <w:sectPr>
      <w:pgSz w:h="15840" w:w="12240"/>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color w:val="000000"/>
      <w:sz w:val="72"/>
      <w:szCs w:val="72"/>
    </w:rPr>
  </w:style>
  <w:style w:type="paragraph" w:styleId="Heading2">
    <w:name w:val="heading 2"/>
    <w:basedOn w:val="Normal"/>
    <w:next w:val="Normal"/>
    <w:pPr>
      <w:spacing w:before="480" w:lineRule="auto"/>
    </w:pPr>
    <w:rPr>
      <w:color w:val="000000"/>
      <w:sz w:val="40"/>
      <w:szCs w:val="40"/>
    </w:rPr>
  </w:style>
  <w:style w:type="paragraph" w:styleId="Heading3">
    <w:name w:val="heading 3"/>
    <w:basedOn w:val="Normal"/>
    <w:next w:val="Normal"/>
    <w:pPr>
      <w:spacing w:after="120" w:before="120" w:line="312" w:lineRule="auto"/>
    </w:pPr>
    <w:rPr>
      <w:color w:val="999999"/>
    </w:rPr>
  </w:style>
  <w:style w:type="paragraph" w:styleId="Heading4">
    <w:name w:val="heading 4"/>
    <w:basedOn w:val="Normal"/>
    <w:next w:val="Normal"/>
    <w:pPr>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200" w:line="240" w:lineRule="auto"/>
      <w:jc w:val="center"/>
    </w:pPr>
    <w:rPr>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color w:val="000000"/>
      <w:sz w:val="72"/>
      <w:szCs w:val="72"/>
    </w:rPr>
  </w:style>
  <w:style w:type="paragraph" w:styleId="Heading2">
    <w:name w:val="heading 2"/>
    <w:basedOn w:val="Normal"/>
    <w:next w:val="Normal"/>
    <w:pPr>
      <w:spacing w:before="480" w:lineRule="auto"/>
    </w:pPr>
    <w:rPr>
      <w:color w:val="000000"/>
      <w:sz w:val="40"/>
      <w:szCs w:val="40"/>
    </w:rPr>
  </w:style>
  <w:style w:type="paragraph" w:styleId="Heading3">
    <w:name w:val="heading 3"/>
    <w:basedOn w:val="Normal"/>
    <w:next w:val="Normal"/>
    <w:pPr>
      <w:spacing w:after="120" w:before="120" w:line="312" w:lineRule="auto"/>
    </w:pPr>
    <w:rPr>
      <w:color w:val="999999"/>
    </w:rPr>
  </w:style>
  <w:style w:type="paragraph" w:styleId="Heading4">
    <w:name w:val="heading 4"/>
    <w:basedOn w:val="Normal"/>
    <w:next w:val="Normal"/>
    <w:pPr>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200" w:line="240" w:lineRule="auto"/>
      <w:jc w:val="center"/>
    </w:pPr>
    <w:rPr>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color w:val="000000"/>
      <w:sz w:val="72"/>
      <w:szCs w:val="72"/>
    </w:rPr>
  </w:style>
  <w:style w:type="paragraph" w:styleId="Heading2">
    <w:name w:val="heading 2"/>
    <w:basedOn w:val="Normal"/>
    <w:next w:val="Normal"/>
    <w:pPr>
      <w:spacing w:before="480" w:lineRule="auto"/>
    </w:pPr>
    <w:rPr>
      <w:color w:val="000000"/>
      <w:sz w:val="40"/>
      <w:szCs w:val="40"/>
    </w:rPr>
  </w:style>
  <w:style w:type="paragraph" w:styleId="Heading3">
    <w:name w:val="heading 3"/>
    <w:basedOn w:val="Normal"/>
    <w:next w:val="Normal"/>
    <w:pPr>
      <w:spacing w:after="120" w:before="120" w:line="312" w:lineRule="auto"/>
    </w:pPr>
    <w:rPr>
      <w:color w:val="999999"/>
    </w:rPr>
  </w:style>
  <w:style w:type="paragraph" w:styleId="Heading4">
    <w:name w:val="heading 4"/>
    <w:basedOn w:val="Normal"/>
    <w:next w:val="Normal"/>
    <w:pPr>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200" w:line="240" w:lineRule="auto"/>
      <w:jc w:val="center"/>
    </w:pPr>
    <w:rPr>
      <w:b w:val="1"/>
      <w:sz w:val="24"/>
      <w:szCs w:val="24"/>
    </w:rPr>
  </w:style>
  <w:style w:type="paragraph" w:styleId="Subtitle">
    <w:name w:val="Subtitle"/>
    <w:basedOn w:val="Normal"/>
    <w:next w:val="Normal"/>
    <w:pPr>
      <w:spacing w:before="0" w:line="240" w:lineRule="auto"/>
      <w:jc w:val="center"/>
    </w:pPr>
    <w:rPr>
      <w:rFonts w:ascii="Quicksand" w:cs="Quicksand" w:eastAsia="Quicksand" w:hAnsi="Quicksan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40" w:lineRule="auto"/>
      <w:jc w:val="center"/>
    </w:pPr>
    <w:rPr>
      <w:rFonts w:ascii="Quicksand" w:cs="Quicksand" w:eastAsia="Quicksand" w:hAnsi="Quicksan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40" w:lineRule="auto"/>
      <w:jc w:val="center"/>
    </w:pPr>
    <w:rPr>
      <w:rFonts w:ascii="Quicksand" w:cs="Quicksand" w:eastAsia="Quicksand" w:hAnsi="Quicksan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github.com/jotaccruz/SQLServer-CEIP-Service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www.mullinstack.com/" TargetMode="External"/><Relationship Id="rId14" Type="http://schemas.openxmlformats.org/officeDocument/2006/relationships/hyperlink" Target="https://blog.dbi-services.com/sql-server-tips-deactivate-the-customer-experience-improvement-program-ceip/"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Quicksand-regular.ttf"/><Relationship Id="rId6"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P6rqLO+vN64Jdq3LtAFPxwBzSA==">AMUW2mW/bN7w1d5Bex7LJET2DCCZRhcCMSBh40VSNJR5wsJagXZx+njd6M9vJwDla9r4+KJ2i4w5xCExSv+XwnHm9ZLcMcsDo4Y1aV5a4BNvMHlRrO+9XRbguTwrK7g4SojusSs/0UdOzfQvv9wZo7qEYeeo3ze3RZrJC1TZAlKo3YBKAxNgoZA=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