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418"/>
        <w:gridCol w:w="1418"/>
        <w:gridCol w:w="1487"/>
        <w:gridCol w:w="1559"/>
        <w:gridCol w:w="1418"/>
        <w:gridCol w:w="425"/>
        <w:gridCol w:w="567"/>
        <w:gridCol w:w="2268"/>
      </w:tblGrid>
      <w:tr w:rsidR="007147EB">
        <w:trPr>
          <w:cantSplit/>
          <w:trHeight w:hRule="exact" w:val="414"/>
        </w:trPr>
        <w:tc>
          <w:tcPr>
            <w:tcW w:w="7725" w:type="dxa"/>
            <w:gridSpan w:val="6"/>
            <w:vMerge w:val="restart"/>
            <w:vAlign w:val="center"/>
          </w:tcPr>
          <w:p w:rsidR="000F21A1" w:rsidRPr="000F21A1" w:rsidRDefault="007147EB">
            <w:pPr>
              <w:rPr>
                <w:sz w:val="24"/>
              </w:rPr>
            </w:pPr>
            <w:r>
              <w:rPr>
                <w:rFonts w:ascii="Courier New" w:hAnsi="Courier New"/>
              </w:rPr>
              <w:t>NOM :</w:t>
            </w:r>
            <w:r w:rsidR="009D3EA9">
              <w:rPr>
                <w:sz w:val="24"/>
              </w:rPr>
              <w:t xml:space="preserve"> </w:t>
            </w:r>
            <w:r w:rsidR="00AD5C81">
              <w:rPr>
                <w:sz w:val="24"/>
              </w:rPr>
              <w:t>MARCHAND</w:t>
            </w:r>
          </w:p>
          <w:p w:rsidR="007147EB" w:rsidRDefault="007147EB">
            <w:pPr>
              <w:rPr>
                <w:rFonts w:ascii="Courier New" w:hAnsi="Courier New"/>
              </w:rPr>
            </w:pPr>
            <w:r>
              <w:rPr>
                <w:rFonts w:ascii="Courier New" w:hAnsi="Courier New"/>
              </w:rPr>
              <w:t xml:space="preserve"> </w:t>
            </w:r>
          </w:p>
          <w:p w:rsidR="007147EB" w:rsidRDefault="007147EB" w:rsidP="00AD5C81">
            <w:pPr>
              <w:rPr>
                <w:rFonts w:ascii="Courier New" w:hAnsi="Courier New"/>
              </w:rPr>
            </w:pPr>
            <w:r>
              <w:rPr>
                <w:rFonts w:ascii="Courier New" w:hAnsi="Courier New"/>
              </w:rPr>
              <w:t xml:space="preserve">Prénoms : </w:t>
            </w:r>
            <w:r w:rsidR="00AD5C81">
              <w:rPr>
                <w:rFonts w:ascii="Times" w:hAnsi="Times"/>
                <w:sz w:val="24"/>
              </w:rPr>
              <w:t>Benoît</w:t>
            </w:r>
          </w:p>
        </w:tc>
        <w:tc>
          <w:tcPr>
            <w:tcW w:w="2835" w:type="dxa"/>
            <w:gridSpan w:val="2"/>
            <w:vAlign w:val="center"/>
          </w:tcPr>
          <w:p w:rsidR="007147EB" w:rsidRDefault="007147EB">
            <w:pPr>
              <w:jc w:val="center"/>
              <w:rPr>
                <w:rFonts w:ascii="Courier New" w:hAnsi="Courier New"/>
              </w:rPr>
            </w:pPr>
            <w:r>
              <w:rPr>
                <w:rFonts w:ascii="Courier New" w:hAnsi="Courier New"/>
              </w:rPr>
              <w:t>DATE de SOUTENANCE</w:t>
            </w:r>
          </w:p>
        </w:tc>
      </w:tr>
      <w:tr w:rsidR="007147EB">
        <w:trPr>
          <w:cantSplit/>
          <w:trHeight w:hRule="exact" w:val="720"/>
        </w:trPr>
        <w:tc>
          <w:tcPr>
            <w:tcW w:w="7725" w:type="dxa"/>
            <w:gridSpan w:val="6"/>
            <w:vMerge/>
            <w:vAlign w:val="center"/>
          </w:tcPr>
          <w:p w:rsidR="007147EB" w:rsidRDefault="007147EB"/>
        </w:tc>
        <w:tc>
          <w:tcPr>
            <w:tcW w:w="2835" w:type="dxa"/>
            <w:gridSpan w:val="2"/>
            <w:vAlign w:val="center"/>
          </w:tcPr>
          <w:p w:rsidR="007147EB" w:rsidRDefault="00AD5C81">
            <w:pPr>
              <w:pStyle w:val="Titre1"/>
              <w:rPr>
                <w:rFonts w:ascii="Times" w:hAnsi="Times"/>
              </w:rPr>
            </w:pPr>
            <w:r>
              <w:rPr>
                <w:rFonts w:ascii="Times" w:hAnsi="Times"/>
              </w:rPr>
              <w:t>21 Décembre 2012</w:t>
            </w:r>
          </w:p>
        </w:tc>
      </w:tr>
      <w:tr w:rsidR="007147EB" w:rsidRPr="001875FA">
        <w:trPr>
          <w:cantSplit/>
          <w:trHeight w:hRule="exact" w:val="1111"/>
        </w:trPr>
        <w:tc>
          <w:tcPr>
            <w:tcW w:w="10560" w:type="dxa"/>
            <w:gridSpan w:val="8"/>
            <w:tcBorders>
              <w:bottom w:val="single" w:sz="4" w:space="0" w:color="auto"/>
            </w:tcBorders>
            <w:vAlign w:val="center"/>
          </w:tcPr>
          <w:p w:rsidR="007147EB" w:rsidRPr="00AD5C81" w:rsidRDefault="007147EB" w:rsidP="00AD5C81">
            <w:pPr>
              <w:autoSpaceDE w:val="0"/>
              <w:autoSpaceDN w:val="0"/>
              <w:adjustRightInd w:val="0"/>
              <w:jc w:val="both"/>
              <w:rPr>
                <w:sz w:val="28"/>
                <w:szCs w:val="28"/>
              </w:rPr>
            </w:pPr>
            <w:r w:rsidRPr="00F9134F">
              <w:rPr>
                <w:color w:val="000000"/>
                <w:sz w:val="28"/>
                <w:szCs w:val="24"/>
              </w:rPr>
              <w:t xml:space="preserve">TITRE : </w:t>
            </w:r>
            <w:r w:rsidR="00AD5C81">
              <w:rPr>
                <w:sz w:val="22"/>
                <w:szCs w:val="22"/>
              </w:rPr>
              <w:t>Effets de la température et de l’irradiation sur la mobilité du xénon dans UO</w:t>
            </w:r>
            <w:r w:rsidR="00AD5C81">
              <w:rPr>
                <w:sz w:val="22"/>
                <w:szCs w:val="22"/>
                <w:vertAlign w:val="subscript"/>
              </w:rPr>
              <w:t>2</w:t>
            </w:r>
            <w:r w:rsidR="00AD5C81">
              <w:rPr>
                <w:sz w:val="22"/>
                <w:szCs w:val="22"/>
              </w:rPr>
              <w:t xml:space="preserve"> : étude </w:t>
            </w:r>
            <w:proofErr w:type="spellStart"/>
            <w:r w:rsidR="00AD5C81">
              <w:rPr>
                <w:sz w:val="22"/>
                <w:szCs w:val="22"/>
              </w:rPr>
              <w:t>profilométrique</w:t>
            </w:r>
            <w:proofErr w:type="spellEnd"/>
            <w:r w:rsidR="00AD5C81">
              <w:rPr>
                <w:sz w:val="22"/>
                <w:szCs w:val="22"/>
              </w:rPr>
              <w:t xml:space="preserve"> et </w:t>
            </w:r>
            <w:proofErr w:type="spellStart"/>
            <w:r w:rsidR="00AD5C81">
              <w:rPr>
                <w:sz w:val="22"/>
                <w:szCs w:val="22"/>
              </w:rPr>
              <w:t>microsctructurale</w:t>
            </w:r>
            <w:proofErr w:type="spellEnd"/>
          </w:p>
        </w:tc>
      </w:tr>
      <w:tr w:rsidR="007147EB">
        <w:trPr>
          <w:cantSplit/>
          <w:trHeight w:val="568"/>
        </w:trPr>
        <w:tc>
          <w:tcPr>
            <w:tcW w:w="7300" w:type="dxa"/>
            <w:gridSpan w:val="5"/>
            <w:tcBorders>
              <w:bottom w:val="nil"/>
              <w:right w:val="nil"/>
            </w:tcBorders>
            <w:vAlign w:val="center"/>
          </w:tcPr>
          <w:p w:rsidR="007147EB" w:rsidRDefault="007147EB">
            <w:pPr>
              <w:rPr>
                <w:rFonts w:ascii="Courier New" w:hAnsi="Courier New"/>
              </w:rPr>
            </w:pPr>
            <w:r>
              <w:rPr>
                <w:rFonts w:ascii="Courier New" w:hAnsi="Courier New"/>
              </w:rPr>
              <w:t xml:space="preserve"> </w:t>
            </w:r>
          </w:p>
        </w:tc>
        <w:tc>
          <w:tcPr>
            <w:tcW w:w="3260" w:type="dxa"/>
            <w:gridSpan w:val="3"/>
            <w:tcBorders>
              <w:left w:val="nil"/>
              <w:bottom w:val="nil"/>
            </w:tcBorders>
            <w:vAlign w:val="center"/>
          </w:tcPr>
          <w:p w:rsidR="007147EB" w:rsidRDefault="007147EB" w:rsidP="00AD5C81">
            <w:pPr>
              <w:rPr>
                <w:rFonts w:ascii="Courier New" w:hAnsi="Courier New"/>
              </w:rPr>
            </w:pPr>
            <w:r>
              <w:rPr>
                <w:rFonts w:ascii="Courier New" w:hAnsi="Courier New"/>
              </w:rPr>
              <w:t>Numéro d’ordre :</w:t>
            </w:r>
            <w:r w:rsidR="00D96D2C">
              <w:rPr>
                <w:rFonts w:ascii="Courier New" w:hAnsi="Courier New"/>
              </w:rPr>
              <w:t> </w:t>
            </w:r>
            <w:r w:rsidR="00AD5C81">
              <w:rPr>
                <w:sz w:val="24"/>
                <w:szCs w:val="24"/>
              </w:rPr>
              <w:t>297-2012</w:t>
            </w:r>
          </w:p>
        </w:tc>
      </w:tr>
      <w:tr w:rsidR="007147EB">
        <w:trPr>
          <w:cantSplit/>
          <w:trHeight w:val="850"/>
        </w:trPr>
        <w:tc>
          <w:tcPr>
            <w:tcW w:w="1418" w:type="dxa"/>
            <w:tcBorders>
              <w:top w:val="nil"/>
              <w:bottom w:val="nil"/>
              <w:right w:val="nil"/>
            </w:tcBorders>
            <w:vAlign w:val="center"/>
          </w:tcPr>
          <w:p w:rsidR="007147EB" w:rsidRDefault="007147EB">
            <w:pPr>
              <w:jc w:val="center"/>
              <w:rPr>
                <w:rFonts w:ascii="Courier New" w:hAnsi="Courier New"/>
              </w:rPr>
            </w:pPr>
            <w:r>
              <w:rPr>
                <w:rFonts w:ascii="Courier New" w:hAnsi="Courier New"/>
              </w:rPr>
              <w:t>DIPLOME</w:t>
            </w:r>
          </w:p>
          <w:p w:rsidR="007147EB" w:rsidRDefault="007147EB">
            <w:pPr>
              <w:jc w:val="center"/>
              <w:rPr>
                <w:rFonts w:ascii="Courier New" w:hAnsi="Courier New"/>
              </w:rPr>
            </w:pPr>
            <w:r>
              <w:rPr>
                <w:rFonts w:ascii="Courier New" w:hAnsi="Courier New"/>
              </w:rPr>
              <w:t>DE DOCT.</w:t>
            </w:r>
          </w:p>
        </w:tc>
        <w:tc>
          <w:tcPr>
            <w:tcW w:w="1418" w:type="dxa"/>
            <w:tcBorders>
              <w:top w:val="nil"/>
              <w:left w:val="nil"/>
              <w:bottom w:val="nil"/>
              <w:right w:val="nil"/>
            </w:tcBorders>
            <w:vAlign w:val="center"/>
          </w:tcPr>
          <w:p w:rsidR="007147EB" w:rsidRDefault="007147EB">
            <w:pPr>
              <w:jc w:val="center"/>
              <w:rPr>
                <w:rFonts w:ascii="Courier New" w:hAnsi="Courier New"/>
              </w:rPr>
            </w:pPr>
            <w:r>
              <w:rPr>
                <w:rFonts w:ascii="Courier New" w:hAnsi="Courier New"/>
              </w:rPr>
              <w:t>DOCTEUR-</w:t>
            </w:r>
          </w:p>
          <w:p w:rsidR="007147EB" w:rsidRDefault="007147EB">
            <w:pPr>
              <w:jc w:val="center"/>
              <w:rPr>
                <w:rFonts w:ascii="Courier New" w:hAnsi="Courier New"/>
              </w:rPr>
            </w:pPr>
            <w:r>
              <w:rPr>
                <w:rFonts w:ascii="Courier New" w:hAnsi="Courier New"/>
              </w:rPr>
              <w:t>INGENIEUR</w:t>
            </w:r>
          </w:p>
        </w:tc>
        <w:tc>
          <w:tcPr>
            <w:tcW w:w="1487" w:type="dxa"/>
            <w:tcBorders>
              <w:top w:val="nil"/>
              <w:left w:val="nil"/>
              <w:bottom w:val="nil"/>
              <w:right w:val="nil"/>
            </w:tcBorders>
            <w:vAlign w:val="center"/>
          </w:tcPr>
          <w:p w:rsidR="007147EB" w:rsidRDefault="007147EB">
            <w:pPr>
              <w:jc w:val="center"/>
              <w:rPr>
                <w:rFonts w:ascii="Courier New" w:hAnsi="Courier New"/>
              </w:rPr>
            </w:pPr>
            <w:r>
              <w:rPr>
                <w:rFonts w:ascii="Courier New" w:hAnsi="Courier New"/>
              </w:rPr>
              <w:t>DOCTORAT</w:t>
            </w:r>
          </w:p>
          <w:p w:rsidR="007147EB" w:rsidRDefault="007147EB">
            <w:pPr>
              <w:jc w:val="center"/>
              <w:rPr>
                <w:rFonts w:ascii="Courier New" w:hAnsi="Courier New"/>
              </w:rPr>
            </w:pPr>
            <w:r>
              <w:rPr>
                <w:rFonts w:ascii="Courier New" w:hAnsi="Courier New"/>
              </w:rPr>
              <w:t>D’ETAT</w:t>
            </w:r>
          </w:p>
        </w:tc>
        <w:tc>
          <w:tcPr>
            <w:tcW w:w="1559" w:type="dxa"/>
            <w:tcBorders>
              <w:top w:val="nil"/>
              <w:left w:val="nil"/>
              <w:bottom w:val="nil"/>
              <w:right w:val="nil"/>
            </w:tcBorders>
            <w:vAlign w:val="center"/>
          </w:tcPr>
          <w:p w:rsidR="007147EB" w:rsidRDefault="007147EB">
            <w:pPr>
              <w:jc w:val="center"/>
              <w:rPr>
                <w:rFonts w:ascii="Courier New" w:hAnsi="Courier New"/>
              </w:rPr>
            </w:pPr>
            <w:r>
              <w:rPr>
                <w:rFonts w:ascii="Courier New" w:hAnsi="Courier New"/>
              </w:rPr>
              <w:t>DOCTORAT</w:t>
            </w:r>
          </w:p>
          <w:p w:rsidR="007147EB" w:rsidRDefault="007147EB">
            <w:pPr>
              <w:jc w:val="center"/>
              <w:rPr>
                <w:rFonts w:ascii="Courier New" w:hAnsi="Courier New"/>
              </w:rPr>
            </w:pPr>
            <w:r>
              <w:rPr>
                <w:rFonts w:ascii="Courier New" w:hAnsi="Courier New"/>
              </w:rPr>
              <w:t>DE</w:t>
            </w:r>
          </w:p>
          <w:p w:rsidR="007147EB" w:rsidRDefault="007147EB">
            <w:pPr>
              <w:jc w:val="center"/>
              <w:rPr>
                <w:rFonts w:ascii="Courier New" w:hAnsi="Courier New"/>
              </w:rPr>
            </w:pPr>
            <w:r>
              <w:rPr>
                <w:rFonts w:ascii="Courier New" w:hAnsi="Courier New"/>
              </w:rPr>
              <w:t>3e CYCLE</w:t>
            </w:r>
          </w:p>
        </w:tc>
        <w:tc>
          <w:tcPr>
            <w:tcW w:w="4678" w:type="dxa"/>
            <w:gridSpan w:val="4"/>
            <w:tcBorders>
              <w:top w:val="nil"/>
              <w:left w:val="nil"/>
              <w:bottom w:val="nil"/>
            </w:tcBorders>
            <w:vAlign w:val="center"/>
          </w:tcPr>
          <w:p w:rsidR="007147EB" w:rsidRDefault="007147EB" w:rsidP="00AD5C81">
            <w:pPr>
              <w:rPr>
                <w:rFonts w:ascii="Courier New" w:hAnsi="Courier New"/>
              </w:rPr>
            </w:pPr>
            <w:r>
              <w:rPr>
                <w:rFonts w:ascii="Courier New" w:hAnsi="Courier New"/>
              </w:rPr>
              <w:t xml:space="preserve">Spécialité : </w:t>
            </w:r>
            <w:r w:rsidR="001A06A4" w:rsidRPr="00314860">
              <w:rPr>
                <w:sz w:val="24"/>
                <w:szCs w:val="24"/>
              </w:rPr>
              <w:t xml:space="preserve">Physique </w:t>
            </w:r>
            <w:r w:rsidR="00AD5C81">
              <w:rPr>
                <w:sz w:val="24"/>
                <w:szCs w:val="24"/>
              </w:rPr>
              <w:t>des Matériaux</w:t>
            </w:r>
          </w:p>
        </w:tc>
      </w:tr>
      <w:tr w:rsidR="007147EB">
        <w:trPr>
          <w:cantSplit/>
          <w:trHeight w:val="551"/>
        </w:trPr>
        <w:tc>
          <w:tcPr>
            <w:tcW w:w="10560" w:type="dxa"/>
            <w:gridSpan w:val="8"/>
            <w:tcBorders>
              <w:top w:val="nil"/>
            </w:tcBorders>
          </w:tcPr>
          <w:p w:rsidR="007147EB" w:rsidRDefault="003F4DC9">
            <w:pPr>
              <w:rPr>
                <w:sz w:val="44"/>
              </w:rPr>
            </w:pPr>
            <w:r w:rsidRPr="003F4DC9">
              <w:rPr>
                <w:rFonts w:ascii="Courier New" w:hAnsi="Courier New"/>
                <w:noProof/>
              </w:rPr>
              <w:pict>
                <v:line id="_x0000_s1033" style="position:absolute;z-index:251659264;mso-position-horizontal-relative:text;mso-position-vertical-relative:text" from="24.4pt,11.75pt" to="36.05pt,19.05pt" stroked="f" strokeweight="1.5pt"/>
              </w:pict>
            </w:r>
            <w:r w:rsidRPr="003F4DC9">
              <w:rPr>
                <w:rFonts w:ascii="Courier New" w:hAnsi="Courier New"/>
                <w:noProof/>
              </w:rPr>
              <w:pict>
                <v:rect id="_x0000_s1032" style="position:absolute;margin-left:241.1pt;margin-top:3.65pt;width:17.35pt;height:17.35pt;z-index:251658240;mso-position-horizontal-relative:text;mso-position-vertical-relative:text"/>
              </w:pict>
            </w:r>
            <w:r w:rsidRPr="003F4DC9">
              <w:rPr>
                <w:rFonts w:ascii="Courier New" w:hAnsi="Courier New"/>
                <w:noProof/>
              </w:rPr>
              <w:pict>
                <v:rect id="_x0000_s1029" style="position:absolute;margin-left:168.7pt;margin-top:3.65pt;width:17.35pt;height:17.35pt;z-index:251657216;mso-position-horizontal-relative:text;mso-position-vertical-relative:text"/>
              </w:pict>
            </w:r>
            <w:r w:rsidRPr="003F4DC9">
              <w:rPr>
                <w:rFonts w:ascii="Courier New" w:hAnsi="Courier New"/>
                <w:noProof/>
              </w:rPr>
              <w:pict>
                <v:rect id="_x0000_s1028" style="position:absolute;margin-left:96.3pt;margin-top:3.65pt;width:17.35pt;height:17.35pt;z-index:251656192;mso-position-horizontal-relative:text;mso-position-vertical-relative:text"/>
              </w:pict>
            </w:r>
            <w:r w:rsidR="007147EB">
              <w:t xml:space="preserve">           </w:t>
            </w:r>
            <w:r w:rsidR="007147EB">
              <w:rPr>
                <w:sz w:val="44"/>
              </w:rPr>
              <w:t>X</w:t>
            </w:r>
          </w:p>
        </w:tc>
      </w:tr>
      <w:tr w:rsidR="007147EB" w:rsidTr="00985F42">
        <w:trPr>
          <w:cantSplit/>
          <w:trHeight w:val="284"/>
        </w:trPr>
        <w:tc>
          <w:tcPr>
            <w:tcW w:w="7300" w:type="dxa"/>
            <w:gridSpan w:val="5"/>
            <w:vAlign w:val="center"/>
          </w:tcPr>
          <w:p w:rsidR="007147EB" w:rsidRDefault="007147EB">
            <w:pPr>
              <w:rPr>
                <w:rFonts w:ascii="Courier New" w:hAnsi="Courier New"/>
              </w:rPr>
            </w:pPr>
            <w:r>
              <w:rPr>
                <w:rFonts w:ascii="Courier New" w:hAnsi="Courier New"/>
              </w:rPr>
              <w:t>Cote B.I.U. – Lyon : T 50/210/19    /   et   bis</w:t>
            </w:r>
          </w:p>
        </w:tc>
        <w:tc>
          <w:tcPr>
            <w:tcW w:w="3260" w:type="dxa"/>
            <w:gridSpan w:val="3"/>
            <w:vAlign w:val="center"/>
          </w:tcPr>
          <w:p w:rsidR="007147EB" w:rsidRDefault="007147EB">
            <w:pPr>
              <w:rPr>
                <w:rFonts w:ascii="Courier New" w:hAnsi="Courier New"/>
              </w:rPr>
            </w:pPr>
            <w:r>
              <w:rPr>
                <w:rFonts w:ascii="Courier New" w:hAnsi="Courier New"/>
              </w:rPr>
              <w:t>CLASSE :</w:t>
            </w:r>
          </w:p>
        </w:tc>
      </w:tr>
      <w:tr w:rsidR="007147EB" w:rsidRPr="00985F42" w:rsidTr="00712061">
        <w:trPr>
          <w:cantSplit/>
          <w:trHeight w:hRule="exact" w:val="6248"/>
        </w:trPr>
        <w:tc>
          <w:tcPr>
            <w:tcW w:w="10560" w:type="dxa"/>
            <w:gridSpan w:val="8"/>
          </w:tcPr>
          <w:p w:rsidR="00AD5C81" w:rsidRDefault="00B64375" w:rsidP="00AD5C81">
            <w:pPr>
              <w:spacing w:after="60"/>
              <w:jc w:val="both"/>
              <w:rPr>
                <w:sz w:val="18"/>
                <w:szCs w:val="18"/>
              </w:rPr>
            </w:pPr>
            <w:r w:rsidRPr="007819F0">
              <w:rPr>
                <w:sz w:val="22"/>
                <w:szCs w:val="22"/>
              </w:rPr>
              <w:t>RESUME</w:t>
            </w:r>
            <w:r w:rsidR="00CD4626" w:rsidRPr="007819F0">
              <w:rPr>
                <w:sz w:val="22"/>
                <w:szCs w:val="22"/>
              </w:rPr>
              <w:t> </w:t>
            </w:r>
            <w:r w:rsidR="00CD4626" w:rsidRPr="007819F0">
              <w:t>:</w:t>
            </w:r>
            <w:r w:rsidR="00CD4626" w:rsidRPr="007819F0">
              <w:rPr>
                <w:sz w:val="18"/>
                <w:szCs w:val="18"/>
              </w:rPr>
              <w:t xml:space="preserve"> </w:t>
            </w:r>
          </w:p>
          <w:p w:rsidR="00AD5C81" w:rsidRPr="00AD5C81" w:rsidRDefault="00AD5C81" w:rsidP="00AD5C81">
            <w:pPr>
              <w:spacing w:after="60"/>
              <w:jc w:val="both"/>
              <w:rPr>
                <w:b/>
                <w:bCs/>
                <w:color w:val="000000"/>
                <w:sz w:val="18"/>
                <w:szCs w:val="18"/>
              </w:rPr>
            </w:pPr>
            <w:r w:rsidRPr="00AD5C81">
              <w:rPr>
                <w:bCs/>
                <w:color w:val="000000"/>
                <w:sz w:val="18"/>
                <w:szCs w:val="18"/>
              </w:rPr>
              <w:t>En France, l’énergie électrique est majoritairement produite (78 %) grâce au fonctionnement de 58 REP (Réacteurs à Eau Pressurisée). Lors du fonctionnement de ces réacteurs, de nombreux produits de fission (PF) sont générés dans le combustible qui est de l’UO</w:t>
            </w:r>
            <w:r w:rsidRPr="00AD5C81">
              <w:rPr>
                <w:bCs/>
                <w:color w:val="000000"/>
                <w:sz w:val="18"/>
                <w:szCs w:val="18"/>
                <w:vertAlign w:val="subscript"/>
              </w:rPr>
              <w:t>2</w:t>
            </w:r>
            <w:r w:rsidRPr="00AD5C81">
              <w:rPr>
                <w:bCs/>
                <w:color w:val="000000"/>
                <w:sz w:val="18"/>
                <w:szCs w:val="18"/>
              </w:rPr>
              <w:t xml:space="preserve"> enrichi à environ 4% en </w:t>
            </w:r>
            <w:r w:rsidRPr="00AD5C81">
              <w:rPr>
                <w:bCs/>
                <w:color w:val="000000"/>
                <w:sz w:val="18"/>
                <w:szCs w:val="18"/>
                <w:vertAlign w:val="superscript"/>
              </w:rPr>
              <w:t>235</w:t>
            </w:r>
            <w:r w:rsidRPr="00AD5C81">
              <w:rPr>
                <w:bCs/>
                <w:color w:val="000000"/>
                <w:sz w:val="18"/>
                <w:szCs w:val="18"/>
              </w:rPr>
              <w:t>U. Parmi eux, il est important de connaître le comportement du xénon et du krypton, produits de fission gazeux qui sont abondamment produits (près de 15 % des produits de fission stables). De plus, de par leur nature chimique, ces deux gaz ont une très faible solubilité dans le combustible et vont donc avoir tendance à se regrouper sous forme de bulles (pour minimiser la tension de surface) pouvant ainsi engendrer un gonflement de la pastille d’UO</w:t>
            </w:r>
            <w:r w:rsidRPr="00AD5C81">
              <w:rPr>
                <w:bCs/>
                <w:color w:val="000000"/>
                <w:sz w:val="18"/>
                <w:szCs w:val="18"/>
                <w:vertAlign w:val="subscript"/>
              </w:rPr>
              <w:t>2</w:t>
            </w:r>
            <w:r w:rsidRPr="00AD5C81">
              <w:rPr>
                <w:bCs/>
                <w:color w:val="000000"/>
                <w:sz w:val="18"/>
                <w:szCs w:val="18"/>
              </w:rPr>
              <w:t xml:space="preserve">. Le gaz formé peut aussi être libéré hors de la pastille,  entrainer une augmentation substantielle de la pression dans la gaine de combustible et ainsi limiter l’utilisation du combustible. Cependant, les mécanismes de migration, traditionnellement étudiés de manière indirecte en mesurant la quantité de gaz relâché après irradiation, ne sont pas encore totalement compris. Il est fréquemment supposé que la diffusion atomique est le seul mécanisme susceptible d’entrainer une migration du xénon. </w:t>
            </w:r>
          </w:p>
          <w:p w:rsidR="00AD5C81" w:rsidRPr="00AD5C81" w:rsidRDefault="00AD5C81" w:rsidP="00AD5C81">
            <w:pPr>
              <w:spacing w:after="60"/>
              <w:jc w:val="both"/>
              <w:rPr>
                <w:b/>
                <w:bCs/>
                <w:color w:val="000000"/>
                <w:sz w:val="18"/>
                <w:szCs w:val="18"/>
                <w:u w:val="single"/>
              </w:rPr>
            </w:pPr>
            <w:r w:rsidRPr="00AD5C81">
              <w:rPr>
                <w:bCs/>
                <w:color w:val="000000"/>
                <w:sz w:val="18"/>
                <w:szCs w:val="18"/>
              </w:rPr>
              <w:t>L’objectif de cette thèse est de mettre en évidence de manière directe les différents mécanismes gouvernant le comportement thermique et sous irradiation du xénon dans UO</w:t>
            </w:r>
            <w:r w:rsidRPr="00AD5C81">
              <w:rPr>
                <w:bCs/>
                <w:color w:val="000000"/>
                <w:sz w:val="18"/>
                <w:szCs w:val="18"/>
                <w:vertAlign w:val="subscript"/>
              </w:rPr>
              <w:t>2</w:t>
            </w:r>
            <w:r w:rsidRPr="00AD5C81">
              <w:rPr>
                <w:bCs/>
                <w:color w:val="000000"/>
                <w:sz w:val="18"/>
                <w:szCs w:val="18"/>
              </w:rPr>
              <w:t xml:space="preserve">. Pour cela, nous avons utilisé l’implantation ionique qui nous permet d’introduire du xénon dans des échantillons de dioxyde d’uranium. Cette implantation engendre un profil de concentration quasi-gaussien de xénon (variation de la concentration en fonction de la profondeur) dans les 300 premiers nanomètres de l’échantillon. Suite à différents traitements qui sont d’une part des recuits entre </w:t>
            </w:r>
            <w:smartTag w:uri="urn:schemas-microsoft-com:office:smarttags" w:element="metricconverter">
              <w:smartTagPr>
                <w:attr w:name="ProductID" w:val="1400ﾰC"/>
              </w:smartTagPr>
              <w:r w:rsidRPr="00AD5C81">
                <w:rPr>
                  <w:bCs/>
                  <w:color w:val="000000"/>
                  <w:sz w:val="18"/>
                  <w:szCs w:val="18"/>
                </w:rPr>
                <w:t>1400°C</w:t>
              </w:r>
            </w:smartTag>
            <w:r w:rsidRPr="00AD5C81">
              <w:rPr>
                <w:bCs/>
                <w:color w:val="000000"/>
                <w:sz w:val="18"/>
                <w:szCs w:val="18"/>
              </w:rPr>
              <w:t xml:space="preserve"> et </w:t>
            </w:r>
            <w:smartTag w:uri="urn:schemas-microsoft-com:office:smarttags" w:element="metricconverter">
              <w:smartTagPr>
                <w:attr w:name="ProductID" w:val="1600ﾰC"/>
              </w:smartTagPr>
              <w:r w:rsidRPr="00AD5C81">
                <w:rPr>
                  <w:bCs/>
                  <w:color w:val="000000"/>
                  <w:sz w:val="18"/>
                  <w:szCs w:val="18"/>
                </w:rPr>
                <w:t>1600°C</w:t>
              </w:r>
            </w:smartTag>
            <w:r w:rsidRPr="00AD5C81">
              <w:rPr>
                <w:bCs/>
                <w:color w:val="000000"/>
                <w:sz w:val="18"/>
                <w:szCs w:val="18"/>
              </w:rPr>
              <w:t xml:space="preserve"> afin d’étudier l’impact de la température et d’autre part des irradiations avec des ions afin de simuler l’impact des produits de fission dans le combustible, les profils de concentration ont été mesurés par microsonde ionique (SIMS). Bien que la faisabilité de la mesure du xénon ait été démontrée dans différents articles, aucun profil de concentration n’avait jusqu’à présent été présenté dans la littérature. Dans le dioxyde d’uranium, un traitement classique des données SIMS n’est pas adapté. Un nouveau logiciel de traitements des données a donc été développé au cours de cette thèse qui permet l’obtention de profils reproductibles. </w:t>
            </w:r>
          </w:p>
          <w:p w:rsidR="00AD5C81" w:rsidRPr="00AD5C81" w:rsidRDefault="00AD5C81" w:rsidP="00AD5C81">
            <w:pPr>
              <w:spacing w:after="60"/>
              <w:jc w:val="both"/>
              <w:rPr>
                <w:b/>
                <w:bCs/>
                <w:color w:val="000000"/>
                <w:sz w:val="18"/>
                <w:szCs w:val="18"/>
              </w:rPr>
            </w:pPr>
            <w:r w:rsidRPr="00AD5C81">
              <w:rPr>
                <w:bCs/>
                <w:color w:val="000000"/>
                <w:sz w:val="18"/>
                <w:szCs w:val="18"/>
              </w:rPr>
              <w:t xml:space="preserve">Aucune diffusion du xénon n’a pu être observée lors des recuits à </w:t>
            </w:r>
            <w:smartTag w:uri="urn:schemas-microsoft-com:office:smarttags" w:element="metricconverter">
              <w:smartTagPr>
                <w:attr w:name="ProductID" w:val="1400ﾰC"/>
              </w:smartTagPr>
              <w:r w:rsidRPr="00AD5C81">
                <w:rPr>
                  <w:bCs/>
                  <w:color w:val="000000"/>
                  <w:sz w:val="18"/>
                  <w:szCs w:val="18"/>
                </w:rPr>
                <w:t>1400°C</w:t>
              </w:r>
            </w:smartTag>
            <w:r w:rsidRPr="00AD5C81">
              <w:rPr>
                <w:bCs/>
                <w:color w:val="000000"/>
                <w:sz w:val="18"/>
                <w:szCs w:val="18"/>
              </w:rPr>
              <w:t xml:space="preserve"> et à </w:t>
            </w:r>
            <w:smartTag w:uri="urn:schemas-microsoft-com:office:smarttags" w:element="metricconverter">
              <w:smartTagPr>
                <w:attr w:name="ProductID" w:val="1600ﾰC"/>
              </w:smartTagPr>
              <w:r w:rsidRPr="00AD5C81">
                <w:rPr>
                  <w:bCs/>
                  <w:color w:val="000000"/>
                  <w:sz w:val="18"/>
                  <w:szCs w:val="18"/>
                </w:rPr>
                <w:t>1600°C</w:t>
              </w:r>
            </w:smartTag>
            <w:r w:rsidRPr="00AD5C81">
              <w:rPr>
                <w:bCs/>
                <w:color w:val="000000"/>
                <w:sz w:val="18"/>
                <w:szCs w:val="18"/>
              </w:rPr>
              <w:t xml:space="preserve"> indiquant une absence de mobilité du xénon dans ces conditions. Des études complémentaires de caractérisation de défauts de type lacunaire et de bulles de xénon ont été effectuées par spectroscopie d’annihilation de positrons (PAS) et par microscopie électronique par transmission (MET). Elles montrent des modifications importantes de la microstructure d’UO</w:t>
            </w:r>
            <w:r w:rsidRPr="00AD5C81">
              <w:rPr>
                <w:bCs/>
                <w:color w:val="000000"/>
                <w:sz w:val="18"/>
                <w:szCs w:val="18"/>
                <w:vertAlign w:val="subscript"/>
              </w:rPr>
              <w:t>2</w:t>
            </w:r>
            <w:r w:rsidRPr="00AD5C81">
              <w:rPr>
                <w:bCs/>
                <w:color w:val="000000"/>
                <w:sz w:val="18"/>
                <w:szCs w:val="18"/>
              </w:rPr>
              <w:t xml:space="preserve"> induites par la formation de bulles à </w:t>
            </w:r>
            <w:smartTag w:uri="urn:schemas-microsoft-com:office:smarttags" w:element="metricconverter">
              <w:smartTagPr>
                <w:attr w:name="ProductID" w:val="1400ﾰC"/>
              </w:smartTagPr>
              <w:r w:rsidRPr="00AD5C81">
                <w:rPr>
                  <w:bCs/>
                  <w:color w:val="000000"/>
                  <w:sz w:val="18"/>
                  <w:szCs w:val="18"/>
                </w:rPr>
                <w:t>1400°C</w:t>
              </w:r>
            </w:smartTag>
            <w:r w:rsidRPr="00AD5C81">
              <w:rPr>
                <w:bCs/>
                <w:color w:val="000000"/>
                <w:sz w:val="18"/>
                <w:szCs w:val="18"/>
              </w:rPr>
              <w:t xml:space="preserve"> et </w:t>
            </w:r>
            <w:smartTag w:uri="urn:schemas-microsoft-com:office:smarttags" w:element="metricconverter">
              <w:smartTagPr>
                <w:attr w:name="ProductID" w:val="1600°C"/>
              </w:smartTagPr>
              <w:r w:rsidRPr="00AD5C81">
                <w:rPr>
                  <w:bCs/>
                  <w:color w:val="000000"/>
                  <w:sz w:val="18"/>
                  <w:szCs w:val="18"/>
                </w:rPr>
                <w:t>1600°C</w:t>
              </w:r>
            </w:smartTag>
            <w:r w:rsidRPr="00AD5C81">
              <w:rPr>
                <w:bCs/>
                <w:color w:val="000000"/>
                <w:sz w:val="18"/>
                <w:szCs w:val="18"/>
              </w:rPr>
              <w:t xml:space="preserve"> pouvant expliquer l’absence de diffusion observée.</w:t>
            </w:r>
          </w:p>
          <w:p w:rsidR="00AD5C81" w:rsidRPr="00AD5C81" w:rsidRDefault="00AD5C81" w:rsidP="00AD5C81">
            <w:pPr>
              <w:jc w:val="both"/>
              <w:rPr>
                <w:sz w:val="18"/>
                <w:szCs w:val="18"/>
              </w:rPr>
            </w:pPr>
            <w:r w:rsidRPr="00AD5C81">
              <w:rPr>
                <w:bCs/>
                <w:color w:val="000000"/>
                <w:sz w:val="18"/>
                <w:szCs w:val="18"/>
              </w:rPr>
              <w:t>Les études sous irradiation à fort (</w:t>
            </w:r>
            <w:proofErr w:type="spellStart"/>
            <w:r w:rsidRPr="00AD5C81">
              <w:rPr>
                <w:bCs/>
                <w:color w:val="000000"/>
                <w:sz w:val="18"/>
                <w:szCs w:val="18"/>
              </w:rPr>
              <w:t>dE</w:t>
            </w:r>
            <w:proofErr w:type="spellEnd"/>
            <w:r w:rsidRPr="00AD5C81">
              <w:rPr>
                <w:bCs/>
                <w:color w:val="000000"/>
                <w:sz w:val="18"/>
                <w:szCs w:val="18"/>
              </w:rPr>
              <w:t>/</w:t>
            </w:r>
            <w:proofErr w:type="spellStart"/>
            <w:r w:rsidRPr="00AD5C81">
              <w:rPr>
                <w:bCs/>
                <w:color w:val="000000"/>
                <w:sz w:val="18"/>
                <w:szCs w:val="18"/>
              </w:rPr>
              <w:t>dx</w:t>
            </w:r>
            <w:proofErr w:type="spellEnd"/>
            <w:r w:rsidRPr="00AD5C81">
              <w:rPr>
                <w:bCs/>
                <w:color w:val="000000"/>
                <w:sz w:val="18"/>
                <w:szCs w:val="18"/>
              </w:rPr>
              <w:t xml:space="preserve">) électronique ont montré une diffusion et un transport du xénon  dépendants des températures d’irradiation.  Pour les irradiations à 600 et </w:t>
            </w:r>
            <w:smartTag w:uri="urn:schemas-microsoft-com:office:smarttags" w:element="metricconverter">
              <w:smartTagPr>
                <w:attr w:name="ProductID" w:val="1000°C"/>
              </w:smartTagPr>
              <w:r w:rsidRPr="00AD5C81">
                <w:rPr>
                  <w:bCs/>
                  <w:color w:val="000000"/>
                  <w:sz w:val="18"/>
                  <w:szCs w:val="18"/>
                </w:rPr>
                <w:t>1000°C</w:t>
              </w:r>
            </w:smartTag>
            <w:r w:rsidRPr="00AD5C81">
              <w:rPr>
                <w:bCs/>
                <w:color w:val="000000"/>
                <w:sz w:val="18"/>
                <w:szCs w:val="18"/>
              </w:rPr>
              <w:t xml:space="preserve">, les caractérisations de la microstructure, mettent en évidence la formation de bulles de xénon alignées avec la direction du faisceau d’ions incidents. A contrario, les chocs balistiques (irradiation avec des ions Argon de 800keV) n’ont causé aucune modification significative des profils quelle que soit la température d’irradiation. </w:t>
            </w:r>
          </w:p>
          <w:p w:rsidR="00AD5C81" w:rsidRDefault="00AD5C81" w:rsidP="00AD5C81"/>
          <w:p w:rsidR="00AD5C81" w:rsidRDefault="00AD5C81" w:rsidP="00AD5C81"/>
          <w:p w:rsidR="007819F0" w:rsidRDefault="007819F0" w:rsidP="00D91C9A">
            <w:pPr>
              <w:pStyle w:val="Standard"/>
              <w:autoSpaceDE w:val="0"/>
              <w:jc w:val="both"/>
              <w:rPr>
                <w:sz w:val="18"/>
                <w:szCs w:val="18"/>
                <w:lang w:val="fr-FR"/>
              </w:rPr>
            </w:pPr>
          </w:p>
          <w:p w:rsidR="007819F0" w:rsidRDefault="007819F0" w:rsidP="00D91C9A">
            <w:pPr>
              <w:pStyle w:val="Standard"/>
              <w:autoSpaceDE w:val="0"/>
              <w:jc w:val="both"/>
              <w:rPr>
                <w:sz w:val="18"/>
                <w:szCs w:val="18"/>
                <w:lang w:val="fr-FR"/>
              </w:rPr>
            </w:pPr>
          </w:p>
          <w:p w:rsidR="007147EB" w:rsidRPr="007819F0" w:rsidRDefault="007147EB" w:rsidP="00D91C9A">
            <w:pPr>
              <w:pStyle w:val="Standard"/>
              <w:autoSpaceDE w:val="0"/>
              <w:jc w:val="both"/>
              <w:rPr>
                <w:rFonts w:cs="Times New Roman"/>
                <w:sz w:val="26"/>
                <w:szCs w:val="26"/>
                <w:lang w:val="fr-FR"/>
              </w:rPr>
            </w:pPr>
          </w:p>
        </w:tc>
      </w:tr>
      <w:tr w:rsidR="007147EB" w:rsidRPr="00BC6D56" w:rsidTr="00985F42">
        <w:trPr>
          <w:cantSplit/>
          <w:trHeight w:val="830"/>
        </w:trPr>
        <w:tc>
          <w:tcPr>
            <w:tcW w:w="10560" w:type="dxa"/>
            <w:gridSpan w:val="8"/>
            <w:vAlign w:val="center"/>
          </w:tcPr>
          <w:p w:rsidR="00BE045B" w:rsidRPr="00BC6D56" w:rsidRDefault="00E23097" w:rsidP="00AD5C81">
            <w:pPr>
              <w:autoSpaceDE w:val="0"/>
              <w:autoSpaceDN w:val="0"/>
              <w:adjustRightInd w:val="0"/>
              <w:jc w:val="both"/>
            </w:pPr>
            <w:r>
              <w:t>MOTS-CLES</w:t>
            </w:r>
            <w:r w:rsidR="00BC6D56">
              <w:t xml:space="preserve"> : </w:t>
            </w:r>
            <w:r w:rsidR="00AD5C81">
              <w:t>xénon, dioxyde d'uranium, diffusion, irradiation, relâchement des gaz de fission, bulles, remise en solution, combustible, réacteur nucléaire</w:t>
            </w:r>
          </w:p>
        </w:tc>
      </w:tr>
      <w:tr w:rsidR="007147EB">
        <w:trPr>
          <w:cantSplit/>
          <w:trHeight w:val="621"/>
        </w:trPr>
        <w:tc>
          <w:tcPr>
            <w:tcW w:w="10560" w:type="dxa"/>
            <w:gridSpan w:val="8"/>
            <w:vAlign w:val="center"/>
          </w:tcPr>
          <w:p w:rsidR="007147EB" w:rsidRDefault="007147EB" w:rsidP="00AD5C81">
            <w:pPr>
              <w:rPr>
                <w:sz w:val="22"/>
              </w:rPr>
            </w:pPr>
            <w:r>
              <w:rPr>
                <w:rFonts w:ascii="Courier New" w:hAnsi="Courier New"/>
                <w:sz w:val="22"/>
              </w:rPr>
              <w:t xml:space="preserve">Directeurs de recherches : </w:t>
            </w:r>
            <w:r w:rsidR="00AD5C81">
              <w:rPr>
                <w:sz w:val="24"/>
                <w:szCs w:val="24"/>
              </w:rPr>
              <w:t xml:space="preserve">Nathalie </w:t>
            </w:r>
            <w:proofErr w:type="spellStart"/>
            <w:r w:rsidR="00AD5C81">
              <w:rPr>
                <w:sz w:val="24"/>
                <w:szCs w:val="24"/>
              </w:rPr>
              <w:t>Moncoffre</w:t>
            </w:r>
            <w:proofErr w:type="spellEnd"/>
            <w:r w:rsidR="00AD5C81">
              <w:rPr>
                <w:sz w:val="24"/>
                <w:szCs w:val="24"/>
              </w:rPr>
              <w:t xml:space="preserve"> et Yves </w:t>
            </w:r>
            <w:proofErr w:type="spellStart"/>
            <w:r w:rsidR="00AD5C81">
              <w:rPr>
                <w:sz w:val="24"/>
                <w:szCs w:val="24"/>
              </w:rPr>
              <w:t>Pipon</w:t>
            </w:r>
            <w:proofErr w:type="spellEnd"/>
          </w:p>
        </w:tc>
      </w:tr>
      <w:tr w:rsidR="007147EB">
        <w:trPr>
          <w:cantSplit/>
          <w:trHeight w:val="795"/>
        </w:trPr>
        <w:tc>
          <w:tcPr>
            <w:tcW w:w="8292" w:type="dxa"/>
            <w:gridSpan w:val="7"/>
            <w:vMerge w:val="restart"/>
          </w:tcPr>
          <w:p w:rsidR="007147EB" w:rsidRPr="001A06A4" w:rsidRDefault="007147EB" w:rsidP="00AD5C81">
            <w:r w:rsidRPr="001A06A4">
              <w:rPr>
                <w:rFonts w:ascii="Courier New" w:hAnsi="Courier New"/>
              </w:rPr>
              <w:t>Composition du jury</w:t>
            </w:r>
            <w:r w:rsidR="00E80E28" w:rsidRPr="001A06A4">
              <w:rPr>
                <w:rFonts w:ascii="Courier New" w:hAnsi="Courier New"/>
              </w:rPr>
              <w:t> :</w:t>
            </w:r>
            <w:r w:rsidR="00E31B97" w:rsidRPr="001A06A4">
              <w:rPr>
                <w:rFonts w:ascii="Courier New" w:hAnsi="Courier New"/>
              </w:rPr>
              <w:t xml:space="preserve"> </w:t>
            </w:r>
            <w:r w:rsidR="00AD5C81">
              <w:rPr>
                <w:rFonts w:ascii="Courier New" w:hAnsi="Courier New"/>
              </w:rPr>
              <w:t xml:space="preserve">P. </w:t>
            </w:r>
            <w:proofErr w:type="spellStart"/>
            <w:r w:rsidR="00AD5C81">
              <w:rPr>
                <w:rFonts w:ascii="Courier New" w:hAnsi="Courier New"/>
              </w:rPr>
              <w:t>Nédélec</w:t>
            </w:r>
            <w:proofErr w:type="spellEnd"/>
            <w:r w:rsidR="00AD5C81">
              <w:rPr>
                <w:rFonts w:ascii="Courier New" w:hAnsi="Courier New"/>
              </w:rPr>
              <w:t xml:space="preserve"> – S. Bouffard – F. </w:t>
            </w:r>
            <w:proofErr w:type="spellStart"/>
            <w:r w:rsidR="00AD5C81">
              <w:rPr>
                <w:rFonts w:ascii="Courier New" w:hAnsi="Courier New"/>
              </w:rPr>
              <w:t>Garrido</w:t>
            </w:r>
            <w:proofErr w:type="spellEnd"/>
            <w:r w:rsidR="00AD5C81">
              <w:rPr>
                <w:rFonts w:ascii="Courier New" w:hAnsi="Courier New"/>
              </w:rPr>
              <w:t xml:space="preserve"> – </w:t>
            </w:r>
            <w:r w:rsidR="00AD5C81">
              <w:rPr>
                <w:rFonts w:ascii="Courier New" w:hAnsi="Courier New"/>
              </w:rPr>
              <w:br/>
              <w:t xml:space="preserve">C. Garnier – L. </w:t>
            </w:r>
            <w:proofErr w:type="spellStart"/>
            <w:r w:rsidR="00AD5C81">
              <w:rPr>
                <w:rFonts w:ascii="Courier New" w:hAnsi="Courier New"/>
              </w:rPr>
              <w:t>Raimbault</w:t>
            </w:r>
            <w:proofErr w:type="spellEnd"/>
            <w:r w:rsidR="00AD5C81">
              <w:rPr>
                <w:rFonts w:ascii="Courier New" w:hAnsi="Courier New"/>
              </w:rPr>
              <w:t xml:space="preserve"> – T. </w:t>
            </w:r>
            <w:proofErr w:type="spellStart"/>
            <w:r w:rsidR="00AD5C81">
              <w:rPr>
                <w:rFonts w:ascii="Courier New" w:hAnsi="Courier New"/>
              </w:rPr>
              <w:t>Wiss</w:t>
            </w:r>
            <w:proofErr w:type="spellEnd"/>
            <w:r w:rsidR="00AD5C81">
              <w:rPr>
                <w:rFonts w:ascii="Courier New" w:hAnsi="Courier New"/>
              </w:rPr>
              <w:t xml:space="preserve"> – L. </w:t>
            </w:r>
            <w:proofErr w:type="spellStart"/>
            <w:r w:rsidR="00AD5C81">
              <w:rPr>
                <w:rFonts w:ascii="Courier New" w:hAnsi="Courier New"/>
              </w:rPr>
              <w:t>Desgranges</w:t>
            </w:r>
            <w:proofErr w:type="spellEnd"/>
            <w:r w:rsidR="00AD5C81">
              <w:rPr>
                <w:rFonts w:ascii="Courier New" w:hAnsi="Courier New"/>
              </w:rPr>
              <w:t xml:space="preserve"> </w:t>
            </w:r>
          </w:p>
        </w:tc>
        <w:tc>
          <w:tcPr>
            <w:tcW w:w="2268" w:type="dxa"/>
            <w:vAlign w:val="center"/>
          </w:tcPr>
          <w:p w:rsidR="007147EB" w:rsidRDefault="00C57206" w:rsidP="00AD5C81">
            <w:pPr>
              <w:pStyle w:val="Titre1"/>
              <w:rPr>
                <w:rFonts w:ascii="Courier New" w:hAnsi="Courier New" w:cs="Courier New"/>
              </w:rPr>
            </w:pPr>
            <w:r>
              <w:rPr>
                <w:rFonts w:ascii="Courier New" w:hAnsi="Courier New" w:cs="Courier New"/>
              </w:rPr>
              <w:t>2</w:t>
            </w:r>
            <w:r w:rsidR="00AD5C81">
              <w:rPr>
                <w:rFonts w:ascii="Courier New" w:hAnsi="Courier New" w:cs="Courier New"/>
              </w:rPr>
              <w:t>18</w:t>
            </w:r>
            <w:r w:rsidR="001A06A4">
              <w:rPr>
                <w:rFonts w:ascii="Courier New" w:hAnsi="Courier New" w:cs="Courier New"/>
              </w:rPr>
              <w:t xml:space="preserve"> </w:t>
            </w:r>
            <w:r w:rsidR="007147EB">
              <w:rPr>
                <w:rFonts w:ascii="Courier New" w:hAnsi="Courier New" w:cs="Courier New"/>
              </w:rPr>
              <w:t>pages</w:t>
            </w:r>
          </w:p>
        </w:tc>
      </w:tr>
      <w:tr w:rsidR="007147EB">
        <w:trPr>
          <w:cantSplit/>
          <w:trHeight w:val="369"/>
        </w:trPr>
        <w:tc>
          <w:tcPr>
            <w:tcW w:w="8292" w:type="dxa"/>
            <w:gridSpan w:val="7"/>
            <w:vMerge/>
          </w:tcPr>
          <w:p w:rsidR="007147EB" w:rsidRDefault="007147EB"/>
        </w:tc>
        <w:tc>
          <w:tcPr>
            <w:tcW w:w="2268" w:type="dxa"/>
          </w:tcPr>
          <w:p w:rsidR="007147EB" w:rsidRDefault="007147EB"/>
        </w:tc>
      </w:tr>
    </w:tbl>
    <w:p w:rsidR="007147EB" w:rsidRDefault="007147EB"/>
    <w:sectPr w:rsidR="007147EB" w:rsidSect="00CC1D8F">
      <w:pgSz w:w="11906" w:h="16838" w:code="9"/>
      <w:pgMar w:top="1418" w:right="680" w:bottom="567" w:left="680" w:header="0" w:footer="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Times">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ヒラギノ角ゴ Pro W3">
    <w:charset w:val="00"/>
    <w:family w:val="roman"/>
    <w:pitch w:val="default"/>
    <w:sig w:usb0="00000000" w:usb1="00000000" w:usb2="00000000" w:usb3="00000000" w:csb0="00000000" w:csb1="00000000"/>
  </w:font>
  <w:font w:name="Nimbus Mono L">
    <w:altName w:val="Courier New"/>
    <w:charset w:val="00"/>
    <w:family w:val="modern"/>
    <w:pitch w:val="fixed"/>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9A4A300"/>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compat/>
  <w:rsids>
    <w:rsidRoot w:val="004E7903"/>
    <w:rsid w:val="000243FD"/>
    <w:rsid w:val="00044024"/>
    <w:rsid w:val="00047CB8"/>
    <w:rsid w:val="0005099B"/>
    <w:rsid w:val="0006662A"/>
    <w:rsid w:val="00087DDB"/>
    <w:rsid w:val="000961F7"/>
    <w:rsid w:val="000A5313"/>
    <w:rsid w:val="000C23C0"/>
    <w:rsid w:val="000F21A1"/>
    <w:rsid w:val="00100B09"/>
    <w:rsid w:val="00111054"/>
    <w:rsid w:val="00135800"/>
    <w:rsid w:val="0014155E"/>
    <w:rsid w:val="00156054"/>
    <w:rsid w:val="00156B27"/>
    <w:rsid w:val="0018039C"/>
    <w:rsid w:val="001846D4"/>
    <w:rsid w:val="001875FA"/>
    <w:rsid w:val="001A06A4"/>
    <w:rsid w:val="001F115F"/>
    <w:rsid w:val="00201B0B"/>
    <w:rsid w:val="0021195B"/>
    <w:rsid w:val="00272906"/>
    <w:rsid w:val="00273C1F"/>
    <w:rsid w:val="002833C7"/>
    <w:rsid w:val="00284D56"/>
    <w:rsid w:val="002A5843"/>
    <w:rsid w:val="002B3C9E"/>
    <w:rsid w:val="002C1183"/>
    <w:rsid w:val="002C2520"/>
    <w:rsid w:val="00300E84"/>
    <w:rsid w:val="00314860"/>
    <w:rsid w:val="00320399"/>
    <w:rsid w:val="0032161C"/>
    <w:rsid w:val="0032753C"/>
    <w:rsid w:val="00327D17"/>
    <w:rsid w:val="00347C3E"/>
    <w:rsid w:val="0035011D"/>
    <w:rsid w:val="003913C1"/>
    <w:rsid w:val="003957F3"/>
    <w:rsid w:val="003A30D7"/>
    <w:rsid w:val="003B2492"/>
    <w:rsid w:val="003C0159"/>
    <w:rsid w:val="003F01CC"/>
    <w:rsid w:val="003F4DC9"/>
    <w:rsid w:val="004253D0"/>
    <w:rsid w:val="00427F2A"/>
    <w:rsid w:val="00430005"/>
    <w:rsid w:val="004A339D"/>
    <w:rsid w:val="004A635C"/>
    <w:rsid w:val="004B601C"/>
    <w:rsid w:val="004E7903"/>
    <w:rsid w:val="004F3E58"/>
    <w:rsid w:val="005317C9"/>
    <w:rsid w:val="005426D4"/>
    <w:rsid w:val="005822D3"/>
    <w:rsid w:val="005D286F"/>
    <w:rsid w:val="005D42E0"/>
    <w:rsid w:val="0061005D"/>
    <w:rsid w:val="00622060"/>
    <w:rsid w:val="0064781B"/>
    <w:rsid w:val="00682204"/>
    <w:rsid w:val="007028C9"/>
    <w:rsid w:val="00712061"/>
    <w:rsid w:val="007147EB"/>
    <w:rsid w:val="00714C16"/>
    <w:rsid w:val="00754CDA"/>
    <w:rsid w:val="007819F0"/>
    <w:rsid w:val="007A0AAE"/>
    <w:rsid w:val="007D3A6A"/>
    <w:rsid w:val="007E302F"/>
    <w:rsid w:val="007F3FC8"/>
    <w:rsid w:val="007F6FBD"/>
    <w:rsid w:val="00811436"/>
    <w:rsid w:val="0086570B"/>
    <w:rsid w:val="008949B7"/>
    <w:rsid w:val="00896F00"/>
    <w:rsid w:val="008A6FA5"/>
    <w:rsid w:val="008C22BA"/>
    <w:rsid w:val="008D68BF"/>
    <w:rsid w:val="00903E19"/>
    <w:rsid w:val="00945F17"/>
    <w:rsid w:val="00946CD0"/>
    <w:rsid w:val="009500FD"/>
    <w:rsid w:val="0095438B"/>
    <w:rsid w:val="00965958"/>
    <w:rsid w:val="00970CA4"/>
    <w:rsid w:val="00985F42"/>
    <w:rsid w:val="009D3EA9"/>
    <w:rsid w:val="009E260F"/>
    <w:rsid w:val="009F469B"/>
    <w:rsid w:val="00A13BB5"/>
    <w:rsid w:val="00A3762E"/>
    <w:rsid w:val="00A6505E"/>
    <w:rsid w:val="00A9271D"/>
    <w:rsid w:val="00AA2127"/>
    <w:rsid w:val="00AC63D0"/>
    <w:rsid w:val="00AC6C2B"/>
    <w:rsid w:val="00AD5C81"/>
    <w:rsid w:val="00AE1129"/>
    <w:rsid w:val="00AF5E10"/>
    <w:rsid w:val="00B24C11"/>
    <w:rsid w:val="00B6036A"/>
    <w:rsid w:val="00B64375"/>
    <w:rsid w:val="00B70E4C"/>
    <w:rsid w:val="00B92C67"/>
    <w:rsid w:val="00BA08FC"/>
    <w:rsid w:val="00BB335B"/>
    <w:rsid w:val="00BC6D56"/>
    <w:rsid w:val="00BE045B"/>
    <w:rsid w:val="00BE5523"/>
    <w:rsid w:val="00BE62BE"/>
    <w:rsid w:val="00C1347E"/>
    <w:rsid w:val="00C57206"/>
    <w:rsid w:val="00CB64AF"/>
    <w:rsid w:val="00CC1D8F"/>
    <w:rsid w:val="00CC44DC"/>
    <w:rsid w:val="00CD4626"/>
    <w:rsid w:val="00CF02A4"/>
    <w:rsid w:val="00CF277C"/>
    <w:rsid w:val="00CF6AC6"/>
    <w:rsid w:val="00D62F4D"/>
    <w:rsid w:val="00D90413"/>
    <w:rsid w:val="00D91C9A"/>
    <w:rsid w:val="00D96D2C"/>
    <w:rsid w:val="00DF4260"/>
    <w:rsid w:val="00E23097"/>
    <w:rsid w:val="00E31B97"/>
    <w:rsid w:val="00E74B3F"/>
    <w:rsid w:val="00E80E28"/>
    <w:rsid w:val="00E8155E"/>
    <w:rsid w:val="00E82C2D"/>
    <w:rsid w:val="00EC4BBB"/>
    <w:rsid w:val="00ED09D4"/>
    <w:rsid w:val="00ED7B69"/>
    <w:rsid w:val="00F12FAC"/>
    <w:rsid w:val="00F13DA7"/>
    <w:rsid w:val="00F13F46"/>
    <w:rsid w:val="00F20499"/>
    <w:rsid w:val="00F606B5"/>
    <w:rsid w:val="00F9134F"/>
    <w:rsid w:val="00F95F9C"/>
    <w:rsid w:val="00FB0A48"/>
    <w:rsid w:val="00FF260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2492"/>
  </w:style>
  <w:style w:type="paragraph" w:styleId="Titre1">
    <w:name w:val="heading 1"/>
    <w:basedOn w:val="Normal"/>
    <w:next w:val="Normal"/>
    <w:qFormat/>
    <w:rsid w:val="003B2492"/>
    <w:pPr>
      <w:keepNext/>
      <w:jc w:val="center"/>
      <w:outlineLvl w:val="0"/>
    </w:pPr>
    <w:rPr>
      <w:rFonts w:ascii="Comic Sans MS" w:hAnsi="Comic Sans MS"/>
      <w:sz w:val="24"/>
    </w:rPr>
  </w:style>
  <w:style w:type="paragraph" w:styleId="Titre2">
    <w:name w:val="heading 2"/>
    <w:basedOn w:val="Normal"/>
    <w:next w:val="Normal"/>
    <w:qFormat/>
    <w:rsid w:val="003B2492"/>
    <w:pPr>
      <w:keepNext/>
      <w:ind w:left="2694"/>
      <w:outlineLvl w:val="1"/>
    </w:pPr>
    <w:rPr>
      <w:rFonts w:ascii="Comic Sans MS" w:hAnsi="Comic Sans M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rsid w:val="003B2492"/>
    <w:pPr>
      <w:ind w:firstLine="284"/>
    </w:pPr>
    <w:rPr>
      <w:rFonts w:ascii="Arial" w:eastAsia="Times" w:hAnsi="Arial"/>
      <w:i/>
    </w:rPr>
  </w:style>
  <w:style w:type="character" w:styleId="Marquedecommentaire">
    <w:name w:val="annotation reference"/>
    <w:basedOn w:val="Policepardfaut"/>
    <w:semiHidden/>
    <w:rsid w:val="003B2492"/>
    <w:rPr>
      <w:sz w:val="16"/>
    </w:rPr>
  </w:style>
  <w:style w:type="paragraph" w:styleId="Commentaire">
    <w:name w:val="annotation text"/>
    <w:basedOn w:val="Normal"/>
    <w:semiHidden/>
    <w:rsid w:val="003B2492"/>
  </w:style>
  <w:style w:type="paragraph" w:styleId="Corpsdetexte">
    <w:name w:val="Body Text"/>
    <w:basedOn w:val="Normal"/>
    <w:rsid w:val="003B2492"/>
    <w:pPr>
      <w:jc w:val="both"/>
    </w:pPr>
    <w:rPr>
      <w:rFonts w:ascii="Courier New" w:hAnsi="Courier New"/>
      <w:sz w:val="18"/>
    </w:rPr>
  </w:style>
  <w:style w:type="paragraph" w:styleId="Corpsdetexte2">
    <w:name w:val="Body Text 2"/>
    <w:basedOn w:val="Normal"/>
    <w:rsid w:val="003B2492"/>
    <w:pPr>
      <w:jc w:val="both"/>
    </w:pPr>
    <w:rPr>
      <w:sz w:val="22"/>
    </w:rPr>
  </w:style>
  <w:style w:type="paragraph" w:styleId="Corpsdetexte3">
    <w:name w:val="Body Text 3"/>
    <w:basedOn w:val="Normal"/>
    <w:rsid w:val="003B2492"/>
    <w:pPr>
      <w:autoSpaceDE w:val="0"/>
      <w:autoSpaceDN w:val="0"/>
      <w:adjustRightInd w:val="0"/>
      <w:jc w:val="both"/>
    </w:pPr>
    <w:rPr>
      <w:rFonts w:ascii="Comic Sans MS" w:hAnsi="Comic Sans MS" w:cs="Courier New"/>
    </w:rPr>
  </w:style>
  <w:style w:type="paragraph" w:styleId="Listepuces">
    <w:name w:val="List Bullet"/>
    <w:basedOn w:val="Normal"/>
    <w:autoRedefine/>
    <w:rsid w:val="003B2492"/>
    <w:pPr>
      <w:jc w:val="both"/>
    </w:pPr>
    <w:rPr>
      <w:sz w:val="24"/>
      <w:szCs w:val="24"/>
    </w:rPr>
  </w:style>
  <w:style w:type="paragraph" w:styleId="Textebrut">
    <w:name w:val="Plain Text"/>
    <w:basedOn w:val="Normal"/>
    <w:rsid w:val="004E7903"/>
    <w:rPr>
      <w:rFonts w:ascii="Courier New" w:hAnsi="Courier New" w:cs="Courier New"/>
    </w:rPr>
  </w:style>
  <w:style w:type="paragraph" w:styleId="PrformatHTML">
    <w:name w:val="HTML Preformatted"/>
    <w:basedOn w:val="Normal"/>
    <w:link w:val="PrformatHTMLCar"/>
    <w:uiPriority w:val="99"/>
    <w:rsid w:val="00754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Listepuces1">
    <w:name w:val="Liste à puces1"/>
    <w:basedOn w:val="Normal"/>
    <w:rsid w:val="00F9134F"/>
    <w:pPr>
      <w:tabs>
        <w:tab w:val="left" w:pos="-540"/>
        <w:tab w:val="left" w:pos="2154"/>
        <w:tab w:val="left" w:pos="6264"/>
      </w:tabs>
      <w:suppressAutoHyphens/>
      <w:ind w:left="-540"/>
      <w:jc w:val="both"/>
    </w:pPr>
    <w:rPr>
      <w:b/>
      <w:bCs/>
      <w:color w:val="000000"/>
      <w:sz w:val="24"/>
      <w:szCs w:val="24"/>
      <w:lang w:eastAsia="ar-SA"/>
    </w:rPr>
  </w:style>
  <w:style w:type="paragraph" w:customStyle="1" w:styleId="Commentaire1">
    <w:name w:val="Commentaire1"/>
    <w:autoRedefine/>
    <w:rsid w:val="005426D4"/>
    <w:rPr>
      <w:rFonts w:eastAsia="ヒラギノ角ゴ Pro W3"/>
      <w:color w:val="000000"/>
    </w:rPr>
  </w:style>
  <w:style w:type="character" w:customStyle="1" w:styleId="PrformatHTMLCar">
    <w:name w:val="Préformaté HTML Car"/>
    <w:basedOn w:val="Policepardfaut"/>
    <w:link w:val="PrformatHTML"/>
    <w:uiPriority w:val="99"/>
    <w:rsid w:val="00985F42"/>
    <w:rPr>
      <w:rFonts w:ascii="Courier New" w:hAnsi="Courier New" w:cs="Courier New"/>
    </w:rPr>
  </w:style>
  <w:style w:type="paragraph" w:customStyle="1" w:styleId="WW-PreformattedText11">
    <w:name w:val="WW-Preformatted Text11"/>
    <w:basedOn w:val="Normal"/>
    <w:rsid w:val="00AA2127"/>
    <w:pPr>
      <w:widowControl w:val="0"/>
      <w:suppressAutoHyphens/>
      <w:overflowPunct w:val="0"/>
      <w:autoSpaceDE w:val="0"/>
      <w:autoSpaceDN w:val="0"/>
      <w:adjustRightInd w:val="0"/>
      <w:textAlignment w:val="baseline"/>
    </w:pPr>
    <w:rPr>
      <w:rFonts w:ascii="Nimbus Mono L" w:hAnsi="Nimbus Mono L"/>
      <w:lang w:val="en-US"/>
    </w:rPr>
  </w:style>
  <w:style w:type="paragraph" w:styleId="NormalWeb">
    <w:name w:val="Normal (Web)"/>
    <w:basedOn w:val="Normal"/>
    <w:uiPriority w:val="99"/>
    <w:unhideWhenUsed/>
    <w:rsid w:val="00300E84"/>
    <w:pPr>
      <w:spacing w:before="100" w:beforeAutospacing="1" w:after="119"/>
    </w:pPr>
    <w:rPr>
      <w:sz w:val="24"/>
      <w:szCs w:val="24"/>
    </w:rPr>
  </w:style>
  <w:style w:type="paragraph" w:customStyle="1" w:styleId="Standard">
    <w:name w:val="Standard"/>
    <w:rsid w:val="00E23097"/>
    <w:pPr>
      <w:widowControl w:val="0"/>
      <w:suppressAutoHyphens/>
      <w:autoSpaceDN w:val="0"/>
      <w:textAlignment w:val="baseline"/>
    </w:pPr>
    <w:rPr>
      <w:rFonts w:eastAsia="Lucida Sans Unicode" w:cs="Tahoma"/>
      <w:color w:val="000000"/>
      <w:kern w:val="3"/>
      <w:sz w:val="24"/>
      <w:szCs w:val="24"/>
      <w:lang w:val="en-US" w:eastAsia="en-US" w:bidi="en-US"/>
    </w:rPr>
  </w:style>
</w:styles>
</file>

<file path=word/webSettings.xml><?xml version="1.0" encoding="utf-8"?>
<w:webSettings xmlns:r="http://schemas.openxmlformats.org/officeDocument/2006/relationships" xmlns:w="http://schemas.openxmlformats.org/wordprocessingml/2006/main">
  <w:divs>
    <w:div w:id="674189045">
      <w:bodyDiv w:val="1"/>
      <w:marLeft w:val="0"/>
      <w:marRight w:val="0"/>
      <w:marTop w:val="0"/>
      <w:marBottom w:val="0"/>
      <w:divBdr>
        <w:top w:val="none" w:sz="0" w:space="0" w:color="auto"/>
        <w:left w:val="none" w:sz="0" w:space="0" w:color="auto"/>
        <w:bottom w:val="none" w:sz="0" w:space="0" w:color="auto"/>
        <w:right w:val="none" w:sz="0" w:space="0" w:color="auto"/>
      </w:divBdr>
    </w:div>
    <w:div w:id="1556162359">
      <w:bodyDiv w:val="1"/>
      <w:marLeft w:val="0"/>
      <w:marRight w:val="0"/>
      <w:marTop w:val="0"/>
      <w:marBottom w:val="0"/>
      <w:divBdr>
        <w:top w:val="none" w:sz="0" w:space="0" w:color="auto"/>
        <w:left w:val="none" w:sz="0" w:space="0" w:color="auto"/>
        <w:bottom w:val="none" w:sz="0" w:space="0" w:color="auto"/>
        <w:right w:val="none" w:sz="0" w:space="0" w:color="auto"/>
      </w:divBdr>
    </w:div>
    <w:div w:id="1561943870">
      <w:bodyDiv w:val="1"/>
      <w:marLeft w:val="0"/>
      <w:marRight w:val="0"/>
      <w:marTop w:val="0"/>
      <w:marBottom w:val="0"/>
      <w:divBdr>
        <w:top w:val="none" w:sz="0" w:space="0" w:color="auto"/>
        <w:left w:val="none" w:sz="0" w:space="0" w:color="auto"/>
        <w:bottom w:val="none" w:sz="0" w:space="0" w:color="auto"/>
        <w:right w:val="none" w:sz="0" w:space="0" w:color="auto"/>
      </w:divBdr>
    </w:div>
    <w:div w:id="159740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649</Words>
  <Characters>3681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NOM : CAPELLI</vt:lpstr>
    </vt:vector>
  </TitlesOfParts>
  <Company>IN2P3</Company>
  <LinksUpToDate>false</LinksUpToDate>
  <CharactersWithSpaces>4322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 : CAPELLI</dc:title>
  <dc:creator>Capelli</dc:creator>
  <cp:lastModifiedBy>sylvie</cp:lastModifiedBy>
  <cp:revision>2</cp:revision>
  <cp:lastPrinted>2013-06-17T07:40:00Z</cp:lastPrinted>
  <dcterms:created xsi:type="dcterms:W3CDTF">2013-06-17T07:40:00Z</dcterms:created>
  <dcterms:modified xsi:type="dcterms:W3CDTF">2013-06-17T07:40:00Z</dcterms:modified>
</cp:coreProperties>
</file>