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2D8CF0"/>
          <w:sz w:val="20"/>
        </w:rPr>
        <w:t>BIOMEDICAL</w:t>
      </w:r>
    </w:p>
    <w:p>
      <w:pPr>
        <w:pStyle w:val="Heading1"/>
        <w:spacing w:after="120"/>
      </w:pPr>
      <w:r>
        <w:rPr>
          <w:color w:val="1A3A5C"/>
          <w:sz w:val="48"/>
        </w:rPr>
        <w:t>3D-Printed Implants: How Additive Manufacturing</w:t>
        <w:br/>
        <w:t>Is Personalizing Orthopedic Medicine</w:t>
      </w:r>
    </w:p>
    <w:p>
      <w:pPr>
        <w:spacing w:after="200"/>
      </w:pPr>
      <w:r>
        <w:rPr>
          <w:color w:val="666666"/>
          <w:sz w:val="26"/>
        </w:rPr>
        <w:t>Patient-specific implants printed from titanium and PEEK are transforming bone repair — here is the materials science making it possible.</w:t>
      </w:r>
    </w:p>
    <w:p>
      <w:pPr>
        <w:spacing w:after="40"/>
      </w:pPr>
      <w:r>
        <w:rPr>
          <w:color w:val="666666"/>
          <w:sz w:val="18"/>
        </w:rPr>
        <w:t>By Joshua U. Otaigbe, PhD  |  March 17, 2026  |  6 min read</w:t>
      </w:r>
    </w:p>
    <w:p>
      <w:pPr>
        <w:spacing w:after="40"/>
      </w:pPr>
      <w:r>
        <w:rPr>
          <w:color w:val="666666"/>
          <w:sz w:val="18"/>
        </w:rPr>
        <w:t>Flaney Associates  |  Materials Engineering &amp; Innovation</w:t>
      </w:r>
    </w:p>
    <w:p>
      <w:pPr>
        <w:spacing w:before="120" w:after="120"/>
        <w:pBdr>
          <w:bottom w:val="single" w:sz="6" w:space="1" w:color="2D8CF0"/>
        </w:pBdr>
      </w:pPr>
    </w:p>
    <w:p>
      <w:pPr>
        <w:pStyle w:val="Heading1"/>
        <w:spacing w:before="320" w:after="120"/>
      </w:pPr>
      <w:r>
        <w:rPr>
          <w:color w:val="1A3A5C"/>
        </w:rPr>
        <w:t>Introduction: The Problem With Standard Sizes</w:t>
      </w:r>
    </w:p>
    <w:p>
      <w:pPr>
        <w:spacing w:after="160"/>
        <w:jc w:val="both"/>
      </w:pPr>
      <w:r>
        <w:rPr>
          <w:i w:val="0"/>
          <w:color w:val="333333"/>
          <w:sz w:val="22"/>
        </w:rPr>
        <w:t>Human anatomy does not come in standard sizes. Yet orthopedic implants have historically been available only in limited standard sizes and shapes, requiring surgeons to adapt procedures to fit the implant. Additive manufacturing changes this fundamentally: by combining medical imaging data with advanced materials processing, implants can now match a specific patient's anatomy with sub-millimetre precision.</w:t>
      </w:r>
    </w:p>
    <w:p>
      <w:pPr>
        <w:pStyle w:val="Heading1"/>
        <w:spacing w:before="320" w:after="120"/>
      </w:pPr>
      <w:r>
        <w:rPr>
          <w:color w:val="1A3A5C"/>
        </w:rPr>
        <w:t>From Scan to Implant: The Workflow</w:t>
      </w:r>
    </w:p>
    <w:p>
      <w:pPr>
        <w:spacing w:after="160"/>
        <w:jc w:val="both"/>
      </w:pPr>
      <w:r>
        <w:rPr>
          <w:i w:val="0"/>
          <w:color w:val="333333"/>
          <w:sz w:val="22"/>
        </w:rPr>
        <w:t>The process begins with high-resolution CT scanning that creates a 3D map of the patient's anatomy. Engineers design an implant that fills the defect precisely while accounting for mechanical load requirements. The digital design is transferred to a metal additive manufacturing system that builds the implant layer by layer from titanium or cobalt-chrome powder. Turnaround from CT scan to finished implant can be a matter of days.</w:t>
      </w:r>
    </w:p>
    <w:p>
      <w:pPr>
        <w:pStyle w:val="Heading1"/>
        <w:spacing w:before="320" w:after="120"/>
      </w:pPr>
      <w:r>
        <w:rPr>
          <w:color w:val="1A3A5C"/>
        </w:rPr>
        <w:t>Why Titanium?</w:t>
      </w:r>
    </w:p>
    <w:p>
      <w:pPr>
        <w:spacing w:after="160"/>
        <w:jc w:val="both"/>
      </w:pPr>
      <w:r>
        <w:rPr>
          <w:i w:val="0"/>
          <w:color w:val="333333"/>
          <w:sz w:val="22"/>
        </w:rPr>
        <w:t>Ti-6Al-4V combines excellent strength-to-weight ratio with exceptional corrosion resistance and osseointegration — the ability of bone to grow into and bond with the implant surface. But the real breakthrough is that additive manufacturing enables porous structures that mimic natural bone architecture — impossible with any conventional manufacturing method.</w:t>
      </w:r>
    </w:p>
    <w:p>
      <w:pPr>
        <w:spacing w:before="200" w:after="200"/>
        <w:ind w:left="576" w:right="576"/>
      </w:pPr>
      <w:r>
        <w:rPr>
          <w:i/>
          <w:color w:val="2D8CF0"/>
          <w:sz w:val="24"/>
        </w:rPr>
        <w:t>"A solid titanium implant and a porous printed implant of the same size can behave completely differently inside the body. The architecture is as important as the material."</w:t>
      </w:r>
    </w:p>
    <w:p>
      <w:pPr>
        <w:pStyle w:val="Heading1"/>
        <w:spacing w:before="320" w:after="120"/>
      </w:pPr>
      <w:r>
        <w:rPr>
          <w:color w:val="1A3A5C"/>
        </w:rPr>
        <w:t>The Science of Osseointegration Through Porosity</w:t>
      </w:r>
    </w:p>
    <w:p>
      <w:pPr>
        <w:spacing w:after="160"/>
        <w:jc w:val="both"/>
      </w:pPr>
      <w:r>
        <w:rPr>
          <w:i w:val="0"/>
          <w:color w:val="333333"/>
          <w:sz w:val="22"/>
        </w:rPr>
        <w:t>Natural bone is hierarchically porous — from large trabecular cavities to microscopic channels for blood vessels and bone-forming cells. Smooth metal implants rely on surface chemistry and mechanical fixation. Porous additive manufactured implants provide a 3D scaffold into which bone actively grows, creating a biological bond far stronger than mechanical fixation alone. Research shows pore sizes of 300–600 µm with 65–80 percent interconnected porosity are optimal for bone ingrowth.</w:t>
      </w:r>
    </w:p>
    <w:p>
      <w:pPr>
        <w:pStyle w:val="Heading1"/>
        <w:spacing w:before="320" w:after="120"/>
      </w:pPr>
      <w:r>
        <w:rPr>
          <w:color w:val="1A3A5C"/>
        </w:rPr>
        <w:t>Regulatory Considerations for Printed Implants</w:t>
      </w:r>
    </w:p>
    <w:p>
      <w:pPr>
        <w:spacing w:after="160"/>
        <w:jc w:val="both"/>
      </w:pPr>
      <w:r>
        <w:rPr>
          <w:i w:val="0"/>
          <w:color w:val="333333"/>
          <w:sz w:val="22"/>
        </w:rPr>
        <w:t>The FDA classifies patient-specific printed implants as custom devices, with a different pathway than standard manufactured implants. Critical requirements include:</w:t>
      </w:r>
    </w:p>
    <w:p>
      <w:pPr>
        <w:pStyle w:val="ListBullet"/>
        <w:spacing w:after="80"/>
      </w:pPr>
      <w:r>
        <w:rPr>
          <w:color w:val="333333"/>
          <w:sz w:val="22"/>
        </w:rPr>
        <w:t>Validation of the design software and digital-to-physical manufacturing chain</w:t>
      </w:r>
    </w:p>
    <w:p>
      <w:pPr>
        <w:pStyle w:val="ListBullet"/>
        <w:spacing w:after="80"/>
      </w:pPr>
      <w:r>
        <w:rPr>
          <w:color w:val="333333"/>
          <w:sz w:val="22"/>
        </w:rPr>
        <w:t>Demonstration that printed part properties meet the same standards as conventionally made implants</w:t>
      </w:r>
    </w:p>
    <w:p>
      <w:pPr>
        <w:pStyle w:val="ListBullet"/>
        <w:spacing w:after="80"/>
      </w:pPr>
      <w:r>
        <w:rPr>
          <w:color w:val="333333"/>
          <w:sz w:val="22"/>
        </w:rPr>
        <w:t>Characterisation of residual porosity, surface roughness, and subsurface defects</w:t>
      </w:r>
    </w:p>
    <w:p>
      <w:pPr>
        <w:pStyle w:val="ListBullet"/>
        <w:spacing w:after="80"/>
      </w:pPr>
      <w:r>
        <w:rPr>
          <w:color w:val="333333"/>
          <w:sz w:val="22"/>
        </w:rPr>
        <w:t>Verification that post-processing does not degrade critical properties</w:t>
      </w:r>
    </w:p>
    <w:p>
      <w:pPr>
        <w:pStyle w:val="ListBullet"/>
        <w:spacing w:after="80"/>
      </w:pPr>
      <w:r>
        <w:rPr>
          <w:color w:val="333333"/>
          <w:sz w:val="22"/>
        </w:rPr>
        <w:t>Traceability from patient imaging data through design, manufacturing, and implantation</w:t>
      </w:r>
    </w:p>
    <w:p>
      <w:pPr>
        <w:pStyle w:val="Heading1"/>
        <w:spacing w:before="320" w:after="120"/>
      </w:pPr>
      <w:r>
        <w:rPr>
          <w:color w:val="1A3A5C"/>
        </w:rPr>
        <w:t>The Future: Bioprinting and Smart Implants</w:t>
      </w:r>
    </w:p>
    <w:p>
      <w:pPr>
        <w:spacing w:after="160"/>
        <w:jc w:val="both"/>
      </w:pPr>
      <w:r>
        <w:rPr>
          <w:i w:val="0"/>
          <w:color w:val="333333"/>
          <w:sz w:val="22"/>
        </w:rPr>
        <w:t>Researchers are developing bioprinting techniques where living cells are printed into 3D scaffolds to create tissues and ultimately organs. Bioprinted cartilage patches, bone scaffolds, and vascular grafts are already in early clinical trials. At Flaney Associates, we support medical device companies at the intersection of additive manufacturing, advanced materials, and regulatory compliance.</w:t>
      </w:r>
    </w:p>
    <w:p>
      <w:pPr>
        <w:spacing w:before="120" w:after="120"/>
        <w:pBdr>
          <w:bottom w:val="single" w:sz="6" w:space="1" w:color="2D8CF0"/>
        </w:pBdr>
      </w:pPr>
    </w:p>
    <w:p>
      <w:pPr>
        <w:jc w:val="center"/>
      </w:pPr>
      <w:r>
        <w:rPr>
          <w:color w:val="1A3A5C"/>
          <w:sz w:val="20"/>
        </w:rPr>
        <w:t>For more information or questions, please contact the author:</w:t>
      </w:r>
    </w:p>
    <w:p>
      <w:pPr>
        <w:jc w:val="center"/>
      </w:pPr>
      <w:r>
        <w:rPr>
          <w:b/>
          <w:color w:val="1A3A5C"/>
          <w:sz w:val="22"/>
        </w:rPr>
        <w:t>Joshua U. Otaigbe, PhD</w:t>
      </w:r>
    </w:p>
    <w:p>
      <w:pPr>
        <w:jc w:val="center"/>
      </w:pPr>
      <w:r>
        <w:rPr>
          <w:color w:val="1A3A5C"/>
          <w:sz w:val="20"/>
        </w:rPr>
        <w:t>Founder &amp; Principal Consultant, Flaney Associates</w:t>
      </w:r>
    </w:p>
    <w:p>
      <w:pPr>
        <w:jc w:val="center"/>
      </w:pPr>
      <w:r>
        <w:rPr>
          <w:color w:val="2D8CF0"/>
          <w:sz w:val="20"/>
        </w:rPr>
        <w:t>Email: info@flaneyassociates.com  |  Web: flaneyassociates.com</w:t>
      </w:r>
    </w:p>
    <w:p>
      <w:pPr>
        <w:jc w:val="center"/>
      </w:pPr>
      <w:r>
        <w:rPr>
          <w:b/>
          <w:color w:val="2D8CF0"/>
          <w:sz w:val="20"/>
        </w:rPr>
        <w:t>Schedule a free consultation at flaneyassociates.com/contact</w:t>
      </w:r>
    </w:p>
    <w:p/>
    <w:p>
      <w:pPr>
        <w:jc w:val="center"/>
      </w:pPr>
      <w:r>
        <w:rPr>
          <w:color w:val="666666"/>
          <w:sz w:val="16"/>
        </w:rPr>
        <w:t>© 2026 Flaney Associates. All rights reserved. Provided for informational purposes only.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