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2D8CF0"/>
          <w:sz w:val="20"/>
        </w:rPr>
        <w:t>BIOMEDICAL</w:t>
      </w:r>
    </w:p>
    <w:p>
      <w:pPr>
        <w:pStyle w:val="Heading1"/>
        <w:spacing w:after="120"/>
      </w:pPr>
      <w:r>
        <w:rPr>
          <w:color w:val="1A3A5C"/>
          <w:sz w:val="48"/>
        </w:rPr>
        <w:t>Biocompatible Polymers for Implantable Devices:</w:t>
        <w:br/>
        <w:t>Navigating FDA Material Requirements in 2026</w:t>
      </w:r>
    </w:p>
    <w:p>
      <w:pPr>
        <w:spacing w:after="200"/>
      </w:pPr>
      <w:r>
        <w:rPr>
          <w:color w:val="666666"/>
          <w:sz w:val="26"/>
        </w:rPr>
        <w:t>What every medical device innovator needs to know about choosing materials that are safe for the human body and approvable by regulators.</w:t>
      </w:r>
    </w:p>
    <w:p>
      <w:pPr>
        <w:spacing w:after="40"/>
      </w:pPr>
      <w:r>
        <w:rPr>
          <w:color w:val="666666"/>
          <w:sz w:val="18"/>
        </w:rPr>
        <w:t>By Joshua U. Otaigbe, PhD  |  January 22, 2026  |  7 min read</w:t>
      </w:r>
    </w:p>
    <w:p>
      <w:pPr>
        <w:spacing w:after="40"/>
      </w:pPr>
      <w:r>
        <w:rPr>
          <w:color w:val="666666"/>
          <w:sz w:val="18"/>
        </w:rPr>
        <w:t>Flaney Associates  |  Materials Engineering &amp; Innovation</w:t>
      </w:r>
    </w:p>
    <w:p>
      <w:pPr>
        <w:spacing w:before="120" w:after="120"/>
        <w:pBdr>
          <w:bottom w:val="single" w:sz="6" w:space="1" w:color="2D8CF0"/>
        </w:pBdr>
      </w:pPr>
    </w:p>
    <w:p>
      <w:pPr>
        <w:pStyle w:val="Heading1"/>
        <w:spacing w:before="320" w:after="120"/>
      </w:pPr>
      <w:r>
        <w:rPr>
          <w:color w:val="1A3A5C"/>
        </w:rPr>
        <w:t>Introduction: Materials That Live Inside Us</w:t>
      </w:r>
    </w:p>
    <w:p>
      <w:pPr>
        <w:spacing w:after="160"/>
        <w:jc w:val="both"/>
      </w:pPr>
      <w:r>
        <w:rPr>
          <w:i w:val="0"/>
          <w:color w:val="333333"/>
          <w:sz w:val="22"/>
        </w:rPr>
        <w:t>Millions of people live with implanted medical devices — hip joints, spinal cages, heart valves, pacemakers. Each must be made from materials that coexist with living tissue, sometimes for decades, without causing harm. Material selection for implantable devices requires deep understanding of both materials science and human biology, plus thorough knowledge of regulatory requirements.</w:t>
      </w:r>
    </w:p>
    <w:p>
      <w:pPr>
        <w:pStyle w:val="Heading1"/>
        <w:spacing w:before="320" w:after="120"/>
      </w:pPr>
      <w:r>
        <w:rPr>
          <w:color w:val="1A3A5C"/>
        </w:rPr>
        <w:t>What Does Biocompatible Actually Mean?</w:t>
      </w:r>
    </w:p>
    <w:p>
      <w:pPr>
        <w:spacing w:after="160"/>
        <w:jc w:val="both"/>
      </w:pPr>
      <w:r>
        <w:rPr>
          <w:i w:val="0"/>
          <w:color w:val="333333"/>
          <w:sz w:val="22"/>
        </w:rPr>
        <w:t>Biocompatibility is the ability of a material to perform its intended function without causing an unacceptable adverse reaction. It is not a single property but a complex set of interactions that depends heavily on how and where the material is used. A material perfect for skin contact may be unsuitable for blood contact.</w:t>
      </w:r>
    </w:p>
    <w:p>
      <w:pPr>
        <w:pStyle w:val="Heading1"/>
        <w:spacing w:before="320" w:after="120"/>
      </w:pPr>
      <w:r>
        <w:rPr>
          <w:color w:val="1A3A5C"/>
        </w:rPr>
        <w:t>The Polymers Leading the Way</w:t>
      </w:r>
    </w:p>
    <w:p>
      <w:pPr>
        <w:pStyle w:val="Heading2"/>
        <w:spacing w:before="200" w:after="120"/>
      </w:pPr>
      <w:r>
        <w:rPr>
          <w:color w:val="1A3A5C"/>
        </w:rPr>
        <w:t>PEEK (Polyether Ether Ketone)</w:t>
      </w:r>
    </w:p>
    <w:p>
      <w:pPr>
        <w:spacing w:after="160"/>
        <w:jc w:val="both"/>
      </w:pPr>
      <w:r>
        <w:rPr>
          <w:i w:val="0"/>
          <w:color w:val="333333"/>
          <w:sz w:val="22"/>
        </w:rPr>
        <w:t>Strong, stiff, and chemically resistant with mechanical properties closer to human bone than metal. Used extensively in spinal fusion cages and orthopedic surgery, avoiding the 'stress shielding' problem of overly rigid metal implants.</w:t>
      </w:r>
    </w:p>
    <w:p>
      <w:pPr>
        <w:pStyle w:val="Heading2"/>
        <w:spacing w:before="200" w:after="120"/>
      </w:pPr>
      <w:r>
        <w:rPr>
          <w:color w:val="1A3A5C"/>
        </w:rPr>
        <w:t>UHMWPE</w:t>
      </w:r>
    </w:p>
    <w:p>
      <w:pPr>
        <w:spacing w:after="160"/>
        <w:jc w:val="both"/>
      </w:pPr>
      <w:r>
        <w:rPr>
          <w:i w:val="0"/>
          <w:color w:val="333333"/>
          <w:sz w:val="22"/>
        </w:rPr>
        <w:t>Ultra-high molecular weight polyethylene has served as the bearing surface in hip and knee replacements for over 50 years. Modern cross-linked versions have dramatically reduced wear rates, extending joint replacement life.</w:t>
      </w:r>
    </w:p>
    <w:p>
      <w:pPr>
        <w:pStyle w:val="Heading2"/>
        <w:spacing w:before="200" w:after="120"/>
      </w:pPr>
      <w:r>
        <w:rPr>
          <w:color w:val="1A3A5C"/>
        </w:rPr>
        <w:t>Bioresorbable Polymers</w:t>
      </w:r>
    </w:p>
    <w:p>
      <w:pPr>
        <w:spacing w:after="160"/>
        <w:jc w:val="both"/>
      </w:pPr>
      <w:r>
        <w:rPr>
          <w:i w:val="0"/>
          <w:color w:val="333333"/>
          <w:sz w:val="22"/>
        </w:rPr>
        <w:t>PLA and PGA polymers dissolve safely inside the body after serving their purpose, creating temporary scaffolds that support tissue healing and then break down into harmless natural byproducts — eliminating the need for a second surgery.</w:t>
      </w:r>
    </w:p>
    <w:p>
      <w:pPr>
        <w:spacing w:before="200" w:after="200"/>
        <w:ind w:left="576" w:right="576"/>
      </w:pPr>
      <w:r>
        <w:rPr>
          <w:i/>
          <w:color w:val="2D8CF0"/>
          <w:sz w:val="24"/>
        </w:rPr>
        <w:t>"The ideal implant material does not just avoid causing harm. It actively supports the body's natural healing processes."</w:t>
      </w:r>
    </w:p>
    <w:p>
      <w:pPr>
        <w:pStyle w:val="Heading1"/>
        <w:spacing w:before="320" w:after="120"/>
      </w:pPr>
      <w:r>
        <w:rPr>
          <w:color w:val="1A3A5C"/>
        </w:rPr>
        <w:t>The FDA Approval Pathway</w:t>
      </w:r>
    </w:p>
    <w:p>
      <w:pPr>
        <w:spacing w:after="160"/>
        <w:jc w:val="both"/>
      </w:pPr>
      <w:r>
        <w:rPr>
          <w:i w:val="0"/>
          <w:color w:val="333333"/>
          <w:sz w:val="22"/>
        </w:rPr>
        <w:t>ISO 10993 defines a systematic approach to evaluating biological effects of device materials. Required tests typically include:</w:t>
      </w:r>
    </w:p>
    <w:p>
      <w:pPr>
        <w:pStyle w:val="ListBullet"/>
        <w:spacing w:after="80"/>
      </w:pPr>
      <w:r>
        <w:rPr>
          <w:color w:val="333333"/>
          <w:sz w:val="22"/>
        </w:rPr>
        <w:t>Cytotoxicity — does the material kill or damage cells?</w:t>
      </w:r>
    </w:p>
    <w:p>
      <w:pPr>
        <w:pStyle w:val="ListBullet"/>
        <w:spacing w:after="80"/>
      </w:pPr>
      <w:r>
        <w:rPr>
          <w:color w:val="333333"/>
          <w:sz w:val="22"/>
        </w:rPr>
        <w:t>Sensitisation — does it cause allergic reactions?</w:t>
      </w:r>
    </w:p>
    <w:p>
      <w:pPr>
        <w:pStyle w:val="ListBullet"/>
        <w:spacing w:after="80"/>
      </w:pPr>
      <w:r>
        <w:rPr>
          <w:color w:val="333333"/>
          <w:sz w:val="22"/>
        </w:rPr>
        <w:t>Irritation — does it cause inflammation?</w:t>
      </w:r>
    </w:p>
    <w:p>
      <w:pPr>
        <w:pStyle w:val="ListBullet"/>
        <w:spacing w:after="80"/>
      </w:pPr>
      <w:r>
        <w:rPr>
          <w:color w:val="333333"/>
          <w:sz w:val="22"/>
        </w:rPr>
        <w:t>Systemic toxicity — does it release harmful substances?</w:t>
      </w:r>
    </w:p>
    <w:p>
      <w:pPr>
        <w:pStyle w:val="ListBullet"/>
        <w:spacing w:after="80"/>
      </w:pPr>
      <w:r>
        <w:rPr>
          <w:color w:val="333333"/>
          <w:sz w:val="22"/>
        </w:rPr>
        <w:t>Genotoxicity — does it damage DNA?</w:t>
      </w:r>
    </w:p>
    <w:p>
      <w:pPr>
        <w:pStyle w:val="ListBullet"/>
        <w:spacing w:after="80"/>
      </w:pPr>
      <w:r>
        <w:rPr>
          <w:color w:val="333333"/>
          <w:sz w:val="22"/>
        </w:rPr>
        <w:t>Implantation testing — how does tissue respond?</w:t>
      </w:r>
    </w:p>
    <w:p>
      <w:pPr>
        <w:pStyle w:val="ListBullet"/>
        <w:spacing w:after="80"/>
      </w:pPr>
      <w:r>
        <w:rPr>
          <w:color w:val="333333"/>
          <w:sz w:val="22"/>
        </w:rPr>
        <w:t>Hemocompatibility — how does it interact with blood?</w:t>
      </w:r>
    </w:p>
    <w:p>
      <w:pPr>
        <w:spacing w:after="160"/>
        <w:jc w:val="both"/>
      </w:pPr>
      <w:r>
        <w:rPr>
          <w:i w:val="0"/>
          <w:color w:val="333333"/>
          <w:sz w:val="22"/>
        </w:rPr>
        <w:t>For permanent implants, additional chronic toxicity studies are required. The full program can take 12–24 months and cost hundreds of thousands of dollars — reason enough to make smart material choices early.</w:t>
      </w:r>
    </w:p>
    <w:p>
      <w:pPr>
        <w:pStyle w:val="Heading1"/>
        <w:spacing w:before="320" w:after="120"/>
      </w:pPr>
      <w:r>
        <w:rPr>
          <w:color w:val="1A3A5C"/>
        </w:rPr>
        <w:t>Common Pitfalls in Material Selection</w:t>
      </w:r>
    </w:p>
    <w:p>
      <w:pPr>
        <w:spacing w:after="160"/>
        <w:jc w:val="both"/>
      </w:pPr>
      <w:r>
        <w:rPr>
          <w:i w:val="0"/>
          <w:color w:val="333333"/>
          <w:sz w:val="22"/>
        </w:rPr>
        <w:t>Common mistakes include selecting materials based solely on mechanical properties, underestimating sterilisation effects on polymer properties, overlooking how manufacturing can alter material behaviour, and failing to account for degradation over the implant lifetime.</w:t>
      </w:r>
    </w:p>
    <w:p>
      <w:pPr>
        <w:pStyle w:val="Heading1"/>
        <w:spacing w:before="320" w:after="120"/>
      </w:pPr>
      <w:r>
        <w:rPr>
          <w:color w:val="1A3A5C"/>
        </w:rPr>
        <w:t>Looking Ahead</w:t>
      </w:r>
    </w:p>
    <w:p>
      <w:pPr>
        <w:spacing w:after="160"/>
        <w:jc w:val="both"/>
      </w:pPr>
      <w:r>
        <w:rPr>
          <w:i w:val="0"/>
          <w:color w:val="333333"/>
          <w:sz w:val="22"/>
        </w:rPr>
        <w:t>Smart polymers that respond to body conditions, 3D-printed patient-specific implants, and new surface modifications that resist bacterial colonisation are advancing rapidly. At Flaney Associates, we help medical device companies navigate from material screening through FDA submission support.</w:t>
      </w:r>
    </w:p>
    <w:p>
      <w:pPr>
        <w:spacing w:before="120" w:after="120"/>
        <w:pBdr>
          <w:bottom w:val="single" w:sz="6" w:space="1" w:color="2D8CF0"/>
        </w:pBdr>
      </w:pPr>
    </w:p>
    <w:p>
      <w:pPr>
        <w:jc w:val="center"/>
      </w:pPr>
      <w:r>
        <w:rPr>
          <w:color w:val="1A3A5C"/>
          <w:sz w:val="20"/>
        </w:rPr>
        <w:t>For more information or questions, please contact the author:</w:t>
      </w:r>
    </w:p>
    <w:p>
      <w:pPr>
        <w:jc w:val="center"/>
      </w:pPr>
      <w:r>
        <w:rPr>
          <w:b/>
          <w:color w:val="1A3A5C"/>
          <w:sz w:val="22"/>
        </w:rPr>
        <w:t>Joshua U. Otaigbe, PhD</w:t>
      </w:r>
    </w:p>
    <w:p>
      <w:pPr>
        <w:jc w:val="center"/>
      </w:pPr>
      <w:r>
        <w:rPr>
          <w:color w:val="1A3A5C"/>
          <w:sz w:val="20"/>
        </w:rPr>
        <w:t>Founder &amp; Principal Consultant, Flaney Associates</w:t>
      </w:r>
    </w:p>
    <w:p>
      <w:pPr>
        <w:jc w:val="center"/>
      </w:pPr>
      <w:r>
        <w:rPr>
          <w:color w:val="2D8CF0"/>
          <w:sz w:val="20"/>
        </w:rPr>
        <w:t>Email: info@flaneyassociates.com  |  Web: flaneyassociates.com</w:t>
      </w:r>
    </w:p>
    <w:p>
      <w:pPr>
        <w:jc w:val="center"/>
      </w:pPr>
      <w:r>
        <w:rPr>
          <w:b/>
          <w:color w:val="2D8CF0"/>
          <w:sz w:val="20"/>
        </w:rPr>
        <w:t>Schedule a free consultation at flaneyassociates.com/contact</w:t>
      </w:r>
    </w:p>
    <w:p/>
    <w:p>
      <w:pPr>
        <w:jc w:val="center"/>
      </w:pPr>
      <w:r>
        <w:rPr>
          <w:color w:val="666666"/>
          <w:sz w:val="16"/>
        </w:rPr>
        <w:t>© 2026 Flaney Associates. All rights reserved. Provided for informational purposes only.</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