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9AA0" w14:textId="73AEF475" w:rsidR="0027127F" w:rsidRPr="0027127F" w:rsidRDefault="0027127F" w:rsidP="0027127F">
      <w:pPr>
        <w:rPr>
          <w:rFonts w:ascii="Arial" w:hAnsi="Arial" w:cs="Arial"/>
          <w:sz w:val="22"/>
          <w:szCs w:val="22"/>
        </w:rPr>
      </w:pPr>
      <w:r w:rsidRPr="0027127F">
        <w:rPr>
          <w:rFonts w:ascii="Arial" w:hAnsi="Arial" w:cs="Arial"/>
          <w:sz w:val="22"/>
          <w:szCs w:val="22"/>
        </w:rPr>
        <w:t>The report focuses on how short-term rentals affect the housing market of Portugal for individual assessment.</w:t>
      </w:r>
    </w:p>
    <w:p w14:paraId="1430D554" w14:textId="77777777" w:rsidR="0027127F" w:rsidRPr="0027127F" w:rsidRDefault="0027127F" w:rsidP="0027127F">
      <w:pPr>
        <w:rPr>
          <w:rFonts w:ascii="Arial" w:hAnsi="Arial" w:cs="Arial"/>
          <w:sz w:val="22"/>
          <w:szCs w:val="22"/>
        </w:rPr>
      </w:pPr>
      <w:r w:rsidRPr="0027127F">
        <w:rPr>
          <w:rFonts w:ascii="Arial" w:hAnsi="Arial" w:cs="Arial"/>
          <w:sz w:val="22"/>
          <w:szCs w:val="22"/>
        </w:rPr>
        <w:t>The  study evaluates how short-term rental (STR) operations connect with real estate values and rental costs across Portugal  municipalities. The analysis used official data from INE along with property listings which underwent harmonization before researchers applied  descriptive statistics, clustering and interactive visualization techniques.</w:t>
      </w:r>
    </w:p>
    <w:p w14:paraId="3074ABE4" w14:textId="77777777" w:rsidR="0027127F" w:rsidRPr="0027127F" w:rsidRDefault="0027127F" w:rsidP="0027127F">
      <w:pPr>
        <w:rPr>
          <w:rFonts w:ascii="Arial" w:hAnsi="Arial" w:cs="Arial"/>
          <w:sz w:val="22"/>
          <w:szCs w:val="22"/>
        </w:rPr>
      </w:pPr>
    </w:p>
    <w:p w14:paraId="387B4AFE" w14:textId="0CA6BD0B" w:rsidR="0027127F" w:rsidRPr="0027127F" w:rsidRDefault="0027127F" w:rsidP="0027127F">
      <w:pPr>
        <w:rPr>
          <w:rFonts w:ascii="Arial" w:hAnsi="Arial" w:cs="Arial"/>
          <w:sz w:val="22"/>
          <w:szCs w:val="22"/>
        </w:rPr>
      </w:pPr>
      <w:r w:rsidRPr="0027127F">
        <w:rPr>
          <w:rFonts w:ascii="Arial" w:hAnsi="Arial" w:cs="Arial"/>
          <w:sz w:val="22"/>
          <w:szCs w:val="22"/>
        </w:rPr>
        <w:t>Key Research Questions:</w:t>
      </w:r>
    </w:p>
    <w:p w14:paraId="1EAA327F" w14:textId="13750DFF" w:rsidR="0027127F" w:rsidRPr="0027127F" w:rsidRDefault="0027127F" w:rsidP="0027127F">
      <w:pPr>
        <w:rPr>
          <w:rFonts w:ascii="Arial" w:hAnsi="Arial" w:cs="Arial"/>
          <w:sz w:val="22"/>
          <w:szCs w:val="22"/>
        </w:rPr>
      </w:pPr>
      <w:r w:rsidRPr="0027127F">
        <w:rPr>
          <w:rFonts w:ascii="Arial" w:hAnsi="Arial" w:cs="Arial"/>
          <w:sz w:val="22"/>
          <w:szCs w:val="22"/>
        </w:rPr>
        <w:t xml:space="preserve">    Are there distinct groups of  municipalities with similar STR and market profiles?</w:t>
      </w:r>
    </w:p>
    <w:p w14:paraId="3517FCC7" w14:textId="2B91CD13" w:rsidR="0027127F" w:rsidRPr="0027127F" w:rsidRDefault="0027127F" w:rsidP="0027127F">
      <w:pPr>
        <w:rPr>
          <w:rFonts w:ascii="Arial" w:hAnsi="Arial" w:cs="Arial"/>
          <w:sz w:val="22"/>
          <w:szCs w:val="22"/>
        </w:rPr>
      </w:pPr>
      <w:r w:rsidRPr="0027127F">
        <w:rPr>
          <w:rFonts w:ascii="Arial" w:hAnsi="Arial" w:cs="Arial"/>
          <w:sz w:val="22"/>
          <w:szCs w:val="22"/>
        </w:rPr>
        <w:t xml:space="preserve">    Which municipalities are outliers in STR density or price, indicating  “hotspots” or special cases?</w:t>
      </w:r>
    </w:p>
    <w:p w14:paraId="7A678824" w14:textId="41C48792" w:rsidR="0027127F" w:rsidRPr="0027127F" w:rsidRDefault="0027127F" w:rsidP="0027127F">
      <w:pPr>
        <w:rPr>
          <w:rFonts w:ascii="Arial" w:hAnsi="Arial" w:cs="Arial"/>
          <w:sz w:val="22"/>
          <w:szCs w:val="22"/>
        </w:rPr>
      </w:pPr>
      <w:r w:rsidRPr="0027127F">
        <w:rPr>
          <w:rFonts w:ascii="Arial" w:hAnsi="Arial" w:cs="Arial"/>
          <w:sz w:val="22"/>
          <w:szCs w:val="22"/>
        </w:rPr>
        <w:t>How do the main regions (Lisbon, Porto,  Algarve) differ in STR impact and market outcomes?</w:t>
      </w:r>
    </w:p>
    <w:p w14:paraId="6A45DC16" w14:textId="768AB166" w:rsidR="0027127F" w:rsidRPr="0027127F" w:rsidRDefault="0027127F" w:rsidP="0027127F">
      <w:pPr>
        <w:rPr>
          <w:rFonts w:ascii="Arial" w:hAnsi="Arial" w:cs="Arial"/>
          <w:sz w:val="22"/>
          <w:szCs w:val="22"/>
        </w:rPr>
      </w:pPr>
      <w:r w:rsidRPr="0027127F">
        <w:rPr>
          <w:rFonts w:ascii="Arial" w:hAnsi="Arial" w:cs="Arial"/>
          <w:sz w:val="22"/>
          <w:szCs w:val="22"/>
        </w:rPr>
        <w:t>Main Findings:</w:t>
      </w:r>
    </w:p>
    <w:p w14:paraId="7F2F7A24" w14:textId="64D5BB98" w:rsidR="0027127F" w:rsidRPr="0027127F" w:rsidRDefault="0027127F" w:rsidP="0027127F">
      <w:pPr>
        <w:rPr>
          <w:rFonts w:ascii="Arial" w:hAnsi="Arial" w:cs="Arial"/>
          <w:sz w:val="22"/>
          <w:szCs w:val="22"/>
        </w:rPr>
      </w:pPr>
      <w:r w:rsidRPr="0027127F">
        <w:rPr>
          <w:rFonts w:ascii="Arial" w:hAnsi="Arial" w:cs="Arial"/>
          <w:sz w:val="22"/>
          <w:szCs w:val="22"/>
        </w:rPr>
        <w:t xml:space="preserve">    Municipalities naturally group into three clusters:</w:t>
      </w:r>
    </w:p>
    <w:p w14:paraId="19D285B4" w14:textId="1E880FE0" w:rsidR="0027127F" w:rsidRPr="0027127F" w:rsidRDefault="0027127F" w:rsidP="0027127F">
      <w:pPr>
        <w:rPr>
          <w:rFonts w:ascii="Arial" w:hAnsi="Arial" w:cs="Arial"/>
          <w:sz w:val="22"/>
          <w:szCs w:val="22"/>
        </w:rPr>
      </w:pPr>
      <w:r w:rsidRPr="0027127F">
        <w:rPr>
          <w:rFonts w:ascii="Arial" w:hAnsi="Arial" w:cs="Arial"/>
          <w:sz w:val="22"/>
          <w:szCs w:val="22"/>
        </w:rPr>
        <w:t xml:space="preserve">        Cluster 0: High  STR density &amp; high prices (Lisbon, Porto, Algarve, and tourist hubs) – these  show the most housing pressure.</w:t>
      </w:r>
    </w:p>
    <w:p w14:paraId="4B9208B0" w14:textId="7B7A5126" w:rsidR="0027127F" w:rsidRPr="0027127F" w:rsidRDefault="0027127F" w:rsidP="0027127F">
      <w:pPr>
        <w:rPr>
          <w:rFonts w:ascii="Arial" w:hAnsi="Arial" w:cs="Arial"/>
          <w:sz w:val="22"/>
          <w:szCs w:val="22"/>
        </w:rPr>
      </w:pPr>
      <w:r w:rsidRPr="0027127F">
        <w:rPr>
          <w:rFonts w:ascii="Arial" w:hAnsi="Arial" w:cs="Arial"/>
          <w:sz w:val="22"/>
          <w:szCs w:val="22"/>
        </w:rPr>
        <w:t xml:space="preserve">        Cluster 1: Low STR and moderate prices – mainly inland/residential  municipalities.</w:t>
      </w:r>
    </w:p>
    <w:p w14:paraId="6987746B" w14:textId="248ACA29" w:rsidR="0027127F" w:rsidRPr="0027127F" w:rsidRDefault="0027127F" w:rsidP="0027127F">
      <w:pPr>
        <w:rPr>
          <w:rFonts w:ascii="Arial" w:hAnsi="Arial" w:cs="Arial"/>
          <w:sz w:val="22"/>
          <w:szCs w:val="22"/>
        </w:rPr>
      </w:pPr>
      <w:r w:rsidRPr="0027127F">
        <w:rPr>
          <w:rFonts w:ascii="Arial" w:hAnsi="Arial" w:cs="Arial"/>
          <w:sz w:val="22"/>
          <w:szCs w:val="22"/>
        </w:rPr>
        <w:t xml:space="preserve">        Cluster 2: Intermediate profile – emerging or peripheral tourist areas.</w:t>
      </w:r>
    </w:p>
    <w:p w14:paraId="0C8A1C85" w14:textId="77777777" w:rsidR="0027127F" w:rsidRPr="0027127F" w:rsidRDefault="0027127F" w:rsidP="0027127F">
      <w:pPr>
        <w:rPr>
          <w:rFonts w:ascii="Arial" w:hAnsi="Arial" w:cs="Arial"/>
          <w:sz w:val="22"/>
          <w:szCs w:val="22"/>
        </w:rPr>
      </w:pPr>
      <w:r w:rsidRPr="0027127F">
        <w:rPr>
          <w:rFonts w:ascii="Arial" w:hAnsi="Arial" w:cs="Arial"/>
          <w:sz w:val="22"/>
          <w:szCs w:val="22"/>
        </w:rPr>
        <w:t xml:space="preserve">    Outliers:  Urban and coastal regions, particularly Lisbon and Porto, plus the Algarve and islands, concentrate the  highest STR densities and prices.</w:t>
      </w:r>
    </w:p>
    <w:p w14:paraId="2974C028" w14:textId="77777777" w:rsidR="0027127F" w:rsidRPr="0027127F" w:rsidRDefault="0027127F" w:rsidP="0027127F">
      <w:pPr>
        <w:rPr>
          <w:rFonts w:ascii="Arial" w:hAnsi="Arial" w:cs="Arial"/>
          <w:sz w:val="22"/>
          <w:szCs w:val="22"/>
        </w:rPr>
      </w:pPr>
    </w:p>
    <w:p w14:paraId="39DEB829" w14:textId="02D79C10" w:rsidR="0027127F" w:rsidRPr="0027127F" w:rsidRDefault="0027127F" w:rsidP="0027127F">
      <w:pPr>
        <w:rPr>
          <w:rFonts w:ascii="Arial" w:hAnsi="Arial" w:cs="Arial"/>
          <w:sz w:val="22"/>
          <w:szCs w:val="22"/>
        </w:rPr>
      </w:pPr>
      <w:r w:rsidRPr="0027127F">
        <w:rPr>
          <w:rFonts w:ascii="Arial" w:hAnsi="Arial" w:cs="Arial"/>
          <w:sz w:val="22"/>
          <w:szCs w:val="22"/>
        </w:rPr>
        <w:t xml:space="preserve">        Some municipalities are outliers for both metrics (e.g., Lisboa,  Cascais, </w:t>
      </w:r>
      <w:proofErr w:type="spellStart"/>
      <w:r w:rsidRPr="0027127F">
        <w:rPr>
          <w:rFonts w:ascii="Arial" w:hAnsi="Arial" w:cs="Arial"/>
          <w:sz w:val="22"/>
          <w:szCs w:val="22"/>
        </w:rPr>
        <w:t>Oeiras</w:t>
      </w:r>
      <w:proofErr w:type="spellEnd"/>
      <w:r w:rsidRPr="0027127F">
        <w:rPr>
          <w:rFonts w:ascii="Arial" w:hAnsi="Arial" w:cs="Arial"/>
          <w:sz w:val="22"/>
          <w:szCs w:val="22"/>
        </w:rPr>
        <w:t>), signaling special cases for regulation.</w:t>
      </w:r>
    </w:p>
    <w:p w14:paraId="6806C124" w14:textId="206FFA07" w:rsidR="0027127F" w:rsidRPr="0027127F" w:rsidRDefault="0027127F" w:rsidP="0027127F">
      <w:pPr>
        <w:rPr>
          <w:rFonts w:ascii="Arial" w:hAnsi="Arial" w:cs="Arial"/>
          <w:sz w:val="22"/>
          <w:szCs w:val="22"/>
        </w:rPr>
      </w:pPr>
      <w:r w:rsidRPr="0027127F">
        <w:rPr>
          <w:rFonts w:ascii="Arial" w:hAnsi="Arial" w:cs="Arial"/>
          <w:sz w:val="22"/>
          <w:szCs w:val="22"/>
        </w:rPr>
        <w:t xml:space="preserve">    Regional Comparison: The Algarve  follows Lisbon with the highest median STR density and prices. Porto maintains above-average prices but below what Lisbon  and the Algarve witness.</w:t>
      </w:r>
    </w:p>
    <w:p w14:paraId="5072C529" w14:textId="2240685F" w:rsidR="0027127F" w:rsidRPr="0027127F" w:rsidRDefault="0027127F" w:rsidP="0027127F">
      <w:pPr>
        <w:rPr>
          <w:rFonts w:ascii="Arial" w:hAnsi="Arial" w:cs="Arial"/>
          <w:sz w:val="22"/>
          <w:szCs w:val="22"/>
        </w:rPr>
      </w:pPr>
      <w:r w:rsidRPr="0027127F">
        <w:rPr>
          <w:rFonts w:ascii="Arial" w:hAnsi="Arial" w:cs="Arial"/>
          <w:sz w:val="22"/>
          <w:szCs w:val="22"/>
        </w:rPr>
        <w:t xml:space="preserve">        Internal disparities exist, especially in the Algarve.</w:t>
      </w:r>
    </w:p>
    <w:p w14:paraId="25115CCC" w14:textId="05DB274F" w:rsidR="0027127F" w:rsidRPr="0027127F" w:rsidRDefault="0027127F" w:rsidP="0027127F">
      <w:pPr>
        <w:rPr>
          <w:rFonts w:ascii="Arial" w:hAnsi="Arial" w:cs="Arial"/>
          <w:sz w:val="22"/>
          <w:szCs w:val="22"/>
        </w:rPr>
      </w:pPr>
      <w:r w:rsidRPr="0027127F">
        <w:rPr>
          <w:rFonts w:ascii="Arial" w:hAnsi="Arial" w:cs="Arial"/>
          <w:sz w:val="22"/>
          <w:szCs w:val="22"/>
        </w:rPr>
        <w:t>Policy Implications:</w:t>
      </w:r>
    </w:p>
    <w:p w14:paraId="76F9C9E7" w14:textId="047B3634" w:rsidR="0027127F" w:rsidRPr="0027127F" w:rsidRDefault="0027127F" w:rsidP="0027127F">
      <w:pPr>
        <w:rPr>
          <w:rFonts w:ascii="Arial" w:hAnsi="Arial" w:cs="Arial"/>
          <w:sz w:val="22"/>
          <w:szCs w:val="22"/>
        </w:rPr>
      </w:pPr>
      <w:r w:rsidRPr="0027127F">
        <w:rPr>
          <w:rFonts w:ascii="Arial" w:hAnsi="Arial" w:cs="Arial"/>
          <w:sz w:val="22"/>
          <w:szCs w:val="22"/>
        </w:rPr>
        <w:t xml:space="preserve">    The regulation needs to be customized for different regions and focus on STR hotspots which  experience housing market pressures.</w:t>
      </w:r>
    </w:p>
    <w:p w14:paraId="5361DB88" w14:textId="33FCCE18" w:rsidR="0027127F" w:rsidRPr="0027127F" w:rsidRDefault="0027127F" w:rsidP="0027127F">
      <w:pPr>
        <w:rPr>
          <w:rFonts w:ascii="Arial" w:hAnsi="Arial" w:cs="Arial"/>
          <w:sz w:val="22"/>
          <w:szCs w:val="22"/>
        </w:rPr>
      </w:pPr>
      <w:r w:rsidRPr="0027127F">
        <w:rPr>
          <w:rFonts w:ascii="Arial" w:hAnsi="Arial" w:cs="Arial"/>
          <w:sz w:val="22"/>
          <w:szCs w:val="22"/>
        </w:rPr>
        <w:t xml:space="preserve">    Monitoring “emerging” markets can prevent future affordability issues.</w:t>
      </w:r>
    </w:p>
    <w:p w14:paraId="0054C5BA" w14:textId="1559E041" w:rsidR="0027127F" w:rsidRPr="0027127F" w:rsidRDefault="0027127F" w:rsidP="0027127F">
      <w:pPr>
        <w:rPr>
          <w:rFonts w:ascii="Arial" w:hAnsi="Arial" w:cs="Arial"/>
          <w:sz w:val="22"/>
          <w:szCs w:val="22"/>
        </w:rPr>
      </w:pPr>
      <w:r w:rsidRPr="0027127F">
        <w:rPr>
          <w:rFonts w:ascii="Arial" w:hAnsi="Arial" w:cs="Arial"/>
          <w:sz w:val="22"/>
          <w:szCs w:val="22"/>
        </w:rPr>
        <w:t xml:space="preserve">    Policies must balance tourism’s economic value with local housing needs.</w:t>
      </w:r>
    </w:p>
    <w:p w14:paraId="515E74E1" w14:textId="6B82D608" w:rsidR="0027127F" w:rsidRPr="0027127F" w:rsidRDefault="0027127F" w:rsidP="0027127F">
      <w:pPr>
        <w:rPr>
          <w:rFonts w:ascii="Arial" w:hAnsi="Arial" w:cs="Arial"/>
          <w:sz w:val="22"/>
          <w:szCs w:val="22"/>
        </w:rPr>
      </w:pPr>
      <w:r w:rsidRPr="0027127F">
        <w:rPr>
          <w:rFonts w:ascii="Arial" w:hAnsi="Arial" w:cs="Arial"/>
          <w:sz w:val="22"/>
          <w:szCs w:val="22"/>
        </w:rPr>
        <w:t>Limitations:</w:t>
      </w:r>
    </w:p>
    <w:p w14:paraId="0DCE528C" w14:textId="1BF0C3FA" w:rsidR="0027127F" w:rsidRPr="0027127F" w:rsidRDefault="0027127F" w:rsidP="0027127F">
      <w:pPr>
        <w:rPr>
          <w:rFonts w:ascii="Arial" w:hAnsi="Arial" w:cs="Arial"/>
          <w:sz w:val="22"/>
          <w:szCs w:val="22"/>
        </w:rPr>
      </w:pPr>
      <w:r w:rsidRPr="0027127F">
        <w:rPr>
          <w:rFonts w:ascii="Arial" w:hAnsi="Arial" w:cs="Arial"/>
          <w:sz w:val="22"/>
          <w:szCs w:val="22"/>
        </w:rPr>
        <w:lastRenderedPageBreak/>
        <w:t xml:space="preserve">    The dataset is  non-longitudinal; it does not evaluate time-based causal relationships or trend analysis.</w:t>
      </w:r>
    </w:p>
    <w:p w14:paraId="4DDA8B1A" w14:textId="7E9B21E3" w:rsidR="0027127F" w:rsidRPr="0027127F" w:rsidRDefault="0027127F" w:rsidP="0027127F">
      <w:pPr>
        <w:rPr>
          <w:rFonts w:ascii="Arial" w:hAnsi="Arial" w:cs="Arial"/>
          <w:sz w:val="22"/>
          <w:szCs w:val="22"/>
        </w:rPr>
      </w:pPr>
      <w:r w:rsidRPr="0027127F">
        <w:rPr>
          <w:rFonts w:ascii="Arial" w:hAnsi="Arial" w:cs="Arial"/>
          <w:sz w:val="22"/>
          <w:szCs w:val="22"/>
        </w:rPr>
        <w:t xml:space="preserve">    The real estate market  listings data does not include all types of properties such as off-market or subsidized housing.</w:t>
      </w:r>
    </w:p>
    <w:p w14:paraId="2F36AC51" w14:textId="541750DE" w:rsidR="0027127F" w:rsidRPr="0027127F" w:rsidRDefault="0027127F" w:rsidP="0027127F">
      <w:pPr>
        <w:rPr>
          <w:rFonts w:ascii="Arial" w:hAnsi="Arial" w:cs="Arial"/>
          <w:sz w:val="22"/>
          <w:szCs w:val="22"/>
        </w:rPr>
      </w:pPr>
      <w:r w:rsidRPr="0027127F">
        <w:rPr>
          <w:rFonts w:ascii="Arial" w:hAnsi="Arial" w:cs="Arial"/>
          <w:sz w:val="22"/>
          <w:szCs w:val="22"/>
        </w:rPr>
        <w:t xml:space="preserve">    The analysis at the  municipal level fails to detect the specific effects which operate at the neighborhood level.</w:t>
      </w:r>
    </w:p>
    <w:p w14:paraId="1FF306F6" w14:textId="4A925990" w:rsidR="0027127F" w:rsidRPr="0027127F" w:rsidRDefault="0027127F" w:rsidP="0027127F">
      <w:pPr>
        <w:rPr>
          <w:rFonts w:ascii="Arial" w:hAnsi="Arial" w:cs="Arial"/>
          <w:sz w:val="22"/>
          <w:szCs w:val="22"/>
        </w:rPr>
      </w:pPr>
      <w:r w:rsidRPr="0027127F">
        <w:rPr>
          <w:rFonts w:ascii="Arial" w:hAnsi="Arial" w:cs="Arial"/>
          <w:sz w:val="22"/>
          <w:szCs w:val="22"/>
        </w:rPr>
        <w:t xml:space="preserve">Conclusion: The STR market has a heterogeneous impact across Portugal. Policies must be spatially and contextually adapted – a “one-size-fits-all” approach is not viable. </w:t>
      </w:r>
    </w:p>
    <w:p w14:paraId="495ED0E7" w14:textId="77777777" w:rsidR="0027127F" w:rsidRPr="0027127F" w:rsidRDefault="0027127F" w:rsidP="0027127F">
      <w:pPr>
        <w:rPr>
          <w:rFonts w:ascii="Arial" w:hAnsi="Arial" w:cs="Arial"/>
          <w:sz w:val="22"/>
          <w:szCs w:val="22"/>
        </w:rPr>
      </w:pPr>
      <w:r w:rsidRPr="0027127F">
        <w:rPr>
          <w:rFonts w:ascii="Arial" w:hAnsi="Arial" w:cs="Arial"/>
          <w:sz w:val="22"/>
          <w:szCs w:val="22"/>
        </w:rPr>
        <w:t>Conclusion: The STR market affects Portugal through diverse regional outcomes. Policies should be customized for specific regions because a universal strategy proves ineffective.</w:t>
      </w:r>
    </w:p>
    <w:p w14:paraId="3EBDEE13" w14:textId="77777777" w:rsidR="0027127F" w:rsidRPr="0027127F" w:rsidRDefault="0027127F" w:rsidP="0027127F">
      <w:pPr>
        <w:rPr>
          <w:rFonts w:ascii="Arial" w:hAnsi="Arial" w:cs="Arial"/>
          <w:sz w:val="22"/>
          <w:szCs w:val="22"/>
        </w:rPr>
      </w:pPr>
    </w:p>
    <w:sectPr w:rsidR="0027127F" w:rsidRPr="00271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7F"/>
    <w:rsid w:val="0027127F"/>
    <w:rsid w:val="004143FE"/>
    <w:rsid w:val="0090632E"/>
    <w:rsid w:val="00A7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F6D9"/>
  <w15:chartTrackingRefBased/>
  <w15:docId w15:val="{642DCE76-23F4-4A3E-98DC-7F98D810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27F"/>
    <w:rPr>
      <w:rFonts w:eastAsiaTheme="majorEastAsia" w:cstheme="majorBidi"/>
      <w:color w:val="272727" w:themeColor="text1" w:themeTint="D8"/>
    </w:rPr>
  </w:style>
  <w:style w:type="paragraph" w:styleId="Title">
    <w:name w:val="Title"/>
    <w:basedOn w:val="Normal"/>
    <w:next w:val="Normal"/>
    <w:link w:val="TitleChar"/>
    <w:uiPriority w:val="10"/>
    <w:qFormat/>
    <w:rsid w:val="0027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27F"/>
    <w:pPr>
      <w:spacing w:before="160"/>
      <w:jc w:val="center"/>
    </w:pPr>
    <w:rPr>
      <w:i/>
      <w:iCs/>
      <w:color w:val="404040" w:themeColor="text1" w:themeTint="BF"/>
    </w:rPr>
  </w:style>
  <w:style w:type="character" w:customStyle="1" w:styleId="QuoteChar">
    <w:name w:val="Quote Char"/>
    <w:basedOn w:val="DefaultParagraphFont"/>
    <w:link w:val="Quote"/>
    <w:uiPriority w:val="29"/>
    <w:rsid w:val="0027127F"/>
    <w:rPr>
      <w:i/>
      <w:iCs/>
      <w:color w:val="404040" w:themeColor="text1" w:themeTint="BF"/>
    </w:rPr>
  </w:style>
  <w:style w:type="paragraph" w:styleId="ListParagraph">
    <w:name w:val="List Paragraph"/>
    <w:basedOn w:val="Normal"/>
    <w:uiPriority w:val="34"/>
    <w:qFormat/>
    <w:rsid w:val="0027127F"/>
    <w:pPr>
      <w:ind w:left="720"/>
      <w:contextualSpacing/>
    </w:pPr>
  </w:style>
  <w:style w:type="character" w:styleId="IntenseEmphasis">
    <w:name w:val="Intense Emphasis"/>
    <w:basedOn w:val="DefaultParagraphFont"/>
    <w:uiPriority w:val="21"/>
    <w:qFormat/>
    <w:rsid w:val="0027127F"/>
    <w:rPr>
      <w:i/>
      <w:iCs/>
      <w:color w:val="0F4761" w:themeColor="accent1" w:themeShade="BF"/>
    </w:rPr>
  </w:style>
  <w:style w:type="paragraph" w:styleId="IntenseQuote">
    <w:name w:val="Intense Quote"/>
    <w:basedOn w:val="Normal"/>
    <w:next w:val="Normal"/>
    <w:link w:val="IntenseQuoteChar"/>
    <w:uiPriority w:val="30"/>
    <w:qFormat/>
    <w:rsid w:val="00271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27F"/>
    <w:rPr>
      <w:i/>
      <w:iCs/>
      <w:color w:val="0F4761" w:themeColor="accent1" w:themeShade="BF"/>
    </w:rPr>
  </w:style>
  <w:style w:type="character" w:styleId="IntenseReference">
    <w:name w:val="Intense Reference"/>
    <w:basedOn w:val="DefaultParagraphFont"/>
    <w:uiPriority w:val="32"/>
    <w:qFormat/>
    <w:rsid w:val="00271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142140">
      <w:bodyDiv w:val="1"/>
      <w:marLeft w:val="0"/>
      <w:marRight w:val="0"/>
      <w:marTop w:val="0"/>
      <w:marBottom w:val="0"/>
      <w:divBdr>
        <w:top w:val="none" w:sz="0" w:space="0" w:color="auto"/>
        <w:left w:val="none" w:sz="0" w:space="0" w:color="auto"/>
        <w:bottom w:val="none" w:sz="0" w:space="0" w:color="auto"/>
        <w:right w:val="none" w:sz="0" w:space="0" w:color="auto"/>
      </w:divBdr>
      <w:divsChild>
        <w:div w:id="1966541185">
          <w:marLeft w:val="0"/>
          <w:marRight w:val="0"/>
          <w:marTop w:val="0"/>
          <w:marBottom w:val="0"/>
          <w:divBdr>
            <w:top w:val="none" w:sz="0" w:space="0" w:color="auto"/>
            <w:left w:val="none" w:sz="0" w:space="0" w:color="auto"/>
            <w:bottom w:val="none" w:sz="0" w:space="0" w:color="auto"/>
            <w:right w:val="none" w:sz="0" w:space="0" w:color="auto"/>
          </w:divBdr>
        </w:div>
        <w:div w:id="816452732">
          <w:marLeft w:val="0"/>
          <w:marRight w:val="0"/>
          <w:marTop w:val="0"/>
          <w:marBottom w:val="0"/>
          <w:divBdr>
            <w:top w:val="none" w:sz="0" w:space="0" w:color="auto"/>
            <w:left w:val="none" w:sz="0" w:space="0" w:color="auto"/>
            <w:bottom w:val="none" w:sz="0" w:space="0" w:color="auto"/>
            <w:right w:val="none" w:sz="0" w:space="0" w:color="auto"/>
          </w:divBdr>
        </w:div>
      </w:divsChild>
    </w:div>
    <w:div w:id="1816333925">
      <w:bodyDiv w:val="1"/>
      <w:marLeft w:val="0"/>
      <w:marRight w:val="0"/>
      <w:marTop w:val="0"/>
      <w:marBottom w:val="0"/>
      <w:divBdr>
        <w:top w:val="none" w:sz="0" w:space="0" w:color="auto"/>
        <w:left w:val="none" w:sz="0" w:space="0" w:color="auto"/>
        <w:bottom w:val="none" w:sz="0" w:space="0" w:color="auto"/>
        <w:right w:val="none" w:sz="0" w:space="0" w:color="auto"/>
      </w:divBdr>
      <w:divsChild>
        <w:div w:id="1246496955">
          <w:marLeft w:val="0"/>
          <w:marRight w:val="0"/>
          <w:marTop w:val="0"/>
          <w:marBottom w:val="0"/>
          <w:divBdr>
            <w:top w:val="none" w:sz="0" w:space="0" w:color="auto"/>
            <w:left w:val="none" w:sz="0" w:space="0" w:color="auto"/>
            <w:bottom w:val="none" w:sz="0" w:space="0" w:color="auto"/>
            <w:right w:val="none" w:sz="0" w:space="0" w:color="auto"/>
          </w:divBdr>
        </w:div>
        <w:div w:id="2025784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Oliveira</dc:creator>
  <cp:keywords/>
  <dc:description/>
  <cp:lastModifiedBy>João Oliveira</cp:lastModifiedBy>
  <cp:revision>2</cp:revision>
  <dcterms:created xsi:type="dcterms:W3CDTF">2025-05-25T22:53:00Z</dcterms:created>
  <dcterms:modified xsi:type="dcterms:W3CDTF">2025-05-25T22:53:00Z</dcterms:modified>
</cp:coreProperties>
</file>