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b/>
          <w:bCs/>
          <w:sz w:val="32"/>
          <w:szCs w:val="32"/>
        </w:rPr>
        <w:t xml:space="preserve">Realizability-Gated Selection of the Saccadic Version Command</w:t>
      </w:r>
    </w:p>
    <w:p>
      <w:pPr>
        <w:spacing w:after="240"/>
        <w:jc w:val="center"/>
      </w:pPr>
      <w:r>
        <w:rPr>
          <w:i/>
          <w:iCs/>
          <w:sz w:val="22"/>
          <w:szCs w:val="22"/>
        </w:rPr>
        <w:t xml:space="preserve">A working manuscript on binocular saccade target selection</w:t>
      </w:r>
    </w:p>
    <w:p>
      <w:pPr>
        <w:pStyle w:val="Heading2"/>
        <w:spacing w:after="120" w:before="240"/>
      </w:pPr>
      <w:r>
        <w:t xml:space="preserve">Abstract</w:t>
      </w:r>
    </w:p>
    <w:p>
      <w:pPr>
        <w:spacing w:after="120" w:line="320"/>
        <w:jc w:val="both"/>
      </w:pPr>
      <w:r>
        <w:t xml:space="preserve">Hering's law asserts that conjugate and vergence commands sum to produce binocular eye movements, but it is silent on a logically prior question: given the retinal image in each eye, how does the saccadic system decide </w:t>
      </w:r>
      <w:r>
        <w:rPr>
          <w:i/>
          <w:iCs/>
        </w:rPr>
        <w:t xml:space="preserve">which</w:t>
      </w:r>
      <w:r>
        <w:t xml:space="preserve"> conjugate command to issue? When the two monocular images are consistent with a single 3D source, the cyclopean (mean-of-monocular-targets) command is appropriate; when they are not, the system must select one eye's target and accept persistent diplopia. We propose that this decision is gated by a single geometric criterion — whether the joint binocular retinal input is realizable as the projection of a single rigid 3D point — and that the version command is selected by a competition among at least three motor policies (left-eye-foveation, right-eye-foveation, and cyclopean fusion) whose costs are learned from experience. The framework recovers the classical results of Findlay and Harris (1993), naturally accommodates the empirical phenomenology of intermittent strabismus and eye-of-fixation choice in chronic strabismus, and connects oculomotor target selection to the broader literature on effort-based action selection. We derive the realizability metric explicitly from binocular projection geometry, characterize the regimes in which it reduces to a one-line check on vertical retinal velocity disparity, and outline empirical predictions. Whether the same gate that selects the version command also gates disparity input to the vergence integrator is a separable question we treat as an open issue.</w:t>
      </w:r>
    </w:p>
    <w:p>
      <w:pPr>
        <w:pStyle w:val="Heading1"/>
        <w:spacing w:after="180" w:before="360"/>
      </w:pPr>
      <w:r>
        <w:t xml:space="preserve">1. Introduction</w:t>
      </w:r>
    </w:p>
    <w:p>
      <w:pPr>
        <w:spacing w:after="120" w:line="320"/>
        <w:jc w:val="both"/>
      </w:pPr>
      <w:r>
        <w:t xml:space="preserve">Hering's law of equal innervation, in its modern form, decomposes the binocular motor command into a conjugate (version) component and a disjunctive (vergence) component, with the two summing at the final common pathway (Mays and Gamlin, 1995; Zee et al., 1992). For a binocularly fused target, the version command is straightforwardly given by the cyclopean direction and the vergence command by the disparity. For a target presented dichoptically — that is, with two monocular images that need not arise from a single physical source — the version command is no longer determined by the retinal input alone. The system must commit to a target before it can compute a command.</w:t>
      </w:r>
    </w:p>
    <w:p>
      <w:pPr>
        <w:spacing w:after="120" w:line="320"/>
        <w:jc w:val="both"/>
      </w:pPr>
      <w:r>
        <w:t xml:space="preserve">This problem is not pathological. Even in normal binocular viewing, dichoptic conditions arise whenever the two eyes' images are not in correspondence: when one eye is briefly occluded, when an object enters Panum's range from outside it, or in any experimental display that decouples the two eyes' inputs. Findlay and Harris (1993) addressed the question directly using horizontal saccades to dichoptic targets and found a regime-dependent answer: when the two monocular targets fell in the same head-referenced hemifield, saccades showed roughly 50% averaging in conjugate position (the global effect, operating across eyes); when they fell in opposite head-referenced hemifields, saccades selected one target with little influence from the other. The cleanness of this dichotomy invites a mechanistic explanation. We propose one here.</w:t>
      </w:r>
    </w:p>
    <w:p>
      <w:pPr>
        <w:spacing w:after="120" w:line="320"/>
        <w:jc w:val="both"/>
      </w:pPr>
      <w:r>
        <w:t xml:space="preserve">Our central claim is that the version command is the output of a selection mechanism gated by a geometric </w:t>
      </w:r>
      <w:r>
        <w:rPr>
          <w:i/>
          <w:iCs/>
        </w:rPr>
        <w:t xml:space="preserve">realizability</w:t>
      </w:r>
      <w:r>
        <w:t xml:space="preserve"> criterion: whether the joint binocular retinal input is consistent with the projection of a single rigid 3D point given the current eye configuration. When the realizability test is passed, the cyclopean command is appropriate and is issued. When it fails — most cleanly, when the two monocular images would require a target behind the observer or geometrically forbidden 3D motion — the system instead selects one eye's monocular target via a competition among learned motor policies. Strabismus is a chronic state in which this selection mechanism operates as the default mode of binocular saccadic targeting, with consequences that the framework predicts directly.</w:t>
      </w:r>
    </w:p>
    <w:p>
      <w:pPr>
        <w:spacing w:after="120" w:line="320"/>
        <w:jc w:val="both"/>
      </w:pPr>
      <w:r>
        <w:t xml:space="preserve">We first review the relevant empirical landscape (Section 2) and then formalize the realizability gate using binocular projection geometry (Section 3). Section 4 develops the three-policy competition framework and shows how its parameters map onto clinically meaningful categories. Section 5 outlines testable predictions. Section 6 discusses the open question of whether disparity input to the vergence integrator is gated by the same realizability check that gates the version command.</w:t>
      </w:r>
    </w:p>
    <w:p>
      <w:pPr>
        <w:pStyle w:val="Heading1"/>
        <w:spacing w:after="180" w:before="360"/>
      </w:pPr>
      <w:r>
        <w:t xml:space="preserve">2. Empirical landscape</w:t>
      </w:r>
    </w:p>
    <w:p>
      <w:pPr>
        <w:pStyle w:val="Heading2"/>
        <w:spacing w:after="120" w:before="240"/>
      </w:pPr>
      <w:r>
        <w:t xml:space="preserve">2.1 Saccades to dichoptic targets in normal observers</w:t>
      </w:r>
    </w:p>
    <w:p>
      <w:pPr>
        <w:spacing w:after="120" w:line="320"/>
        <w:jc w:val="both"/>
      </w:pPr>
      <w:r>
        <w:t xml:space="preserve">Findlay and Harris (1993) presented horizontal saccadic targets dichoptically using mirrors, varying both the absolute disparity and the head-referenced hemifield arrangement. They distinguished two outcomes. With both monocular targets in the same head-referenced hemifield, the saccade landed near the cyclopean midpoint of the two targets, with a weighting close to 50%. With the two monocular targets in opposite head-referenced hemifields, the saccade was directed to one of the two, with minimal influence from the non-selected target. The first regime is consistent with either (a) cyclopean targeting with disparity-vergence riding on the saccade or (b) cross-eye global-effect averaging in version. The two are kinematically indistinguishable in their conjugate trajectory and require analysis of vergence to dissociate. The second regime is consistent only with single-target selection.</w:t>
      </w:r>
    </w:p>
    <w:p>
      <w:pPr>
        <w:spacing w:after="120" w:line="320"/>
        <w:jc w:val="both"/>
      </w:pPr>
      <w:r>
        <w:t xml:space="preserve">The geometric distinction between same-hemifield and opposite-hemifield, in head/cyclopean coordinates, maps onto the realizability question. Same-hemifield disparities are typically convergent (they imply a target at some finite depth in front of the observer), while opposite-hemifield disparities are divergent past parallel — they require lines of sight that do not intersect anywhere in front of the head. Findlay and Harris's finding can therefore be summarized as: </w:t>
      </w:r>
      <w:r>
        <w:rPr>
          <w:i/>
          <w:iCs/>
        </w:rPr>
        <w:t xml:space="preserve">the cyclopean command is issued when the implied target is geometrically realizable; selection is invoked when it is not</w:t>
      </w:r>
      <w:r>
        <w:t xml:space="preserve">. This summary is not how the original authors framed it, but the geometry is implicit in their stimulus design.</w:t>
      </w:r>
    </w:p>
    <w:p>
      <w:pPr>
        <w:pStyle w:val="Heading2"/>
        <w:spacing w:after="120" w:before="240"/>
      </w:pPr>
      <w:r>
        <w:t xml:space="preserve">2.2 Saccade-vergence interactions</w:t>
      </w:r>
    </w:p>
    <w:p>
      <w:pPr>
        <w:spacing w:after="120" w:line="320"/>
        <w:jc w:val="both"/>
      </w:pPr>
      <w:r>
        <w:t xml:space="preserve">When a single 3D target is presented at a different direction and depth from the current fixation, normal observers produce a combined saccade-vergence movement with intra-saccadic vergence facilitated to several times its baseline velocity (Enright, 1984, 1986; Erkelens et al., 1989; Maxwell and King, 1992). The neural mechanism involves saccade-vergence burst neurons that are released from omnipause inhibition during the saccade (Mays and Gamlin, 1995; Zhou and King, 1998; Van Horn and Cullen, 2008). Several models have proposed alternative implementations (Zee et al., 1992; Busettini and Mays, 2005; Kumar et al., 2006), but all share the property that disparity drives vergence </w:t>
      </w:r>
      <w:r>
        <w:rPr>
          <w:i/>
          <w:iCs/>
        </w:rPr>
        <w:t xml:space="preserve">during</w:t>
      </w:r>
      <w:r>
        <w:t xml:space="preserve"> the saccade, not as a separate post-saccadic correction. This is the regime in which the cyclopean / realizable rule applies cleanly: the conjugate command goes to the cyclopean target direction and the disparity-vergence command rides on it.</w:t>
      </w:r>
    </w:p>
    <w:p>
      <w:pPr>
        <w:pStyle w:val="Heading2"/>
        <w:spacing w:after="120" w:before="240"/>
      </w:pPr>
      <w:r>
        <w:t xml:space="preserve">2.3 Strabismus</w:t>
      </w:r>
    </w:p>
    <w:p>
      <w:pPr>
        <w:spacing w:after="120" w:line="320"/>
        <w:jc w:val="both"/>
      </w:pPr>
      <w:r>
        <w:t xml:space="preserve">In subjects with infantile-onset strabismus, saccades are chronically disconjugate even though they are accurate in goal-direction (Walton et al., 2017; Fleuriet et al., 2025). The chronic inability to align both eyes on a single target forces the brain to decide which eye to bring to any given object of interest. Recent single-unit recordings in superior colliculus of strabismic monkeys show saccade-related activity that predicts which eye is chosen for fixation on a trial-by-trial basis (Fleuriet, Belloir, and Walton, 2025), and microstimulation of SC in strabismic monkeys produces disconjugate saccades (Fleuriet et al., 2016; Upadhyaya et al., 2017). Joshi and colleagues have developed a competition framework for fixation preference in strabismus in which the deviated eye's target is suppressed and the fixating eye's target wins selection (Pallus et al., 2023). These observations are naturally accommodated by a model in which the version command is the output of an inter-eye selection process whose default in strabismus is dominant-eye targeting.</w:t>
      </w:r>
    </w:p>
    <w:p>
      <w:pPr>
        <w:pStyle w:val="Heading2"/>
        <w:spacing w:after="120" w:before="240"/>
      </w:pPr>
      <w:r>
        <w:t xml:space="preserve">2.4 Effort-based selection in normal saccades</w:t>
      </w:r>
    </w:p>
    <w:p>
      <w:pPr>
        <w:spacing w:after="120" w:line="320"/>
        <w:jc w:val="both"/>
      </w:pPr>
      <w:r>
        <w:t xml:space="preserve">Independent of binocular considerations, recent work has established that saccade target selection in normal observers is influenced by intrinsic motor cost. Koevoet et al. (2025) showed that, when given choices between equally informative targets, observers consistently prefer the cheaper saccade, with the bias amplified under cognitive load. The relevant cost combines mechanical effort, motor programming complexity, and time (Shadmehr et al., 2010; Shadmehr and Ahmed, 2020). This places oculomotor target selection within the broader optimal-control framework of motor decision making (Todorov and Jordan, 2002; Rigoux and Guigon, 2012; Berret and Jean, 2016) and provides a natural substrate for the cost-based competition we develop below.</w:t>
      </w:r>
    </w:p>
    <w:p>
      <w:pPr>
        <w:pStyle w:val="Heading1"/>
        <w:spacing w:after="180" w:before="360"/>
      </w:pPr>
      <w:r>
        <w:t xml:space="preserve">3. Realizability of binocular retinal input</w:t>
      </w:r>
    </w:p>
    <w:p>
      <w:pPr>
        <w:pStyle w:val="Heading2"/>
        <w:spacing w:after="120" w:before="240"/>
      </w:pPr>
      <w:r>
        <w:t xml:space="preserve">3.1 Definition</w:t>
      </w:r>
    </w:p>
    <w:p>
      <w:pPr>
        <w:spacing w:after="120" w:line="320"/>
        <w:jc w:val="both"/>
      </w:pPr>
      <w:r>
        <w:t xml:space="preserve">Let the two eyes be at head-fixed positions </w:t>
      </w:r>
      <w:r>
        <w:rPr>
          <w:b/>
          <w:bCs/>
        </w:rPr>
        <w:t xml:space="preserve">c</w:t>
      </w:r>
      <w:r>
        <w:rPr>
          <w:vertAlign w:val="subscript"/>
        </w:rPr>
        <w:t xml:space="preserve">L</w:t>
      </w:r>
      <w:r>
        <w:t xml:space="preserve"> and </w:t>
      </w:r>
      <w:r>
        <w:rPr>
          <w:b/>
          <w:bCs/>
        </w:rPr>
        <w:t xml:space="preserve">c</w:t>
      </w:r>
      <w:r>
        <w:rPr>
          <w:vertAlign w:val="subscript"/>
        </w:rPr>
        <w:t xml:space="preserve">R</w:t>
      </w:r>
      <w:r>
        <w:t xml:space="preserve">, with current orientations producing gaze directions ĝ</w:t>
      </w:r>
      <w:r>
        <w:rPr>
          <w:vertAlign w:val="subscript"/>
        </w:rPr>
        <w:t xml:space="preserve">L</w:t>
      </w:r>
      <w:r>
        <w:t xml:space="preserve">, ĝ</w:t>
      </w:r>
      <w:r>
        <w:rPr>
          <w:vertAlign w:val="subscript"/>
        </w:rPr>
        <w:t xml:space="preserve">R</w:t>
      </w:r>
      <w:r>
        <w:t xml:space="preserve">. Let </w:t>
      </w:r>
      <w:r>
        <w:rPr>
          <w:b/>
          <w:bCs/>
        </w:rPr>
        <w:t xml:space="preserve">p</w:t>
      </w:r>
      <w:r>
        <w:rPr>
          <w:vertAlign w:val="subscript"/>
        </w:rPr>
        <w:t xml:space="preserve">L</w:t>
      </w:r>
      <w:r>
        <w:t xml:space="preserve"> and </w:t>
      </w:r>
      <w:r>
        <w:rPr>
          <w:b/>
          <w:bCs/>
        </w:rPr>
        <w:t xml:space="preserve">p</w:t>
      </w:r>
      <w:r>
        <w:rPr>
          <w:vertAlign w:val="subscript"/>
        </w:rPr>
        <w:t xml:space="preserve">R</w:t>
      </w:r>
      <w:r>
        <w:t xml:space="preserve"> be the retinal positions of the two monocular targets, expressed as 2D angular offsets from each eye's fovea. The pair (</w:t>
      </w:r>
      <w:r>
        <w:rPr>
          <w:b/>
          <w:bCs/>
        </w:rPr>
        <w:t xml:space="preserve">p</w:t>
      </w:r>
      <w:r>
        <w:rPr>
          <w:vertAlign w:val="subscript"/>
        </w:rPr>
        <w:t xml:space="preserve">L</w:t>
      </w:r>
      <w:r>
        <w:t xml:space="preserve">, </w:t>
      </w:r>
      <w:r>
        <w:rPr>
          <w:b/>
          <w:bCs/>
        </w:rPr>
        <w:t xml:space="preserve">p</w:t>
      </w:r>
      <w:r>
        <w:rPr>
          <w:vertAlign w:val="subscript"/>
        </w:rPr>
        <w:t xml:space="preserve">R</w:t>
      </w:r>
      <w:r>
        <w:t xml:space="preserve">) is </w:t>
      </w:r>
      <w:r>
        <w:rPr>
          <w:i/>
          <w:iCs/>
        </w:rPr>
        <w:t xml:space="preserve">realizable</w:t>
      </w:r>
      <w:r>
        <w:t xml:space="preserve"> if and only if there exists a 3D point </w:t>
      </w:r>
      <w:r>
        <w:rPr>
          <w:b/>
          <w:bCs/>
        </w:rPr>
        <w:t xml:space="preserve">P</w:t>
      </w:r>
      <w:r>
        <w:t xml:space="preserve"> whose projections to the two eyes match the observed retinal positions.</w:t>
      </w:r>
    </w:p>
    <w:p>
      <w:pPr>
        <w:spacing w:after="120" w:line="320"/>
        <w:jc w:val="both"/>
      </w:pPr>
      <w:r>
        <w:t xml:space="preserve">For static targets, realizability reduces to a sign check on horizontal disparity. The lines of sight from the two eyes through the implied retinal directions either intersect at a point in front of the observer (realizable) or do not (non-realizable, divergent past parallel). Vertical disparities and torsional considerations introduce small deviations but do not change the basic structure: realizability is a binary geometric property of the input given the eye configuration.</w:t>
      </w:r>
    </w:p>
    <w:p>
      <w:pPr>
        <w:spacing w:after="120" w:line="320"/>
        <w:jc w:val="both"/>
      </w:pPr>
      <w:r>
        <w:t xml:space="preserve">For moving targets, the realizability test extends to retinal velocities. Let </w:t>
      </w:r>
      <w:r>
        <w:rPr>
          <w:b/>
          <w:bCs/>
        </w:rPr>
        <w:t xml:space="preserve">v</w:t>
      </w:r>
      <w:r>
        <w:t xml:space="preserve"> ∈ ℝ⁴ be the joint retinal velocity (horizontal and vertical slip in each eye). The set of velocities arising from rigid 3D translation of a single target lies in the column space of a 4×3 Jacobian </w:t>
      </w:r>
      <w:r>
        <w:rPr>
          <w:b/>
          <w:bCs/>
        </w:rPr>
        <w:t xml:space="preserve">J</w:t>
      </w:r>
      <w:r>
        <w:t xml:space="preserve">(</w:t>
      </w:r>
      <w:r>
        <w:rPr>
          <w:b/>
          <w:bCs/>
        </w:rPr>
        <w:t xml:space="preserve">P</w:t>
      </w:r>
      <w:r>
        <w:t xml:space="preserve">) that maps 3D velocity to joint retinal velocity. The realizability residual is</w:t>
      </w:r>
    </w:p>
    <w:p>
      <w:pPr>
        <w:spacing w:after="120" w:line="320"/>
        <w:jc w:val="left"/>
      </w:pPr>
      <w:r>
        <w:rPr>
          <w:rFonts w:ascii="Cambria Math" w:cs="Cambria Math" w:eastAsia="Cambria Math" w:hAnsi="Cambria Math"/>
          <w:i/>
          <w:iCs/>
        </w:rPr>
        <w:t xml:space="preserve">    ρ = ‖(I − J(J^T J)^(-1) J^T) v‖² = (n^T v)²</w:t>
      </w:r>
    </w:p>
    <w:p>
      <w:pPr>
        <w:spacing w:after="120" w:line="320"/>
        <w:jc w:val="both"/>
      </w:pPr>
      <w:r>
        <w:t xml:space="preserve">where </w:t>
      </w:r>
      <w:r>
        <w:rPr>
          <w:b/>
          <w:bCs/>
        </w:rPr>
        <w:t xml:space="preserve">n</w:t>
      </w:r>
      <w:r>
        <w:t xml:space="preserve"> is the unit vector spanning the 1D null space of </w:t>
      </w:r>
      <w:r>
        <w:rPr>
          <w:b/>
          <w:bCs/>
        </w:rPr>
        <w:t xml:space="preserve">J</w:t>
      </w:r>
      <w:r>
        <w:rPr>
          <w:vertAlign w:val="superscript"/>
        </w:rPr>
        <w:t xml:space="preserve">T</w:t>
      </w:r>
      <w:r>
        <w:t xml:space="preserve">. For foveal fixation in primary gaze with both eyes converged on the target, </w:t>
      </w:r>
      <w:r>
        <w:rPr>
          <w:b/>
          <w:bCs/>
        </w:rPr>
        <w:t xml:space="preserve">n</w:t>
      </w:r>
      <w:r>
        <w:t xml:space="preserve"> ≈ (0, +1, 0, −1)/√2, so the realizability residual reduces to the squared difference of the two eyes' vertical retinal velocities. Horizontal velocity disparities of arbitrary magnitude are realizable (they encode motion in depth); vertical velocity disparities are geometrically forbidden. This simple form depends on a Helmholtz-like coordinate convention in which the two eyes share a horizontal reference axis, and it is approximate for off-axis targets and Listing's-law-respecting eye configurations.</w:t>
      </w:r>
    </w:p>
    <w:p>
      <w:pPr>
        <w:pStyle w:val="Heading2"/>
        <w:spacing w:after="120" w:before="240"/>
      </w:pPr>
      <w:r>
        <w:t xml:space="preserve">3.2 The realizability gate</w:t>
      </w:r>
    </w:p>
    <w:p>
      <w:pPr>
        <w:spacing w:after="120" w:line="320"/>
        <w:jc w:val="both"/>
      </w:pPr>
      <w:r>
        <w:t xml:space="preserve">We propose that the saccadic version command is selected by a gate whose state depends on whether the binocular retinal input is realizable:</w:t>
      </w:r>
    </w:p>
    <w:p>
      <w:pPr>
        <w:spacing w:after="120" w:line="320"/>
        <w:jc w:val="both"/>
      </w:pPr>
      <w:r>
        <w:t xml:space="preserve">  • </w:t>
      </w:r>
      <w:r>
        <w:rPr>
          <w:b/>
          <w:bCs/>
        </w:rPr>
        <w:t xml:space="preserve">Realizable input → cyclopean command</w:t>
      </w:r>
      <w:r>
        <w:t xml:space="preserve">. The version command targets the mean of the two monocular target directions, and disparity drives intra-saccadic vergence via the standard saccade-vergence facilitation pathway.</w:t>
      </w:r>
    </w:p>
    <w:p>
      <w:pPr>
        <w:spacing w:after="120" w:line="320"/>
        <w:jc w:val="both"/>
      </w:pPr>
      <w:r>
        <w:t xml:space="preserve">  • </w:t>
      </w:r>
      <w:r>
        <w:rPr>
          <w:b/>
          <w:bCs/>
        </w:rPr>
        <w:t xml:space="preserve">Non-realizable input → selection of one eye's target</w:t>
      </w:r>
      <w:r>
        <w:t xml:space="preserve">. The version command targets one of the two monocular targets, with the choice determined by a competitive policy described in Section 4. Vergence drive from the saccade-vergence pathway is reduced or absent.</w:t>
      </w:r>
    </w:p>
    <w:p>
      <w:pPr>
        <w:spacing w:after="120" w:line="320"/>
        <w:jc w:val="both"/>
      </w:pPr>
      <w:r>
        <w:t xml:space="preserve">Findlay and Harris (1993) is recovered immediately. In their same-hemifield condition, the disparity is convergent and realizable; the system issues the cyclopean command. In the opposite-hemifield condition, the disparity is divergent past parallel and non-realizable; the system selects one target.</w:t>
      </w:r>
    </w:p>
    <w:p>
      <w:pPr>
        <w:pStyle w:val="Heading1"/>
        <w:spacing w:after="180" w:before="360"/>
      </w:pPr>
      <w:r>
        <w:t xml:space="preserve">4. A three-policy competition for the version command</w:t>
      </w:r>
    </w:p>
    <w:p>
      <w:pPr>
        <w:pStyle w:val="Heading2"/>
        <w:spacing w:after="120" w:before="240"/>
      </w:pPr>
      <w:r>
        <w:t xml:space="preserve">4.1 Structure</w:t>
      </w:r>
    </w:p>
    <w:p>
      <w:pPr>
        <w:spacing w:after="120" w:line="320"/>
        <w:jc w:val="both"/>
      </w:pPr>
      <w:r>
        <w:t xml:space="preserve">When the realizability gate is closed, the system must select among monocular policies. We propose at least three competing policies for any given target presentation:</w:t>
      </w:r>
    </w:p>
    <w:p>
      <w:pPr>
        <w:spacing w:after="120" w:line="320"/>
        <w:jc w:val="both"/>
      </w:pPr>
      <w:r>
        <w:t xml:space="preserve">  • π</w:t>
      </w:r>
      <w:r>
        <w:rPr>
          <w:vertAlign w:val="subscript"/>
        </w:rPr>
        <w:t xml:space="preserve">L</w:t>
      </w:r>
      <w:r>
        <w:t xml:space="preserve">: foveate the left eye's target; the right eye is yoked by Hering's law and ends up wherever conjugate kinematics leaves it (typically not on its monocular target).</w:t>
      </w:r>
    </w:p>
    <w:p>
      <w:pPr>
        <w:spacing w:after="120" w:line="320"/>
        <w:jc w:val="both"/>
      </w:pPr>
      <w:r>
        <w:t xml:space="preserve">  • π</w:t>
      </w:r>
      <w:r>
        <w:rPr>
          <w:vertAlign w:val="subscript"/>
        </w:rPr>
        <w:t xml:space="preserve">R</w:t>
      </w:r>
      <w:r>
        <w:t xml:space="preserve">: foveate the right eye's target.</w:t>
      </w:r>
    </w:p>
    <w:p>
      <w:pPr>
        <w:spacing w:after="120" w:line="320"/>
        <w:jc w:val="both"/>
      </w:pPr>
      <w:r>
        <w:t xml:space="preserve">  • π</w:t>
      </w:r>
      <w:r>
        <w:rPr>
          <w:vertAlign w:val="subscript"/>
        </w:rPr>
        <w:t xml:space="preserve">F</w:t>
      </w:r>
      <w:r>
        <w:t xml:space="preserve">: fuse — issue the cyclopean version command and a disparity-vergence command. Available only when the realizability gate is open.</w:t>
      </w:r>
    </w:p>
    <w:p>
      <w:pPr>
        <w:spacing w:after="120" w:line="320"/>
        <w:jc w:val="both"/>
      </w:pPr>
      <w:r>
        <w:t xml:space="preserve">Each policy has a cost function C</w:t>
      </w:r>
      <w:r>
        <w:rPr>
          <w:vertAlign w:val="subscript"/>
        </w:rPr>
        <w:t xml:space="preserve">i</w:t>
      </w:r>
      <w:r>
        <w:t xml:space="preserve">(</w:t>
      </w:r>
      <w:r>
        <w:rPr>
          <w:b/>
          <w:bCs/>
        </w:rPr>
        <w:t xml:space="preserve">x</w:t>
      </w:r>
      <w:r>
        <w:t xml:space="preserve">, target) that depends on current eye state </w:t>
      </w:r>
      <w:r>
        <w:rPr>
          <w:b/>
          <w:bCs/>
        </w:rPr>
        <w:t xml:space="preserve">x</w:t>
      </w:r>
      <w:r>
        <w:t xml:space="preserve"> and target geometry. The selected policy is</w:t>
      </w:r>
    </w:p>
    <w:p>
      <w:pPr>
        <w:spacing w:after="120" w:line="320"/>
        <w:jc w:val="left"/>
      </w:pPr>
      <w:r>
        <w:rPr>
          <w:i/>
          <w:iCs/>
        </w:rPr>
        <w:t xml:space="preserve">    π* = argmin_i [ C_i(x, target) + ε_i ]</w:t>
      </w:r>
    </w:p>
    <w:p>
      <w:pPr>
        <w:spacing w:after="120" w:line="320"/>
        <w:jc w:val="both"/>
      </w:pPr>
      <w:r>
        <w:t xml:space="preserve">where ε</w:t>
      </w:r>
      <w:r>
        <w:rPr>
          <w:vertAlign w:val="subscript"/>
        </w:rPr>
        <w:t xml:space="preserve">i</w:t>
      </w:r>
      <w:r>
        <w:t xml:space="preserve"> is a noise term that gives the selection a stochastic character. Equivalently, in soft-max form, P(π = π</w:t>
      </w:r>
      <w:r>
        <w:rPr>
          <w:vertAlign w:val="subscript"/>
        </w:rPr>
        <w:t xml:space="preserve">i</w:t>
      </w:r>
      <w:r>
        <w:t xml:space="preserve">) ∝ exp(−β C</w:t>
      </w:r>
      <w:r>
        <w:rPr>
          <w:vertAlign w:val="subscript"/>
        </w:rPr>
        <w:t xml:space="preserve">i</w:t>
      </w:r>
      <w:r>
        <w:t xml:space="preserve">) with inverse-temperature β controlling decisiveness.</w:t>
      </w:r>
    </w:p>
    <w:p>
      <w:pPr>
        <w:pStyle w:val="Heading2"/>
        <w:spacing w:after="120" w:before="240"/>
      </w:pPr>
      <w:r>
        <w:t xml:space="preserve">4.2 Cost components</w:t>
      </w:r>
    </w:p>
    <w:p>
      <w:pPr>
        <w:spacing w:after="120" w:line="320"/>
        <w:jc w:val="both"/>
      </w:pPr>
      <w:r>
        <w:t xml:space="preserve">Each cost C</w:t>
      </w:r>
      <w:r>
        <w:rPr>
          <w:vertAlign w:val="subscript"/>
        </w:rPr>
        <w:t xml:space="preserve">i</w:t>
      </w:r>
      <w:r>
        <w:t xml:space="preserve"> plausibly aggregates several components:</w:t>
      </w:r>
    </w:p>
    <w:p>
      <w:pPr>
        <w:spacing w:after="120" w:line="320"/>
        <w:jc w:val="both"/>
      </w:pPr>
      <w:r>
        <w:t xml:space="preserve">  • </w:t>
      </w:r>
      <w:r>
        <w:rPr>
          <w:i/>
          <w:iCs/>
        </w:rPr>
        <w:t xml:space="preserve">Mechanical cost</w:t>
      </w:r>
      <w:r>
        <w:t xml:space="preserve">: muscular effort required to reach and hold the target eye configuration. For a given target, this depends on current eye state and on the elasticity and innervation properties of the extraocular muscles. The fusion policy in particular incurs additional cost from sustained vergence demand, which scales with required convergence and is partly offset by accommodative-vergence and proximal-vergence drive (Maddox, 1893; Schor, 1992; Hung and Semmlow, 1980).</w:t>
      </w:r>
    </w:p>
    <w:p>
      <w:pPr>
        <w:spacing w:after="120" w:line="320"/>
        <w:jc w:val="both"/>
      </w:pPr>
      <w:r>
        <w:t xml:space="preserve">  • </w:t>
      </w:r>
      <w:r>
        <w:rPr>
          <w:i/>
          <w:iCs/>
        </w:rPr>
        <w:t xml:space="preserve">Movement cost</w:t>
      </w:r>
      <w:r>
        <w:t xml:space="preserve">: effort and time required for the saccade itself, scaling with amplitude and modulated by signal-dependent noise (Harris and Wolpert, 1998; Shadmehr et al., 2010). Saccade selection in normal observers has been shown to follow this cost (Koevoet et al., 2025).</w:t>
      </w:r>
    </w:p>
    <w:p>
      <w:pPr>
        <w:spacing w:after="120" w:line="320"/>
        <w:jc w:val="both"/>
      </w:pPr>
      <w:r>
        <w:t xml:space="preserve">  • </w:t>
      </w:r>
      <w:r>
        <w:rPr>
          <w:i/>
          <w:iCs/>
        </w:rPr>
        <w:t xml:space="preserve">Sensory cost</w:t>
      </w:r>
      <w:r>
        <w:t xml:space="preserve">: penalty for diplopia, suppression, blur, or loss of stereopsis at the post-saccadic state. The fusion policy incurs zero sensory cost when successful and large cost when fusion fails. The monocular policies incur diplopia cost in proportion to the post-saccadic disparity of the non-foveating eye, modulated by suppression strength.</w:t>
      </w:r>
    </w:p>
    <w:p>
      <w:pPr>
        <w:spacing w:after="120" w:line="320"/>
        <w:jc w:val="both"/>
      </w:pPr>
      <w:r>
        <w:t xml:space="preserve">  • </w:t>
      </w:r>
      <w:r>
        <w:rPr>
          <w:i/>
          <w:iCs/>
        </w:rPr>
        <w:t xml:space="preserve">Prior bias</w:t>
      </w:r>
      <w:r>
        <w:t xml:space="preserve">: a habit-like or attention-driven term that reflects ocular dominance, recent fixation history, and target salience asymmetries. This is the term that produces a default eye-of-fixation in the absence of decisive cost asymmetry from the other components.</w:t>
      </w:r>
    </w:p>
    <w:p>
      <w:pPr>
        <w:pStyle w:val="Heading2"/>
        <w:spacing w:after="120" w:before="240"/>
      </w:pPr>
      <w:r>
        <w:t xml:space="preserve">4.3 Phenomena recovered</w:t>
      </w:r>
    </w:p>
    <w:p>
      <w:pPr>
        <w:spacing w:after="120" w:line="320"/>
        <w:jc w:val="both"/>
      </w:pPr>
      <w:r>
        <w:rPr>
          <w:b/>
          <w:bCs/>
        </w:rPr>
        <w:t xml:space="preserve">Eye dominance</w:t>
      </w:r>
      <w:r>
        <w:t xml:space="preserve">. A baseline asymmetry in prior bias or in mechanical/sensory cost between π</w:t>
      </w:r>
      <w:r>
        <w:rPr>
          <w:vertAlign w:val="subscript"/>
        </w:rPr>
        <w:t xml:space="preserve">L</w:t>
      </w:r>
      <w:r>
        <w:t xml:space="preserve"> and π</w:t>
      </w:r>
      <w:r>
        <w:rPr>
          <w:vertAlign w:val="subscript"/>
        </w:rPr>
        <w:t xml:space="preserve">R</w:t>
      </w:r>
      <w:r>
        <w:t xml:space="preserve"> produces a default fixating eye. When the fusion policy wins (the realizability gate is open and π</w:t>
      </w:r>
      <w:r>
        <w:rPr>
          <w:vertAlign w:val="subscript"/>
        </w:rPr>
        <w:t xml:space="preserve">F</w:t>
      </w:r>
      <w:r>
        <w:t xml:space="preserve"> has lowest total cost), the eye-of-foveation within fusion is itself selected by the same competitive logic.</w:t>
      </w:r>
    </w:p>
    <w:p>
      <w:pPr>
        <w:spacing w:after="120" w:line="320"/>
        <w:jc w:val="both"/>
      </w:pPr>
      <w:r>
        <w:rPr>
          <w:b/>
          <w:bCs/>
        </w:rPr>
        <w:t xml:space="preserve">Intermittent exotropia</w:t>
      </w:r>
      <w:r>
        <w:t xml:space="preserve">. The fusion cost C</w:t>
      </w:r>
      <w:r>
        <w:rPr>
          <w:vertAlign w:val="subscript"/>
        </w:rPr>
        <w:t xml:space="preserve">F</w:t>
      </w:r>
      <w:r>
        <w:t xml:space="preserve"> depends strongly on viewing distance through the vergence-demand component. At distance, convergence demand is low and C</w:t>
      </w:r>
      <w:r>
        <w:rPr>
          <w:vertAlign w:val="subscript"/>
        </w:rPr>
        <w:t xml:space="preserve">F</w:t>
      </w:r>
      <w:r>
        <w:t xml:space="preserve"> is small; at near, demand is high and C</w:t>
      </w:r>
      <w:r>
        <w:rPr>
          <w:vertAlign w:val="subscript"/>
        </w:rPr>
        <w:t xml:space="preserve">F</w:t>
      </w:r>
      <w:r>
        <w:t xml:space="preserve"> grows. Intermittent exotropia occurs when C</w:t>
      </w:r>
      <w:r>
        <w:rPr>
          <w:vertAlign w:val="subscript"/>
        </w:rPr>
        <w:t xml:space="preserve">F</w:t>
      </w:r>
      <w:r>
        <w:t xml:space="preserve"> crosses one of the monocular costs at a particular viewing distance, fatigue level, or attentional state, producing manifest deviation that resolves when conditions return. Hysteresis in the selection (a sticky bias toward the currently active policy) accounts for the latency of switching observed in the cover test.</w:t>
      </w:r>
    </w:p>
    <w:p>
      <w:pPr>
        <w:spacing w:after="120" w:line="320"/>
        <w:jc w:val="both"/>
      </w:pPr>
      <w:r>
        <w:rPr>
          <w:b/>
          <w:bCs/>
        </w:rPr>
        <w:t xml:space="preserve">Chronic strabismus</w:t>
      </w:r>
      <w:r>
        <w:t xml:space="preserve">. Either the fusion policy is structurally unavailable (loss of disparity vergence in early-onset strabismus; Tychsen, 2007), so the realizability gate is permanently closed, or its cost is so high that monocular policies always win. The competition reduces to π</w:t>
      </w:r>
      <w:r>
        <w:rPr>
          <w:vertAlign w:val="subscript"/>
        </w:rPr>
        <w:t xml:space="preserve">L</w:t>
      </w:r>
      <w:r>
        <w:t xml:space="preserve"> vs π</w:t>
      </w:r>
      <w:r>
        <w:rPr>
          <w:vertAlign w:val="subscript"/>
        </w:rPr>
        <w:t xml:space="preserve">R</w:t>
      </w:r>
      <w:r>
        <w:t xml:space="preserve">, consistent with the SC eye-choice signal recently described by Fleuriet, Belloir, and Walton (2025). Suppression eliminates the diplopia component of monocular policy cost, stabilizing the selection in whichever eye fixated during the developmental window.</w:t>
      </w:r>
    </w:p>
    <w:p>
      <w:pPr>
        <w:spacing w:after="120" w:line="320"/>
        <w:jc w:val="both"/>
      </w:pPr>
      <w:r>
        <w:rPr>
          <w:b/>
          <w:bCs/>
        </w:rPr>
        <w:t xml:space="preserve">Findlay-Harris regimes</w:t>
      </w:r>
      <w:r>
        <w:t xml:space="preserve">. Same-hemifield: realizability gate open, π</w:t>
      </w:r>
      <w:r>
        <w:rPr>
          <w:vertAlign w:val="subscript"/>
        </w:rPr>
        <w:t xml:space="preserve">F</w:t>
      </w:r>
      <w:r>
        <w:t xml:space="preserve"> issued, cyclopean command. Opposite-hemifield: gate closed, π</w:t>
      </w:r>
      <w:r>
        <w:rPr>
          <w:vertAlign w:val="subscript"/>
        </w:rPr>
        <w:t xml:space="preserve">L</w:t>
      </w:r>
      <w:r>
        <w:t xml:space="preserve"> or π</w:t>
      </w:r>
      <w:r>
        <w:rPr>
          <w:vertAlign w:val="subscript"/>
        </w:rPr>
        <w:t xml:space="preserve">R</w:t>
      </w:r>
      <w:r>
        <w:t xml:space="preserve"> issued by competitive selection, single-target saccade. The 50% averaging in same-hemifield is the cyclopean midpoint, not version-averaging across eyes.</w:t>
      </w:r>
    </w:p>
    <w:p>
      <w:pPr>
        <w:pStyle w:val="Heading2"/>
        <w:spacing w:after="120" w:before="240"/>
      </w:pPr>
      <w:r>
        <w:t xml:space="preserve">4.4 Learning the cost functions</w:t>
      </w:r>
    </w:p>
    <w:p>
      <w:pPr>
        <w:spacing w:after="120" w:line="320"/>
        <w:jc w:val="both"/>
      </w:pPr>
      <w:r>
        <w:t xml:space="preserve">Cost functions are not given but learned. Plausibly, each policy's cost is updated by reinforcement-like signals from sensory outcomes: successful fusion (single binocular vision) reinforces π</w:t>
      </w:r>
      <w:r>
        <w:rPr>
          <w:vertAlign w:val="subscript"/>
        </w:rPr>
        <w:t xml:space="preserve">F</w:t>
      </w:r>
      <w:r>
        <w:t xml:space="preserve">, failed fusion (diplopia, suppression conflict) penalizes it. This learning rule predicts a developmental trajectory in which early visual experience determines which policies become available and which are pruned. Children who experience consistent diplopia from misalignment will either learn strong suppression (lowering monocular policy cost) or develop ARC (shifting the realizability gate's reference frame); both lock in chronic strabismus. Children with intact early binocular vision develop a low-cost π</w:t>
      </w:r>
      <w:r>
        <w:rPr>
          <w:vertAlign w:val="subscript"/>
        </w:rPr>
        <w:t xml:space="preserve">F</w:t>
      </w:r>
      <w:r>
        <w:t xml:space="preserve"> that is robust to perturbation. Acquired strabismus in adulthood, by contrast, occurs in a system with a well-formed π</w:t>
      </w:r>
      <w:r>
        <w:rPr>
          <w:vertAlign w:val="subscript"/>
        </w:rPr>
        <w:t xml:space="preserve">F</w:t>
      </w:r>
      <w:r>
        <w:t xml:space="preserve"> whose cost has suddenly increased due to extraocular muscle palsy or nerve injury, producing the persistent diplopia that distinguishes adult-onset from infantile strabismus clinically.</w:t>
      </w:r>
    </w:p>
    <w:p>
      <w:pPr>
        <w:pStyle w:val="Heading1"/>
        <w:spacing w:after="180" w:before="360"/>
      </w:pPr>
      <w:r>
        <w:t xml:space="preserve">5. Empirical predictions</w:t>
      </w:r>
    </w:p>
    <w:p>
      <w:pPr>
        <w:spacing w:after="120" w:line="320"/>
        <w:jc w:val="both"/>
      </w:pPr>
      <w:r>
        <w:rPr>
          <w:b/>
          <w:bCs/>
        </w:rPr>
        <w:t xml:space="preserve">P1</w:t>
      </w:r>
      <w:r>
        <w:t xml:space="preserve">. For dichoptic targets at the boundary of geometric realizability — convergent disparities just inside the boundary versus divergent disparities just outside — saccade behavior should transition sharply between cyclopean averaging and single-target selection, with the transition tracking geometric realizability rather than perceptual fusion. This dissociates the realizability gate from Panum's range, since perceptually diplopic but geometrically realizable disparities should still produce cyclopean saccades.</w:t>
      </w:r>
    </w:p>
    <w:p>
      <w:pPr>
        <w:spacing w:after="120" w:line="320"/>
        <w:jc w:val="both"/>
      </w:pPr>
      <w:r>
        <w:rPr>
          <w:b/>
          <w:bCs/>
        </w:rPr>
        <w:t xml:space="preserve">P2</w:t>
      </w:r>
      <w:r>
        <w:t xml:space="preserve">. For dichoptic targets with vertical retinal velocity disparity, smooth pursuit should fail to combine the two eyes' velocity signals into a unified version command and should instead select one eye's stimulus by attention, even when horizontal velocities are matched. The realizability gate for retinal velocity is dominated by vertical disparity in the foveal Helmholtz regime; this provides a quantitative test of the gate.</w:t>
      </w:r>
    </w:p>
    <w:p>
      <w:pPr>
        <w:spacing w:after="120" w:line="320"/>
        <w:jc w:val="both"/>
      </w:pPr>
      <w:r>
        <w:rPr>
          <w:b/>
          <w:bCs/>
        </w:rPr>
        <w:t xml:space="preserve">P3</w:t>
      </w:r>
      <w:r>
        <w:t xml:space="preserve">. In intermittent exotropia patients, the viewing condition at which fusion breaks down should be predictable from individually measured cost components: vergence demand × AC/A ratio, fusional reserves, and attentional state should jointly predict the breakdown threshold. This converts a clinical observation ("fusion breaks at distance") into a quantitative prediction that the model can be fit to.</w:t>
      </w:r>
    </w:p>
    <w:p>
      <w:pPr>
        <w:spacing w:after="120" w:line="320"/>
        <w:jc w:val="both"/>
      </w:pPr>
      <w:r>
        <w:rPr>
          <w:b/>
          <w:bCs/>
        </w:rPr>
        <w:t xml:space="preserve">P4</w:t>
      </w:r>
      <w:r>
        <w:t xml:space="preserve">. Treatments that modify cost components should produce predictable shifts in selection. Prisms shift the geometric demand on π</w:t>
      </w:r>
      <w:r>
        <w:rPr>
          <w:vertAlign w:val="subscript"/>
        </w:rPr>
        <w:t xml:space="preserve">F</w:t>
      </w:r>
      <w:r>
        <w:t xml:space="preserve">, reducing vergence cost; vision therapy reduces motor and programming components of fusion cost through learning; surgery alters mechanical cost by changing rest lengths. Each intervention has a predicted signature in which patients (with which cost-component profiles) will respond.</w:t>
      </w:r>
    </w:p>
    <w:p>
      <w:pPr>
        <w:spacing w:after="120" w:line="320"/>
        <w:jc w:val="both"/>
      </w:pPr>
      <w:r>
        <w:rPr>
          <w:b/>
          <w:bCs/>
        </w:rPr>
        <w:t xml:space="preserve">P5</w:t>
      </w:r>
      <w:r>
        <w:t xml:space="preserve">. Transient experimental disabling of one eye's input (occlusion, dichoptic suppression of the target) should lower the cost of that eye's monocular policy by removing diplopia penalty, biasing selection. The strength of the bias should depend on baseline suppression — patients with strong existing suppression should show smaller experimental shifts because their baseline already discounts diplopia.</w:t>
      </w:r>
    </w:p>
    <w:p>
      <w:pPr>
        <w:pStyle w:val="Heading1"/>
        <w:spacing w:after="180" w:before="360"/>
      </w:pPr>
      <w:r>
        <w:t xml:space="preserve">6. Discussion: does the realizability gate also gate disparity to vergence?</w:t>
      </w:r>
    </w:p>
    <w:p>
      <w:pPr>
        <w:spacing w:after="120" w:line="320"/>
        <w:jc w:val="both"/>
      </w:pPr>
      <w:r>
        <w:t xml:space="preserve">We have framed realizability as a gate on the saccadic version command. A separable question is whether disparity input to the slow vergence integrator (Maddox's disparity component) is gated by the same criterion or operates independently.</w:t>
      </w:r>
    </w:p>
    <w:p>
      <w:pPr>
        <w:spacing w:after="120" w:line="320"/>
        <w:jc w:val="both"/>
      </w:pPr>
      <w:r>
        <w:t xml:space="preserve">Two arguments suggest the gates are at least partially distinct. First, disparity vergence operates over a much wider range than perceptual fusion, responding to disparities of several degrees that are well outside Panum's range (Schor, 1979; Erkelens, 1987). The motor system commits to vergence drive without requiring that the percept be fused. This is consistent with the realizability gate (a geometric criterion, not a perceptual one) but suggests that the vergence integrator's input is filtered by a permissive geometric check rather than a strict same-target match. Second, the slow vergence integrator integrates inputs from accommodation, proximity, and tonic drives in addition to disparity (Maddox decomposition). These non-disparity inputs continue to operate even when the disparity input is non-realizable, producing post-saccadic vergence drift toward the resting state set by these other components. This is exactly the pattern observed in opposite-hemifield Findlay-Harris stimuli (no compelling vergence response) versus past-near-point convergence (saturated convergence drive from accommodation and proximity even when geometric realizability is preserved at the limit).</w:t>
      </w:r>
    </w:p>
    <w:p>
      <w:pPr>
        <w:spacing w:after="120" w:line="320"/>
        <w:jc w:val="both"/>
      </w:pPr>
      <w:r>
        <w:t xml:space="preserve">An alternative possibility is that the vergence integrator receives disparity input regardless of realizability, but the disparity-driven vergence is overridden by saccadic suppression of vergence when the saccadic system has selected a monocular policy. This would produce the same observable behavior (no vergence response to non-realizable saccadic targets) but locate the gate at the saccadic side rather than the vergence side. The two hypotheses make different predictions for vergence dynamics in the absence of saccades — for example, when a non-realizable disparity is presented during steady fixation. To our knowledge, this experiment has not been performed cleanly.</w:t>
      </w:r>
    </w:p>
    <w:p>
      <w:pPr>
        <w:spacing w:after="120" w:line="320"/>
        <w:jc w:val="both"/>
      </w:pPr>
      <w:r>
        <w:t xml:space="preserve">We tentatively favor the hypothesis that the realizability gate operates upstream of both the saccadic version command and the vergence disparity input — that is, that the same geometric check determines whether the disparity signal is treated as a single-target signal or as evidence of two distinct objects, with downstream consequences for both the version command (cyclopean vs selected) and the vergence drive (disparity-engaged vs disparity-quiet). But the question is empirically open and represents a natural extension of the framework.</w:t>
      </w:r>
    </w:p>
    <w:p>
      <w:pPr>
        <w:pStyle w:val="Heading1"/>
        <w:spacing w:after="180" w:before="360"/>
      </w:pPr>
      <w:r>
        <w:t xml:space="preserve">7. Conclusion</w:t>
      </w:r>
    </w:p>
    <w:p>
      <w:pPr>
        <w:spacing w:after="120" w:line="320"/>
        <w:jc w:val="both"/>
      </w:pPr>
      <w:r>
        <w:t xml:space="preserve">The selection of the saccadic version command in dichoptic and binocularly conflicting situations admits a parsimonious description: a geometric realizability gate that determines whether a cyclopean target representation is admissible, combined with a cost-based competition among motor policies when it is not. The framework recovers the Findlay-Harris regimes, accommodates the eye-choice phenomenology of strabismus, and connects oculomotor binocular control to the broader literature on effort-based motor selection. Its key contribution is to identify realizability — not fusion, not Panum's range, not disparity magnitude — as the geometric quantity that the saccadic system uses to decide whether to issue a cyclopean or a selected version command. Whether the same gate operates on disparity input to the vergence system is a separable empirical question with concrete experimental tests.</w:t>
      </w:r>
    </w:p>
    <w:p>
      <w:pPr>
        <w:pStyle w:val="Heading1"/>
        <w:spacing w:after="180" w:before="360"/>
      </w:pPr>
      <w:r>
        <w:t xml:space="preserve">References</w:t>
      </w:r>
    </w:p>
    <w:p>
      <w:pPr>
        <w:spacing w:after="80" w:line="280"/>
        <w:ind w:left="360" w:hanging="360"/>
        <w:jc w:val="left"/>
      </w:pPr>
      <w:r>
        <w:rPr>
          <w:sz w:val="20"/>
          <w:szCs w:val="20"/>
        </w:rPr>
        <w:t xml:space="preserve">Berret B, Jean F (2016). Why don't we move slower? The value of time in the neural control of action. Journal of Neuroscience 36, 1056–1070.</w:t>
      </w:r>
    </w:p>
    <w:p>
      <w:pPr>
        <w:spacing w:after="80" w:line="280"/>
        <w:ind w:left="360" w:hanging="360"/>
        <w:jc w:val="left"/>
      </w:pPr>
      <w:r>
        <w:rPr>
          <w:sz w:val="20"/>
          <w:szCs w:val="20"/>
        </w:rPr>
        <w:t xml:space="preserve">Busettini C, Mays LE (2005). Saccade-vergence interactions in macaques. II. Vergence enhancement as the product of a local feedback vergence motor error and a weighted saccadic burst. Journal of Neurophysiology 94, 2312–2330.</w:t>
      </w:r>
    </w:p>
    <w:p>
      <w:pPr>
        <w:spacing w:after="80" w:line="280"/>
        <w:ind w:left="360" w:hanging="360"/>
        <w:jc w:val="left"/>
      </w:pPr>
      <w:r>
        <w:rPr>
          <w:sz w:val="20"/>
          <w:szCs w:val="20"/>
        </w:rPr>
        <w:t xml:space="preserve">Enright JT (1984). Changes in vergence mediated by saccades. Journal of Physiology 350, 9–31.</w:t>
      </w:r>
    </w:p>
    <w:p>
      <w:pPr>
        <w:spacing w:after="80" w:line="280"/>
        <w:ind w:left="360" w:hanging="360"/>
        <w:jc w:val="left"/>
      </w:pPr>
      <w:r>
        <w:rPr>
          <w:sz w:val="20"/>
          <w:szCs w:val="20"/>
        </w:rPr>
        <w:t xml:space="preserve">Enright JT (1986). Facilitation of vergence changes by saccades: influences of misfocused images and of disparity stimuli in man. Journal of Physiology 371, 69–87.</w:t>
      </w:r>
    </w:p>
    <w:p>
      <w:pPr>
        <w:spacing w:after="80" w:line="280"/>
        <w:ind w:left="360" w:hanging="360"/>
        <w:jc w:val="left"/>
      </w:pPr>
      <w:r>
        <w:rPr>
          <w:sz w:val="20"/>
          <w:szCs w:val="20"/>
        </w:rPr>
        <w:t xml:space="preserve">Erkelens CJ (1987). Adaptation of ocular vergence to stimulation with large disparities. Experimental Brain Research 66, 507–516.</w:t>
      </w:r>
    </w:p>
    <w:p>
      <w:pPr>
        <w:spacing w:after="80" w:line="280"/>
        <w:ind w:left="360" w:hanging="360"/>
        <w:jc w:val="left"/>
      </w:pPr>
      <w:r>
        <w:rPr>
          <w:sz w:val="20"/>
          <w:szCs w:val="20"/>
        </w:rPr>
        <w:t xml:space="preserve">Erkelens CJ, Steinman RM, Collewijn H (1989). Ocular vergence under natural conditions. II. Gaze shifts between real targets differing in distance and direction. Proceedings of the Royal Society B 236, 441–465.</w:t>
      </w:r>
    </w:p>
    <w:p>
      <w:pPr>
        <w:spacing w:after="80" w:line="280"/>
        <w:ind w:left="360" w:hanging="360"/>
        <w:jc w:val="left"/>
      </w:pPr>
      <w:r>
        <w:rPr>
          <w:sz w:val="20"/>
          <w:szCs w:val="20"/>
        </w:rPr>
        <w:t xml:space="preserve">Findlay JM, Harris LR (1993). Horizontal saccades to dichoptically presented targets of differing disparities. Vision Research 33, 1001–1010.</w:t>
      </w:r>
    </w:p>
    <w:p>
      <w:pPr>
        <w:spacing w:after="80" w:line="280"/>
        <w:ind w:left="360" w:hanging="360"/>
        <w:jc w:val="left"/>
      </w:pPr>
      <w:r>
        <w:rPr>
          <w:sz w:val="20"/>
          <w:szCs w:val="20"/>
        </w:rPr>
        <w:t xml:space="preserve">Fleuriet J, Walton MMG, Ono S, Mustari MJ (2016). Electrical microstimulation of the superior colliculus in strabismic monkeys. Investigative Ophthalmology &amp; Visual Science 57, 3168–3180.</w:t>
      </w:r>
    </w:p>
    <w:p>
      <w:pPr>
        <w:spacing w:after="80" w:line="280"/>
        <w:ind w:left="360" w:hanging="360"/>
        <w:jc w:val="left"/>
      </w:pPr>
      <w:r>
        <w:rPr>
          <w:sz w:val="20"/>
          <w:szCs w:val="20"/>
        </w:rPr>
        <w:t xml:space="preserve">Fleuriet J, Belloir T, Walton MMG (2025). Saccade-related activity in superior colliculus predicts eye choice for goal-directed saccades in monkeys with strabismus. Investigative Ophthalmology &amp; Visual Science 66:14:46.</w:t>
      </w:r>
    </w:p>
    <w:p>
      <w:pPr>
        <w:spacing w:after="80" w:line="280"/>
        <w:ind w:left="360" w:hanging="360"/>
        <w:jc w:val="left"/>
      </w:pPr>
      <w:r>
        <w:rPr>
          <w:sz w:val="20"/>
          <w:szCs w:val="20"/>
        </w:rPr>
        <w:t xml:space="preserve">Harris CM, Wolpert DM (1998). Signal-dependent noise determines motor planning. Nature 394, 780–784.</w:t>
      </w:r>
    </w:p>
    <w:p>
      <w:pPr>
        <w:spacing w:after="80" w:line="280"/>
        <w:ind w:left="360" w:hanging="360"/>
        <w:jc w:val="left"/>
      </w:pPr>
      <w:r>
        <w:rPr>
          <w:sz w:val="20"/>
          <w:szCs w:val="20"/>
        </w:rPr>
        <w:t xml:space="preserve">Hung GK, Semmlow JL (1980). Static behavior of accommodation and vergence: computer simulation of an interactive dual-feedback system. IEEE Transactions on Biomedical Engineering 27, 439–447.</w:t>
      </w:r>
    </w:p>
    <w:p>
      <w:pPr>
        <w:spacing w:after="80" w:line="280"/>
        <w:ind w:left="360" w:hanging="360"/>
        <w:jc w:val="left"/>
      </w:pPr>
      <w:r>
        <w:rPr>
          <w:sz w:val="20"/>
          <w:szCs w:val="20"/>
        </w:rPr>
        <w:t xml:space="preserve">Koevoet D, Strauch C, Naber M, Van der Stigchel S (2025). Effort drives saccade selection. eLife 13, RP97760.</w:t>
      </w:r>
    </w:p>
    <w:p>
      <w:pPr>
        <w:spacing w:after="80" w:line="280"/>
        <w:ind w:left="360" w:hanging="360"/>
        <w:jc w:val="left"/>
      </w:pPr>
      <w:r>
        <w:rPr>
          <w:sz w:val="20"/>
          <w:szCs w:val="20"/>
        </w:rPr>
        <w:t xml:space="preserve">Kumar AN, Han Y, Dell'Osso LF, Durand DM, Leigh RJ (2005). Directional asymmetry during combined saccade-vergence movements. Journal of Neurophysiology 93, 2797–2808.</w:t>
      </w:r>
    </w:p>
    <w:p>
      <w:pPr>
        <w:spacing w:after="80" w:line="280"/>
        <w:ind w:left="360" w:hanging="360"/>
        <w:jc w:val="left"/>
      </w:pPr>
      <w:r>
        <w:rPr>
          <w:sz w:val="20"/>
          <w:szCs w:val="20"/>
        </w:rPr>
        <w:t xml:space="preserve">Kumar AN, Han YH, Liao K, Dell'Osso LF, Leigh RJ (2006). Tests of models for saccade-vergence interaction using novel stimuli. Annals of the New York Academy of Sciences 1039, 466–469.</w:t>
      </w:r>
    </w:p>
    <w:p>
      <w:pPr>
        <w:spacing w:after="80" w:line="280"/>
        <w:ind w:left="360" w:hanging="360"/>
        <w:jc w:val="left"/>
      </w:pPr>
      <w:r>
        <w:rPr>
          <w:sz w:val="20"/>
          <w:szCs w:val="20"/>
        </w:rPr>
        <w:t xml:space="preserve">Maddox EE (1893). The Clinical Use of Prisms; and the Decentering of Lenses (2nd ed.). John Wright &amp; Co., Bristol.</w:t>
      </w:r>
    </w:p>
    <w:p>
      <w:pPr>
        <w:spacing w:after="80" w:line="280"/>
        <w:ind w:left="360" w:hanging="360"/>
        <w:jc w:val="left"/>
      </w:pPr>
      <w:r>
        <w:rPr>
          <w:sz w:val="20"/>
          <w:szCs w:val="20"/>
        </w:rPr>
        <w:t xml:space="preserve">Maxwell JS, King WM (1992). Dynamics and efficacy of saccade-facilitated vergence eye movements in monkeys. Journal of Neurophysiology 68, 1248–1260.</w:t>
      </w:r>
    </w:p>
    <w:p>
      <w:pPr>
        <w:spacing w:after="80" w:line="280"/>
        <w:ind w:left="360" w:hanging="360"/>
        <w:jc w:val="left"/>
      </w:pPr>
      <w:r>
        <w:rPr>
          <w:sz w:val="20"/>
          <w:szCs w:val="20"/>
        </w:rPr>
        <w:t xml:space="preserve">Mays LE, Gamlin PDR (1995). A neural mechanism subserving saccade-vergence interactions. In: Eye Movement Research: Mechanisms, Processes and Applications (Findlay JM, Walker R, Kentridge RW, eds), pp 215–223. Elsevier, Amsterdam.</w:t>
      </w:r>
    </w:p>
    <w:p>
      <w:pPr>
        <w:spacing w:after="80" w:line="280"/>
        <w:ind w:left="360" w:hanging="360"/>
        <w:jc w:val="left"/>
      </w:pPr>
      <w:r>
        <w:rPr>
          <w:sz w:val="20"/>
          <w:szCs w:val="20"/>
        </w:rPr>
        <w:t xml:space="preserve">Pallus AC, Walton MMG, Mustari MJ (2023). A competition framework for fixation-preference in strabismus. Vision Research 210, 108269.</w:t>
      </w:r>
    </w:p>
    <w:p>
      <w:pPr>
        <w:spacing w:after="80" w:line="280"/>
        <w:ind w:left="360" w:hanging="360"/>
        <w:jc w:val="left"/>
      </w:pPr>
      <w:r>
        <w:rPr>
          <w:sz w:val="20"/>
          <w:szCs w:val="20"/>
        </w:rPr>
        <w:t xml:space="preserve">Rigoux L, Guigon E (2012). A model of reward- and effort-based optimal decision making and motor control. PLoS Computational Biology 8, e1002716.</w:t>
      </w:r>
    </w:p>
    <w:p>
      <w:pPr>
        <w:spacing w:after="80" w:line="280"/>
        <w:ind w:left="360" w:hanging="360"/>
        <w:jc w:val="left"/>
      </w:pPr>
      <w:r>
        <w:rPr>
          <w:sz w:val="20"/>
          <w:szCs w:val="20"/>
        </w:rPr>
        <w:t xml:space="preserve">Schor CM (1979). The relationship between fusional vergence eye movements and fixation disparity. Vision Research 19, 1359–1367.</w:t>
      </w:r>
    </w:p>
    <w:p>
      <w:pPr>
        <w:spacing w:after="80" w:line="280"/>
        <w:ind w:left="360" w:hanging="360"/>
        <w:jc w:val="left"/>
      </w:pPr>
      <w:r>
        <w:rPr>
          <w:sz w:val="20"/>
          <w:szCs w:val="20"/>
        </w:rPr>
        <w:t xml:space="preserve">Schor CM (1992). A dynamic model of cross-coupling between accommodation and convergence: simulations of step and frequency responses. Optometry and Vision Science 69, 258–269.</w:t>
      </w:r>
    </w:p>
    <w:p>
      <w:pPr>
        <w:spacing w:after="80" w:line="280"/>
        <w:ind w:left="360" w:hanging="360"/>
        <w:jc w:val="left"/>
      </w:pPr>
      <w:r>
        <w:rPr>
          <w:sz w:val="20"/>
          <w:szCs w:val="20"/>
        </w:rPr>
        <w:t xml:space="preserve">Shadmehr R, Orban de Xivry JJ, Xu-Wilson M, Shih TY (2010). Temporal discounting of reward and the cost of time in motor control. Journal of Neuroscience 30, 10507–10516.</w:t>
      </w:r>
    </w:p>
    <w:p>
      <w:pPr>
        <w:spacing w:after="80" w:line="280"/>
        <w:ind w:left="360" w:hanging="360"/>
        <w:jc w:val="left"/>
      </w:pPr>
      <w:r>
        <w:rPr>
          <w:sz w:val="20"/>
          <w:szCs w:val="20"/>
        </w:rPr>
        <w:t xml:space="preserve">Shadmehr R, Ahmed AA (2020). Vigor: Neuroeconomics of Movement Control. MIT Press, Cambridge MA.</w:t>
      </w:r>
    </w:p>
    <w:p>
      <w:pPr>
        <w:spacing w:after="80" w:line="280"/>
        <w:ind w:left="360" w:hanging="360"/>
        <w:jc w:val="left"/>
      </w:pPr>
      <w:r>
        <w:rPr>
          <w:sz w:val="20"/>
          <w:szCs w:val="20"/>
        </w:rPr>
        <w:t xml:space="preserve">Todorov E, Jordan MI (2002). Optimal feedback control as a theory of motor coordination. Nature Neuroscience 5, 1226–1235.</w:t>
      </w:r>
    </w:p>
    <w:p>
      <w:pPr>
        <w:spacing w:after="80" w:line="280"/>
        <w:ind w:left="360" w:hanging="360"/>
        <w:jc w:val="left"/>
      </w:pPr>
      <w:r>
        <w:rPr>
          <w:sz w:val="20"/>
          <w:szCs w:val="20"/>
        </w:rPr>
        <w:t xml:space="preserve">Tychsen L (2007). Causing and curing infantile esotropia in primates: the role of decorrelated binocular input. Transactions of the American Ophthalmological Society 105, 564–593.</w:t>
      </w:r>
    </w:p>
    <w:p>
      <w:pPr>
        <w:spacing w:after="80" w:line="280"/>
        <w:ind w:left="360" w:hanging="360"/>
        <w:jc w:val="left"/>
      </w:pPr>
      <w:r>
        <w:rPr>
          <w:sz w:val="20"/>
          <w:szCs w:val="20"/>
        </w:rPr>
        <w:t xml:space="preserve">Upadhyaya S, Meng H, Das VE (2017). Electrical stimulation of superior colliculus affects strabismus angle in monkey models for strabismus. Journal of Neurophysiology 117, 1281–1292.</w:t>
      </w:r>
    </w:p>
    <w:p>
      <w:pPr>
        <w:spacing w:after="80" w:line="280"/>
        <w:ind w:left="360" w:hanging="360"/>
        <w:jc w:val="left"/>
      </w:pPr>
      <w:r>
        <w:rPr>
          <w:sz w:val="20"/>
          <w:szCs w:val="20"/>
        </w:rPr>
        <w:t xml:space="preserve">Van Horn MR, Cullen KE (2008). The brain stem saccadic burst generator encodes gaze in three-dimensional space. Journal of Neurophysiology 100, 2602–2616.</w:t>
      </w:r>
    </w:p>
    <w:p>
      <w:pPr>
        <w:spacing w:after="80" w:line="280"/>
        <w:ind w:left="360" w:hanging="360"/>
        <w:jc w:val="left"/>
      </w:pPr>
      <w:r>
        <w:rPr>
          <w:sz w:val="20"/>
          <w:szCs w:val="20"/>
        </w:rPr>
        <w:t xml:space="preserve">Walton MMG, Pallus A, Fleuriet J, Mustari MJ, Tarczy-Hornoch K (2017). Neural mechanisms of oculomotor abnormalities in the infantile strabismus syndrome. Journal of Neurophysiology 118, 280–299.</w:t>
      </w:r>
    </w:p>
    <w:p>
      <w:pPr>
        <w:spacing w:after="80" w:line="280"/>
        <w:ind w:left="360" w:hanging="360"/>
        <w:jc w:val="left"/>
      </w:pPr>
      <w:r>
        <w:rPr>
          <w:sz w:val="20"/>
          <w:szCs w:val="20"/>
        </w:rPr>
        <w:t xml:space="preserve">Zee DS, Fitzgibbon EJ, Optican LM (1992). Saccade-vergence interactions in humans. Journal of Neurophysiology 68, 1624–1641.</w:t>
      </w:r>
    </w:p>
    <w:p>
      <w:pPr>
        <w:spacing w:after="80" w:line="280"/>
        <w:ind w:left="360" w:hanging="360"/>
        <w:jc w:val="left"/>
      </w:pPr>
      <w:r>
        <w:rPr>
          <w:sz w:val="20"/>
          <w:szCs w:val="20"/>
        </w:rPr>
        <w:t xml:space="preserve">Zhou W, King WM (1998). Premotor commands encode monocular eye movements. Nature 393, 692–695.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A8567EE2FE4F4CBE3E2CEF37728AB4" ma:contentTypeVersion="19" ma:contentTypeDescription="Create a new document." ma:contentTypeScope="" ma:versionID="f5b8aadc3f7c65f6dc3afb37322eb8b8">
  <xsd:schema xmlns:xsd="http://www.w3.org/2001/XMLSchema" xmlns:xs="http://www.w3.org/2001/XMLSchema" xmlns:p="http://schemas.microsoft.com/office/2006/metadata/properties" xmlns:ns2="dab830d7-07ee-458a-b886-32578b44a612" xmlns:ns3="a048c95d-56bc-4d9d-b7f4-f756d5a4a43b" targetNamespace="http://schemas.microsoft.com/office/2006/metadata/properties" ma:root="true" ma:fieldsID="d9a2bf2afda756d3cad76b41400145fc" ns2:_="" ns3:_="">
    <xsd:import namespace="dab830d7-07ee-458a-b886-32578b44a612"/>
    <xsd:import namespace="a048c95d-56bc-4d9d-b7f4-f756d5a4a43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30d7-07ee-458a-b886-32578b44a6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5828c2f-142c-4d14-9ece-bbb868b00d38}" ma:internalName="TaxCatchAll" ma:showField="CatchAllData" ma:web="dab830d7-07ee-458a-b886-32578b44a6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048c95d-56bc-4d9d-b7f4-f756d5a4a43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d1cee91-2f8e-42cc-b1e8-5796d73fb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48c95d-56bc-4d9d-b7f4-f756d5a4a43b">
      <Terms xmlns="http://schemas.microsoft.com/office/infopath/2007/PartnerControls"/>
    </lcf76f155ced4ddcb4097134ff3c332f>
    <TaxCatchAll xmlns="dab830d7-07ee-458a-b886-32578b44a612" xsi:nil="true"/>
  </documentManagement>
</p:properties>
</file>

<file path=customXml/itemProps1.xml><?xml version="1.0" encoding="utf-8"?>
<ds:datastoreItem xmlns:ds="http://schemas.openxmlformats.org/officeDocument/2006/customXml" ds:itemID="{FD0C706E-BF5D-4E2F-9606-4864E566670E}"/>
</file>

<file path=customXml/itemProps2.xml><?xml version="1.0" encoding="utf-8"?>
<ds:datastoreItem xmlns:ds="http://schemas.openxmlformats.org/officeDocument/2006/customXml" ds:itemID="{5F79531A-228E-465E-B3D3-E316FB507112}"/>
</file>

<file path=customXml/itemProps3.xml><?xml version="1.0" encoding="utf-8"?>
<ds:datastoreItem xmlns:ds="http://schemas.openxmlformats.org/officeDocument/2006/customXml" ds:itemID="{4D9CBE53-005D-4C86-A717-28E63F6C31A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2026-04-30T18:30:22Z</dcterms:created>
  <dcterms:modified xsi:type="dcterms:W3CDTF">2026-04-30T18:30:22Z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0x010100CDA8567EE2FE4F4CBE3E2CEF37728AB4</vt:lpwstr>
  </property>
</Properties>
</file>