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b/>
          <w:bCs/>
          <w:sz w:val="32"/>
          <w:szCs w:val="32"/>
        </w:rPr>
        <w:t xml:space="preserve">Intermittent Strabismus as Cost-Curve Crossing</w:t>
      </w:r>
    </w:p>
    <w:p>
      <w:pPr>
        <w:spacing w:after="240"/>
        <w:jc w:val="center"/>
      </w:pPr>
      <w:r>
        <w:rPr>
          <w:i/>
          <w:iCs/>
          <w:sz w:val="22"/>
          <w:szCs w:val="22"/>
        </w:rPr>
        <w:t xml:space="preserve">A three-policy competition model of binocular fixation selection</w:t>
      </w:r>
    </w:p>
    <w:p>
      <w:pPr>
        <w:pStyle w:val="Heading2"/>
        <w:spacing w:after="120" w:before="240"/>
      </w:pPr>
      <w:r>
        <w:t xml:space="preserve">Abstract</w:t>
      </w:r>
    </w:p>
    <w:p>
      <w:pPr>
        <w:spacing w:after="120" w:line="320"/>
        <w:jc w:val="both"/>
      </w:pPr>
      <w:r>
        <w:t xml:space="preserve">Intermittent strabismus — most commonly intermittent exotropia — sits in a conceptual gap between two existing modeling traditions. The strabismus literature has developed competition models in which the two eyes' targets compete for fixation given that fusion has already failed, but does not model fusion as an option. The fusion literature has developed control models of vergence dynamics and fusional reserves in subjects in whom fusion is the operating mode, but does not model the alternative of abandoning it. Neither framework natively accommodates a system that fluctuates between fused and manifest states. We propose a three-policy competition model in which left-eye foveation, right-eye foveation, and binocular fusion compete on the basis of their relative motor and sensory costs. Intermittent strabismus is the regime in which the cost of fusion lies near the cost of the monocular alternatives, with stochastic and condition-dependent crossings producing the characteristic phenomenology of episodic deviation. The framework makes specific predictions about breakdown latency, recovery dynamics, treatment response, and developmental progression that are not produced by either parent literature. We sketch the model, list its predictions, and identify the experiments needed to test them.</w:t>
      </w:r>
    </w:p>
    <w:p>
      <w:pPr>
        <w:pStyle w:val="Heading1"/>
        <w:spacing w:after="180" w:before="360"/>
      </w:pPr>
      <w:r>
        <w:t xml:space="preserve">1. Introduction</w:t>
      </w:r>
    </w:p>
    <w:p>
      <w:pPr>
        <w:spacing w:after="120" w:line="320"/>
        <w:jc w:val="both"/>
      </w:pPr>
      <w:r>
        <w:t xml:space="preserve">Intermittent strabismus is common, clinically consequential, and theoretically awkward. Intermittent exotropia alone affects roughly 1% of children (Govindan et al., 2005; Mohney et al., 2014), with a substantial fraction progressing to constant exotropia if untreated and others stabilizing or remitting (Mohney, 2007). The defining feature is fluctuation: the same patient under the same nominal viewing condition may be fully binocular at one moment and manifestly deviated at the next, with transitions modulated by viewing distance, attention, fatigue, illumination, and accommodative demand.</w:t>
      </w:r>
    </w:p>
    <w:p>
      <w:pPr>
        <w:spacing w:after="120" w:line="320"/>
        <w:jc w:val="both"/>
      </w:pPr>
      <w:r>
        <w:t xml:space="preserve">Existing computational models of binocular oculomotor control do not account for this fluctuation natively. Strabismus models — including the disconjugate-saccade-generator framework of Walton, Mustari, and colleagues (Walton et al., 2017), the SC eye-choice model of Fleuriet, Belloir, and Walton (2025), and the explicit competition framework of Pallus, Walton, and Mustari (2023) — treat fusion as absent and model the contest between the two eyes' monocular targets. They predict which eye fixates given a chronically misaligned system, but they do not predict when or why fusion is regained. Fusion models, conversely — including the dual-mode vergence models of Schor (1979, 1992), Hung and Semmlow (1980), and Semmlow et al. (1986), and the dynamic feedback models of Erkelens (2011) — treat fusion as the operating mode and model its dynamics. They predict fixation disparity, fusional ranges, and AC/A interactions, but they do not predict catastrophic abandonment of fusion to monocular fixation.</w:t>
      </w:r>
    </w:p>
    <w:p>
      <w:pPr>
        <w:spacing w:after="120" w:line="320"/>
        <w:jc w:val="both"/>
      </w:pPr>
      <w:r>
        <w:t xml:space="preserve">The gap is structural rather than incidental. The two literatures address different patient populations and different states of the same underlying machinery. Intermittent strabismus is precisely the regime where both states must be simultaneously available and the system must transition between them. Modeling it requires explicit representation of the fusion option as one possibility among others in a competition, with the cost of fusion modulated by the same factors (vergence demand, attention, fatigue) that clinicians know modulate the deviation.</w:t>
      </w:r>
    </w:p>
    <w:p>
      <w:pPr>
        <w:spacing w:after="120" w:line="320"/>
        <w:jc w:val="both"/>
      </w:pPr>
      <w:r>
        <w:t xml:space="preserve">We propose such a model. The system is described as a competition among three motor policies — foveate with the left eye, foveate with the right eye, or fuse — whose costs are continuously evaluated and whose lowest-cost option (perturbed by noise) wins selection. Constant strabismus, intermittent strabismus, and normal binocular vision correspond to different parameter regimes of the same model: relative cost orderings determine which policy dominates, and the magnitude of cost differences relative to selection noise determines the stability of the selection.</w:t>
      </w:r>
    </w:p>
    <w:p>
      <w:pPr>
        <w:spacing w:after="120" w:line="320"/>
        <w:jc w:val="both"/>
      </w:pPr>
      <w:r>
        <w:t xml:space="preserve">Section 2 reviews why neither parent literature accommodates intermittent strabismus. Section 3 develops the three-policy framework. Section 4 derives predictions specific to intermittent strabismus. Section 5 outlines the experiments and clinical measurements that would test the framework.</w:t>
      </w:r>
    </w:p>
    <w:p>
      <w:pPr>
        <w:pStyle w:val="Heading1"/>
        <w:spacing w:after="180" w:before="360"/>
      </w:pPr>
      <w:r>
        <w:t xml:space="preserve">2. The structural gap</w:t>
      </w:r>
    </w:p>
    <w:p>
      <w:pPr>
        <w:pStyle w:val="Heading2"/>
        <w:spacing w:after="120" w:before="240"/>
      </w:pPr>
      <w:r>
        <w:t xml:space="preserve">2.1 Strabismus models</w:t>
      </w:r>
    </w:p>
    <w:p>
      <w:pPr>
        <w:spacing w:after="120" w:line="320"/>
        <w:jc w:val="both"/>
      </w:pPr>
      <w:r>
        <w:t xml:space="preserve">The recent literature on saccade and pursuit control in strabismus is largely concerned with explaining the chronic disconjugacy of eye movements. Disconjugate saccades originate downstream of the superior colliculus, with motoneuron firing patterns that produce different commands to the two eyes (Das and Mustari, 2007; Joshi and Das, 2011; Walton et al., 2014). The SC itself shows normal topography but its activity gates which eye is brought to a given visual target on a given trial (Fleuriet et al., 2016; Fleuriet, Belloir, and Walton, 2025). Pallus, Walton, and Mustari (2023) formalize this as a competition between the two eyes' monocular targets, with suppression weighting the contest in favor of the fixating eye.</w:t>
      </w:r>
    </w:p>
    <w:p>
      <w:pPr>
        <w:spacing w:after="120" w:line="320"/>
        <w:jc w:val="both"/>
      </w:pPr>
      <w:r>
        <w:t xml:space="preserve">These models are silent on fusion. In the experimental populations they address — primates with surgically induced or developmental strabismus, with chronic disconjugacy — fusion is not behaviorally available, and the question of when fusion would be invoked instead of monocular selection does not arise. To extend these models to intermittent strabismus, fusion must be introduced as an option, but the existing competition framework has no slot for it. The competition is between the left eye's target and the right eye's target; fusion is a third option that requires its own representation.</w:t>
      </w:r>
    </w:p>
    <w:p>
      <w:pPr>
        <w:pStyle w:val="Heading2"/>
        <w:spacing w:after="120" w:before="240"/>
      </w:pPr>
      <w:r>
        <w:t xml:space="preserve">2.2 Fusion models</w:t>
      </w:r>
    </w:p>
    <w:p>
      <w:pPr>
        <w:spacing w:after="120" w:line="320"/>
        <w:jc w:val="both"/>
      </w:pPr>
      <w:r>
        <w:t xml:space="preserve">The fusion literature treats binocular vision as the operating regime and models its internal dynamics. Schor's dual-mode vergence model (1979, 1992) captures fast disparity vergence and slow tonic adaptation as parallel control loops. Hung-Semmlow models incorporate the cross-coupling between accommodation and vergence (AC/A and CA/C ratios) and predict fixation disparity under sustained loads. Erkelens (2011) develops a dual visual feedback model of vergence with explicit handling of saccade-vergence interactions. These models are quantitatively predictive within the fused regime: they account for fixation disparity, frequency response, response to disparity steps, and the interactions between accommodative and disparity-driven vergence.</w:t>
      </w:r>
    </w:p>
    <w:p>
      <w:pPr>
        <w:spacing w:after="120" w:line="320"/>
        <w:jc w:val="both"/>
      </w:pPr>
      <w:r>
        <w:t xml:space="preserve">They do not, however, predict the abandonment of fusion. When sustained vergence demand exceeds the system's capacity, when fusional reserves are depleted, or when attentional engagement drops below threshold, the patient with intermittent strabismus drops into manifest deviation — a state the fusion models do not represent. They model the controller; they do not model whether the controller is engaged. Extending them to predict disengagement requires an external comparison: at what point does the cost of maintaining fusion exceed the cost of abandoning it? This comparison is not internal to the fusion control architecture.</w:t>
      </w:r>
    </w:p>
    <w:p>
      <w:pPr>
        <w:pStyle w:val="Heading2"/>
        <w:spacing w:after="120" w:before="240"/>
      </w:pPr>
      <w:r>
        <w:t xml:space="preserve">2.3 Why the gap matters</w:t>
      </w:r>
    </w:p>
    <w:p>
      <w:pPr>
        <w:spacing w:after="120" w:line="320"/>
        <w:jc w:val="both"/>
      </w:pPr>
      <w:r>
        <w:t xml:space="preserve">Intermittent strabismus is not a marginal case. It is the developmental antecedent of much constant strabismus, the most common form being intermittent exotropia (Mohney, 2007). It is the regime in which clinical interventions — vision therapy, prism correction, surgery, observation — are decided. Whether to intervene in a child with intermittent exotropia, when to intervene, and which intervention to choose are unresolved clinical questions (Donahue et al., 2014; Cotter et al., 2014). The decisions are made on the basis of clinical signs (fusion fraction, control measures, deviation size) rather than on a mechanistic model of why some patients progress and others stabilize.</w:t>
      </w:r>
    </w:p>
    <w:p>
      <w:pPr>
        <w:spacing w:after="120" w:line="320"/>
        <w:jc w:val="both"/>
      </w:pPr>
      <w:r>
        <w:t xml:space="preserve">A model that predicts transition dynamics — when fusion holds, when it breaks, what determines the trajectory — has direct clinical relevance and represents a contribution that neither parent literature is positioned to make.</w:t>
      </w:r>
    </w:p>
    <w:p>
      <w:pPr>
        <w:pStyle w:val="Heading1"/>
        <w:spacing w:after="180" w:before="360"/>
      </w:pPr>
      <w:r>
        <w:t xml:space="preserve">3. A three-policy competition</w:t>
      </w:r>
    </w:p>
    <w:p>
      <w:pPr>
        <w:pStyle w:val="Heading2"/>
        <w:spacing w:after="120" w:before="240"/>
      </w:pPr>
      <w:r>
        <w:t xml:space="preserve">3.1 Policies</w:t>
      </w:r>
    </w:p>
    <w:p>
      <w:pPr>
        <w:spacing w:after="120" w:line="320"/>
        <w:jc w:val="both"/>
      </w:pPr>
      <w:r>
        <w:t xml:space="preserve">We posit three motor policies competing for control of the binocular oculomotor system at any moment:</w:t>
      </w:r>
    </w:p>
    <w:p>
      <w:pPr>
        <w:spacing w:after="120" w:line="320"/>
        <w:jc w:val="both"/>
      </w:pPr>
      <w:r>
        <w:t xml:space="preserve">  • π</w:t>
      </w:r>
      <w:r>
        <w:rPr>
          <w:vertAlign w:val="subscript"/>
        </w:rPr>
        <w:t xml:space="preserve">L</w:t>
      </w:r>
      <w:r>
        <w:t xml:space="preserve">: foveate the left eye on its target. The right eye is yoked by version-dominant kinematics and is not aligned with its monocular target unless the two targets happen to be in correspondence.</w:t>
      </w:r>
    </w:p>
    <w:p>
      <w:pPr>
        <w:spacing w:after="120" w:line="320"/>
        <w:jc w:val="both"/>
      </w:pPr>
      <w:r>
        <w:t xml:space="preserve">  • π</w:t>
      </w:r>
      <w:r>
        <w:rPr>
          <w:vertAlign w:val="subscript"/>
        </w:rPr>
        <w:t xml:space="preserve">R</w:t>
      </w:r>
      <w:r>
        <w:t xml:space="preserve">: foveate the right eye on its target. Symmetric counterpart of π</w:t>
      </w:r>
      <w:r>
        <w:rPr>
          <w:vertAlign w:val="subscript"/>
        </w:rPr>
        <w:t xml:space="preserve">L</w:t>
      </w:r>
      <w:r>
        <w:t xml:space="preserve">.</w:t>
      </w:r>
    </w:p>
    <w:p>
      <w:pPr>
        <w:spacing w:after="120" w:line="320"/>
        <w:jc w:val="both"/>
      </w:pPr>
      <w:r>
        <w:t xml:space="preserve">  • π</w:t>
      </w:r>
      <w:r>
        <w:rPr>
          <w:vertAlign w:val="subscript"/>
        </w:rPr>
        <w:t xml:space="preserve">F</w:t>
      </w:r>
      <w:r>
        <w:t xml:space="preserve">: fuse — issue a cyclopean version command and a coordinated vergence command that aligns both eyes on a single 3D target.</w:t>
      </w:r>
    </w:p>
    <w:p>
      <w:pPr>
        <w:spacing w:after="120" w:line="320"/>
        <w:jc w:val="both"/>
      </w:pPr>
      <w:r>
        <w:t xml:space="preserve">Each policy carries a cost C</w:t>
      </w:r>
      <w:r>
        <w:rPr>
          <w:vertAlign w:val="subscript"/>
        </w:rPr>
        <w:t xml:space="preserve">i</w:t>
      </w:r>
      <w:r>
        <w:t xml:space="preserve">(</w:t>
      </w:r>
      <w:r>
        <w:rPr>
          <w:b/>
          <w:bCs/>
        </w:rPr>
        <w:t xml:space="preserve">x</w:t>
      </w:r>
      <w:r>
        <w:t xml:space="preserve">, target, state) that depends on current eye state </w:t>
      </w:r>
      <w:r>
        <w:rPr>
          <w:b/>
          <w:bCs/>
        </w:rPr>
        <w:t xml:space="preserve">x</w:t>
      </w:r>
      <w:r>
        <w:t xml:space="preserve">, target geometry, and the system's internal state (fatigue, attention, adaptation history). The selected policy is the one with minimum cost plus selection noise:</w:t>
      </w:r>
    </w:p>
    <w:p>
      <w:pPr>
        <w:spacing w:after="120" w:line="320"/>
        <w:jc w:val="left"/>
      </w:pPr>
      <w:r>
        <w:rPr>
          <w:i/>
          <w:iCs/>
        </w:rPr>
        <w:t xml:space="preserve">    π* = argmin_i [ C_i + ε_i ]</w:t>
      </w:r>
    </w:p>
    <w:p>
      <w:pPr>
        <w:spacing w:after="120" w:line="320"/>
        <w:jc w:val="both"/>
      </w:pPr>
      <w:r>
        <w:t xml:space="preserve">Equivalently, in soft-max form, P(π = π</w:t>
      </w:r>
      <w:r>
        <w:rPr>
          <w:vertAlign w:val="subscript"/>
        </w:rPr>
        <w:t xml:space="preserve">i</w:t>
      </w:r>
      <w:r>
        <w:t xml:space="preserve">) ∝ exp(−β C</w:t>
      </w:r>
      <w:r>
        <w:rPr>
          <w:vertAlign w:val="subscript"/>
        </w:rPr>
        <w:t xml:space="preserve">i</w:t>
      </w:r>
      <w:r>
        <w:t xml:space="preserve">), with the inverse-temperature β controlling decisiveness. Hysteresis can be added by giving the currently selected policy a state-dependent bonus that decays after switching, capturing the sticky character of selection that the cover test reveals.</w:t>
      </w:r>
    </w:p>
    <w:p>
      <w:pPr>
        <w:pStyle w:val="Heading2"/>
        <w:spacing w:after="120" w:before="240"/>
      </w:pPr>
      <w:r>
        <w:t xml:space="preserve">3.2 Cost components</w:t>
      </w:r>
    </w:p>
    <w:p>
      <w:pPr>
        <w:spacing w:after="120" w:line="320"/>
        <w:jc w:val="both"/>
      </w:pPr>
      <w:r>
        <w:t xml:space="preserve">Each cost decomposes into components that map onto known modulators of strabismus phenomenology:</w:t>
      </w:r>
    </w:p>
    <w:p>
      <w:pPr>
        <w:spacing w:after="120" w:line="320"/>
        <w:jc w:val="both"/>
      </w:pPr>
      <w:r>
        <w:rPr>
          <w:b/>
          <w:bCs/>
        </w:rPr>
        <w:t xml:space="preserve">Mechanical / motor cost</w:t>
      </w:r>
      <w:r>
        <w:t xml:space="preserve">. For the monocular policies, this is the effort of producing and holding the version eye position. For the fusion policy, it includes the additional effort of sustained vergence — which scales with required convergence angle and is partly offset by accommodative-vergence and proximal-vergence drives (Maddox, 1893). The fusion mechanical cost grows with vergence demand: high at near, low at distance. A patient with reduced fusional reserves or poor AC/A linkage has steeper growth of fusion mechanical cost as a function of demand.</w:t>
      </w:r>
    </w:p>
    <w:p>
      <w:pPr>
        <w:spacing w:after="120" w:line="320"/>
        <w:jc w:val="both"/>
      </w:pPr>
      <w:r>
        <w:rPr>
          <w:b/>
          <w:bCs/>
        </w:rPr>
        <w:t xml:space="preserve">Sensory cost</w:t>
      </w:r>
      <w:r>
        <w:t xml:space="preserve">. The post-policy state has perceptual consequences. For monocular policies, the non-foveating eye's image is misaligned, producing diplopia unless suppressed. The diplopia cost is large in patients with intact binocular vision and zero in patients with deep, well-developed suppression. For the fusion policy, the cost is small when fusion is achieved (single vision, stereopsis) and very large when fusion fails (visual confusion). Sensory cost is the term most directly modified by visual experience: suppression learning lowers monocular sensory cost, and successful fusion experience reinforces low fusion cost.</w:t>
      </w:r>
    </w:p>
    <w:p>
      <w:pPr>
        <w:spacing w:after="120" w:line="320"/>
        <w:jc w:val="both"/>
      </w:pPr>
      <w:r>
        <w:rPr>
          <w:b/>
          <w:bCs/>
        </w:rPr>
        <w:t xml:space="preserve">Cognitive / attentional cost</w:t>
      </w:r>
      <w:r>
        <w:t xml:space="preserve">. Maintaining vergence at non-resting positions requires sustained attention; the cost of fusion is higher under cognitive load or distraction (Koevoet et al., 2025, for the saccadic case generalized here). This is the component most directly responsible for the well-known clinical observation that intermittent strabismus worsens with inattention.</w:t>
      </w:r>
    </w:p>
    <w:p>
      <w:pPr>
        <w:spacing w:after="120" w:line="320"/>
        <w:jc w:val="both"/>
      </w:pPr>
      <w:r>
        <w:rPr>
          <w:b/>
          <w:bCs/>
        </w:rPr>
        <w:t xml:space="preserve">Resource / fatigue cost</w:t>
      </w:r>
      <w:r>
        <w:t xml:space="preserve">. Sustained engagement of any policy depletes a shared resource; cost grows over time spent in the policy. For the fusion policy specifically, this captures fusional fatigue: the longer fusion has been held, the higher its cost becomes, eventually reaching a level where a monocular policy wins. Recovery occurs during periods of monocular fixation as the resource replenishes.</w:t>
      </w:r>
    </w:p>
    <w:p>
      <w:pPr>
        <w:spacing w:after="120" w:line="320"/>
        <w:jc w:val="both"/>
      </w:pPr>
      <w:r>
        <w:rPr>
          <w:b/>
          <w:bCs/>
        </w:rPr>
        <w:t xml:space="preserve">Prior bias</w:t>
      </w:r>
      <w:r>
        <w:t xml:space="preserve">. A baseline asymmetry reflecting ocular dominance, recent fixation history, and asymmetric salience. This determines the default fixating eye when no other component decides between π</w:t>
      </w:r>
      <w:r>
        <w:rPr>
          <w:vertAlign w:val="subscript"/>
        </w:rPr>
        <w:t xml:space="preserve">L</w:t>
      </w:r>
      <w:r>
        <w:t xml:space="preserve"> and π</w:t>
      </w:r>
      <w:r>
        <w:rPr>
          <w:vertAlign w:val="subscript"/>
        </w:rPr>
        <w:t xml:space="preserve">R</w:t>
      </w:r>
      <w:r>
        <w:t xml:space="preserve">.</w:t>
      </w:r>
    </w:p>
    <w:p>
      <w:pPr>
        <w:pStyle w:val="Heading2"/>
        <w:spacing w:after="120" w:before="240"/>
      </w:pPr>
      <w:r>
        <w:t xml:space="preserve">3.3 The model in pictures</w:t>
      </w:r>
    </w:p>
    <w:p>
      <w:pPr>
        <w:spacing w:after="120" w:line="320"/>
        <w:jc w:val="both"/>
      </w:pPr>
      <w:r>
        <w:t xml:space="preserve">Imagine three time-varying cost curves, C</w:t>
      </w:r>
      <w:r>
        <w:rPr>
          <w:vertAlign w:val="subscript"/>
        </w:rPr>
        <w:t xml:space="preserve">L</w:t>
      </w:r>
      <w:r>
        <w:t xml:space="preserve">(t), C</w:t>
      </w:r>
      <w:r>
        <w:rPr>
          <w:vertAlign w:val="subscript"/>
        </w:rPr>
        <w:t xml:space="preserve">R</w:t>
      </w:r>
      <w:r>
        <w:t xml:space="preserve">(t), and C</w:t>
      </w:r>
      <w:r>
        <w:rPr>
          <w:vertAlign w:val="subscript"/>
        </w:rPr>
        <w:t xml:space="preserve">F</w:t>
      </w:r>
      <w:r>
        <w:t xml:space="preserve">(t), evolving over seconds to minutes as the patient interacts with the visual environment. The selected policy is whichever has the lowest cost (plus noise) at each moment. Three regimes are possible:</w:t>
      </w:r>
    </w:p>
    <w:p>
      <w:pPr>
        <w:spacing w:after="120" w:line="320"/>
        <w:jc w:val="both"/>
      </w:pPr>
      <w:r>
        <w:t xml:space="preserve">  • </w:t>
      </w:r>
      <w:r>
        <w:rPr>
          <w:i/>
          <w:iCs/>
        </w:rPr>
        <w:t xml:space="preserve">Normal binocular vision</w:t>
      </w:r>
      <w:r>
        <w:t xml:space="preserve">: C</w:t>
      </w:r>
      <w:r>
        <w:rPr>
          <w:vertAlign w:val="subscript"/>
        </w:rPr>
        <w:t xml:space="preserve">F</w:t>
      </w:r>
      <w:r>
        <w:t xml:space="preserve"> is consistently below both monocular costs across all viewing conditions. The system is permanently in fusion mode. Variations in viewing conditions move costs around but do not produce crossings.</w:t>
      </w:r>
    </w:p>
    <w:p>
      <w:pPr>
        <w:spacing w:after="120" w:line="320"/>
        <w:jc w:val="both"/>
      </w:pPr>
      <w:r>
        <w:t xml:space="preserve">  • </w:t>
      </w:r>
      <w:r>
        <w:rPr>
          <w:i/>
          <w:iCs/>
        </w:rPr>
        <w:t xml:space="preserve">Constant strabismus</w:t>
      </w:r>
      <w:r>
        <w:t xml:space="preserve">: C</w:t>
      </w:r>
      <w:r>
        <w:rPr>
          <w:vertAlign w:val="subscript"/>
        </w:rPr>
        <w:t xml:space="preserve">F</w:t>
      </w:r>
      <w:r>
        <w:t xml:space="preserve"> is consistently above both monocular costs (or, in early-onset strabismus, π</w:t>
      </w:r>
      <w:r>
        <w:rPr>
          <w:vertAlign w:val="subscript"/>
        </w:rPr>
        <w:t xml:space="preserve">F</w:t>
      </w:r>
      <w:r>
        <w:t xml:space="preserve"> is structurally absent because the disparity-vergence machinery never developed). The system is permanently in monocular mode, with the choice between π</w:t>
      </w:r>
      <w:r>
        <w:rPr>
          <w:vertAlign w:val="subscript"/>
        </w:rPr>
        <w:t xml:space="preserve">L</w:t>
      </w:r>
      <w:r>
        <w:t xml:space="preserve"> and π</w:t>
      </w:r>
      <w:r>
        <w:rPr>
          <w:vertAlign w:val="subscript"/>
        </w:rPr>
        <w:t xml:space="preserve">R</w:t>
      </w:r>
      <w:r>
        <w:t xml:space="preserve"> determined by ocular dominance, suppression depth, and acuity asymmetry.</w:t>
      </w:r>
    </w:p>
    <w:p>
      <w:pPr>
        <w:spacing w:after="120" w:line="320"/>
        <w:jc w:val="both"/>
      </w:pPr>
      <w:r>
        <w:t xml:space="preserve">  • </w:t>
      </w:r>
      <w:r>
        <w:rPr>
          <w:i/>
          <w:iCs/>
        </w:rPr>
        <w:t xml:space="preserve">Intermittent strabismus</w:t>
      </w:r>
      <w:r>
        <w:t xml:space="preserve">: C</w:t>
      </w:r>
      <w:r>
        <w:rPr>
          <w:vertAlign w:val="subscript"/>
        </w:rPr>
        <w:t xml:space="preserve">F</w:t>
      </w:r>
      <w:r>
        <w:t xml:space="preserve"> lies near the monocular costs across some range of conditions, with crossings occurring as conditions modulate the costs. At distance, where vergence demand is low, C</w:t>
      </w:r>
      <w:r>
        <w:rPr>
          <w:vertAlign w:val="subscript"/>
        </w:rPr>
        <w:t xml:space="preserve">F</w:t>
      </w:r>
      <w:r>
        <w:t xml:space="preserve"> drops; at near, it rises. With attention, fusion sensory cost is large for monocular policies (diplopia awareness penalizes them); without attention, the diplopia is unattended and the monocular penalty drops. Fatigue raises C</w:t>
      </w:r>
      <w:r>
        <w:rPr>
          <w:vertAlign w:val="subscript"/>
        </w:rPr>
        <w:t xml:space="preserve">F</w:t>
      </w:r>
      <w:r>
        <w:t xml:space="preserve"> over time. Each of these factors can push the system across the crossing point.</w:t>
      </w:r>
    </w:p>
    <w:p>
      <w:pPr>
        <w:spacing w:after="120" w:line="320"/>
        <w:jc w:val="both"/>
      </w:pPr>
      <w:r>
        <w:t xml:space="preserve">Intermittent exotropia at distance is the prototypical case. At near, the patient fuses comfortably (C</w:t>
      </w:r>
      <w:r>
        <w:rPr>
          <w:vertAlign w:val="subscript"/>
        </w:rPr>
        <w:t xml:space="preserve">F</w:t>
      </w:r>
      <w:r>
        <w:t xml:space="preserve"> is below monocular costs because of strong accommodative-convergence support and high attentional engagement with near work). At distance, accommodative drive disengages, vergence demand is small but unsupported, and attention is more easily distracted; C</w:t>
      </w:r>
      <w:r>
        <w:rPr>
          <w:vertAlign w:val="subscript"/>
        </w:rPr>
        <w:t xml:space="preserve">F</w:t>
      </w:r>
      <w:r>
        <w:t xml:space="preserve"> creeps up and at some point crosses C</w:t>
      </w:r>
      <w:r>
        <w:rPr>
          <w:vertAlign w:val="subscript"/>
        </w:rPr>
        <w:t xml:space="preserve">L</w:t>
      </w:r>
      <w:r>
        <w:t xml:space="preserve"> or C</w:t>
      </w:r>
      <w:r>
        <w:rPr>
          <w:vertAlign w:val="subscript"/>
        </w:rPr>
        <w:t xml:space="preserve">R</w:t>
      </w:r>
      <w:r>
        <w:t xml:space="preserve">. The system flips to a monocular policy and the deviation becomes manifest. When the patient re-engages attention or the eyes find a target that drives accommodation, C</w:t>
      </w:r>
      <w:r>
        <w:rPr>
          <w:vertAlign w:val="subscript"/>
        </w:rPr>
        <w:t xml:space="preserve">F</w:t>
      </w:r>
      <w:r>
        <w:t xml:space="preserve"> drops back down and fusion is regained — though with hysteresis, so the regain is slower than the loss.</w:t>
      </w:r>
    </w:p>
    <w:p>
      <w:pPr>
        <w:pStyle w:val="Heading2"/>
        <w:spacing w:after="120" w:before="240"/>
      </w:pPr>
      <w:r>
        <w:t xml:space="preserve">3.4 Constraints from realizability</w:t>
      </w:r>
    </w:p>
    <w:p>
      <w:pPr>
        <w:spacing w:after="120" w:line="320"/>
        <w:jc w:val="both"/>
      </w:pPr>
      <w:r>
        <w:t xml:space="preserve">The fusion policy π</w:t>
      </w:r>
      <w:r>
        <w:rPr>
          <w:vertAlign w:val="subscript"/>
        </w:rPr>
        <w:t xml:space="preserve">F</w:t>
      </w:r>
      <w:r>
        <w:t xml:space="preserve"> is only available when the binocular retinal input is geometrically consistent with a single 3D target — the realizability condition. For most natural viewing this is automatic. In experimental dichoptic conditions or in chronic strabismus with very large angles, fusion can be structurally unavailable regardless of cost: the realizability gate is closed and the competition reduces to π</w:t>
      </w:r>
      <w:r>
        <w:rPr>
          <w:vertAlign w:val="subscript"/>
        </w:rPr>
        <w:t xml:space="preserve">L</w:t>
      </w:r>
      <w:r>
        <w:t xml:space="preserve"> vs π</w:t>
      </w:r>
      <w:r>
        <w:rPr>
          <w:vertAlign w:val="subscript"/>
        </w:rPr>
        <w:t xml:space="preserve">R</w:t>
      </w:r>
      <w:r>
        <w:t xml:space="preserve">. In intermittent strabismus, realizability is typically preserved (deviations are within the range of the disparity-vergence subsystem), so the question is one of cost rather than availability. Realizability becomes a parameter that determines which policies are admissible to the competition, while cost determines which admissible policy wins.</w:t>
      </w:r>
    </w:p>
    <w:p>
      <w:pPr>
        <w:pStyle w:val="Heading1"/>
        <w:spacing w:after="180" w:before="360"/>
      </w:pPr>
      <w:r>
        <w:t xml:space="preserve">4. Predictions specific to intermittent strabismus</w:t>
      </w:r>
    </w:p>
    <w:p>
      <w:pPr>
        <w:pStyle w:val="Heading2"/>
        <w:spacing w:after="120" w:before="240"/>
      </w:pPr>
      <w:r>
        <w:t xml:space="preserve">4.1 Breakdown latency</w:t>
      </w:r>
    </w:p>
    <w:p>
      <w:pPr>
        <w:spacing w:after="120" w:line="320"/>
        <w:jc w:val="both"/>
      </w:pPr>
      <w:r>
        <w:t xml:space="preserve">Time to fusion breakdown under sustained viewing should follow a first-passage-time distribution determined by the trajectory of C</w:t>
      </w:r>
      <w:r>
        <w:rPr>
          <w:vertAlign w:val="subscript"/>
        </w:rPr>
        <w:t xml:space="preserve">F</w:t>
      </w:r>
      <w:r>
        <w:t xml:space="preserve"> − min(C</w:t>
      </w:r>
      <w:r>
        <w:rPr>
          <w:vertAlign w:val="subscript"/>
        </w:rPr>
        <w:t xml:space="preserve">L</w:t>
      </w:r>
      <w:r>
        <w:t xml:space="preserve">, C</w:t>
      </w:r>
      <w:r>
        <w:rPr>
          <w:vertAlign w:val="subscript"/>
        </w:rPr>
        <w:t xml:space="preserve">R</w:t>
      </w:r>
      <w:r>
        <w:t xml:space="preserve">) and the selection noise. Specifically, if C</w:t>
      </w:r>
      <w:r>
        <w:rPr>
          <w:vertAlign w:val="subscript"/>
        </w:rPr>
        <w:t xml:space="preserve">F</w:t>
      </w:r>
      <w:r>
        <w:t xml:space="preserve"> grows over time due to fatigue while monocular costs are stable, breakdown latency should depend on the initial gap (how comfortably C</w:t>
      </w:r>
      <w:r>
        <w:rPr>
          <w:vertAlign w:val="subscript"/>
        </w:rPr>
        <w:t xml:space="preserve">F</w:t>
      </w:r>
      <w:r>
        <w:t xml:space="preserve"> sits below monocular costs at the start of viewing) and the rate of fatigue accumulation. Patients with larger initial gaps should have longer and more variable breakdown latencies; patients near the crossing should break down quickly and stochastically.</w:t>
      </w:r>
    </w:p>
    <w:p>
      <w:pPr>
        <w:spacing w:after="120" w:line="320"/>
        <w:jc w:val="both"/>
      </w:pPr>
      <w:r>
        <w:t xml:space="preserve">Empirically, this predicts that the variance in time-to-breakdown should be highest for patients near the crossing and lowest for patients with comfortable fusion. It also predicts that sustained-fixation paradigms should reveal a systematic relationship between baseline measurements (fusional reserves, AC/A, control score) and breakdown latency that is not currently characterized.</w:t>
      </w:r>
    </w:p>
    <w:p>
      <w:pPr>
        <w:pStyle w:val="Heading2"/>
        <w:spacing w:after="120" w:before="240"/>
      </w:pPr>
      <w:r>
        <w:t xml:space="preserve">4.2 Recovery dynamics and hysteresis</w:t>
      </w:r>
    </w:p>
    <w:p>
      <w:pPr>
        <w:spacing w:after="120" w:line="320"/>
        <w:jc w:val="both"/>
      </w:pPr>
      <w:r>
        <w:t xml:space="preserve">After breakdown, the latency to regain fusion should exceed the latency to lose it for the same cost difference, due to hysteresis in selection. The hysteresis arises naturally from a sticky-bonus mechanism (the currently selected policy gets a small cost reduction that decays over time). Quantitatively, the model predicts that the difference between regain and breakdown latencies under symmetric conditions should be proportional to the magnitude of the sticky bonus, which can be estimated from cover-test latencies.</w:t>
      </w:r>
    </w:p>
    <w:p>
      <w:pPr>
        <w:spacing w:after="120" w:line="320"/>
        <w:jc w:val="both"/>
      </w:pPr>
      <w:r>
        <w:t xml:space="preserve">This makes a specific prediction about the cover-test paradigm: the latency for an intermittent exotrope to recover fusion after cover-uncover should be longer than the latency for the same patient to lose fusion under matched conditions. This asymmetry is clinically observed informally but has not been quantified within a model that explains why it exists.</w:t>
      </w:r>
    </w:p>
    <w:p>
      <w:pPr>
        <w:pStyle w:val="Heading2"/>
        <w:spacing w:after="120" w:before="240"/>
      </w:pPr>
      <w:r>
        <w:t xml:space="preserve">4.3 Distance dependence</w:t>
      </w:r>
    </w:p>
    <w:p>
      <w:pPr>
        <w:spacing w:after="120" w:line="320"/>
        <w:jc w:val="both"/>
      </w:pPr>
      <w:r>
        <w:t xml:space="preserve">The distance at which fusion breaks down is determined by the crossing point of C</w:t>
      </w:r>
      <w:r>
        <w:rPr>
          <w:vertAlign w:val="subscript"/>
        </w:rPr>
        <w:t xml:space="preserve">F</w:t>
      </w:r>
      <w:r>
        <w:t xml:space="preserve">(distance) and the monocular costs. C</w:t>
      </w:r>
      <w:r>
        <w:rPr>
          <w:vertAlign w:val="subscript"/>
        </w:rPr>
        <w:t xml:space="preserve">F</w:t>
      </w:r>
      <w:r>
        <w:t xml:space="preserve"> is approximately decreasing in viewing distance over the typical clinical range (vergence demand drops, mechanical effort drops), while monocular costs are roughly distance-independent. The crossing distance should depend on:</w:t>
      </w:r>
    </w:p>
    <w:p>
      <w:pPr>
        <w:spacing w:after="120" w:line="320"/>
        <w:jc w:val="both"/>
      </w:pPr>
      <w:r>
        <w:t xml:space="preserve">  • Fusional reserves (steepness of C</w:t>
      </w:r>
      <w:r>
        <w:rPr>
          <w:vertAlign w:val="subscript"/>
        </w:rPr>
        <w:t xml:space="preserve">F</w:t>
      </w:r>
      <w:r>
        <w:t xml:space="preserve"> growth at low distances).</w:t>
      </w:r>
    </w:p>
    <w:p>
      <w:pPr>
        <w:spacing w:after="120" w:line="320"/>
        <w:jc w:val="both"/>
      </w:pPr>
      <w:r>
        <w:t xml:space="preserve">  • AC/A ratio (degree to which accommodative drive supports fusion at near).</w:t>
      </w:r>
    </w:p>
    <w:p>
      <w:pPr>
        <w:spacing w:after="120" w:line="320"/>
        <w:jc w:val="both"/>
      </w:pPr>
      <w:r>
        <w:t xml:space="preserve">  • Tonic vergence (baseline level around which the fusion controller operates).</w:t>
      </w:r>
    </w:p>
    <w:p>
      <w:pPr>
        <w:spacing w:after="120" w:line="320"/>
        <w:jc w:val="both"/>
      </w:pPr>
      <w:r>
        <w:t xml:space="preserve">  • Suppression depth (height of monocular sensory cost; deeper suppression lowers the cost line that C</w:t>
      </w:r>
      <w:r>
        <w:rPr>
          <w:vertAlign w:val="subscript"/>
        </w:rPr>
        <w:t xml:space="preserve">F</w:t>
      </w:r>
      <w:r>
        <w:t xml:space="preserve"> has to clear).</w:t>
      </w:r>
    </w:p>
    <w:p>
      <w:pPr>
        <w:spacing w:after="120" w:line="320"/>
        <w:jc w:val="both"/>
      </w:pPr>
      <w:r>
        <w:t xml:space="preserve">Each of these is independently measurable, and the model predicts that crossing distance can be calculated from them rather than measured directly. A patient whose measured parameters predict a crossing distance of 3 m should manifest deviation reliably beyond 3 m and fuse reliably within. This is a quantitative test of the framework against simple clinical measurements.</w:t>
      </w:r>
    </w:p>
    <w:p>
      <w:pPr>
        <w:pStyle w:val="Heading2"/>
        <w:spacing w:after="120" w:before="240"/>
      </w:pPr>
      <w:r>
        <w:t xml:space="preserve">4.4 Treatment-response prediction</w:t>
      </w:r>
    </w:p>
    <w:p>
      <w:pPr>
        <w:spacing w:after="120" w:line="320"/>
        <w:jc w:val="both"/>
      </w:pPr>
      <w:r>
        <w:t xml:space="preserve">Different interventions modify different cost components, and the model predicts which patients respond to which intervention based on which component is rate-limiting at the crossing.</w:t>
      </w:r>
    </w:p>
    <w:p>
      <w:pPr>
        <w:spacing w:after="120" w:line="320"/>
        <w:jc w:val="both"/>
      </w:pPr>
      <w:r>
        <w:t xml:space="preserve">  • </w:t>
      </w:r>
      <w:r>
        <w:rPr>
          <w:i/>
          <w:iCs/>
        </w:rPr>
        <w:t xml:space="preserve">Vision therapy</w:t>
      </w:r>
      <w:r>
        <w:t xml:space="preserve"> plausibly reduces the fusion mechanical and cognitive costs through learning. Patients whose breakdown is driven by fatigue or cognitive load (mechanical/attentional cost) should respond. Patients whose breakdown is driven by structural insufficiency (e.g., low fusional reserves due to anatomical factors) should respond less.</w:t>
      </w:r>
    </w:p>
    <w:p>
      <w:pPr>
        <w:spacing w:after="120" w:line="320"/>
        <w:jc w:val="both"/>
      </w:pPr>
      <w:r>
        <w:t xml:space="preserve">  • </w:t>
      </w:r>
      <w:r>
        <w:rPr>
          <w:i/>
          <w:iCs/>
        </w:rPr>
        <w:t xml:space="preserve">Prism correction</w:t>
      </w:r>
      <w:r>
        <w:t xml:space="preserve"> shifts the operating point of the fusion controller, reducing mechanical cost at the new operating point. Patients whose breakdown is driven by mechanical demand should respond.</w:t>
      </w:r>
    </w:p>
    <w:p>
      <w:pPr>
        <w:spacing w:after="120" w:line="320"/>
        <w:jc w:val="both"/>
      </w:pPr>
      <w:r>
        <w:t xml:space="preserve">  • </w:t>
      </w:r>
      <w:r>
        <w:rPr>
          <w:i/>
          <w:iCs/>
        </w:rPr>
        <w:t xml:space="preserve">Surgery</w:t>
      </w:r>
      <w:r>
        <w:t xml:space="preserve"> alters muscle rest lengths and resting tonus, shifting the entire mechanical cost landscape. Effective for patients with large mechanical cost components but does not address sensory or attentional contributions.</w:t>
      </w:r>
    </w:p>
    <w:p>
      <w:pPr>
        <w:spacing w:after="120" w:line="320"/>
        <w:jc w:val="both"/>
      </w:pPr>
      <w:r>
        <w:t xml:space="preserve">The framework predicts that a clinical workup decomposing the cost components for an individual patient (fusional ranges, AC/A, attentional fusion control, sensory adaptation status) should predict treatment response in advance. This is testable in retrospective and prospective clinical studies.</w:t>
      </w:r>
    </w:p>
    <w:p>
      <w:pPr>
        <w:pStyle w:val="Heading2"/>
        <w:spacing w:after="120" w:before="240"/>
      </w:pPr>
      <w:r>
        <w:t xml:space="preserve">4.5 Developmental progression</w:t>
      </w:r>
    </w:p>
    <w:p>
      <w:pPr>
        <w:spacing w:after="120" w:line="320"/>
        <w:jc w:val="both"/>
      </w:pPr>
      <w:r>
        <w:t xml:space="preserve">The most clinically consequential prediction concerns developmental trajectory. A child with intermittent exotropia faces a fork: progression to constant exotropia or stabilization in the intermittent state (with possible eventual remission). The factor that determines the trajectory, in this framework, is the fraction of time spent in fusion mode versus monocular mode during the developmental window.</w:t>
      </w:r>
    </w:p>
    <w:p>
      <w:pPr>
        <w:spacing w:after="120" w:line="320"/>
        <w:jc w:val="both"/>
      </w:pPr>
      <w:r>
        <w:t xml:space="preserve">When the system is in fusion mode, π</w:t>
      </w:r>
      <w:r>
        <w:rPr>
          <w:vertAlign w:val="subscript"/>
        </w:rPr>
        <w:t xml:space="preserve">F</w:t>
      </w:r>
      <w:r>
        <w:t xml:space="preserve"> produces successful binocular outcomes (single vision, stereopsis); a reinforcement-like learning rule reduces C</w:t>
      </w:r>
      <w:r>
        <w:rPr>
          <w:vertAlign w:val="subscript"/>
        </w:rPr>
        <w:t xml:space="preserve">F</w:t>
      </w:r>
      <w:r>
        <w:t xml:space="preserve"> over time. When the system is in monocular mode, the unattended eye's image is suppressed; the suppression strengthens, lowering monocular sensory cost and shifting the competition further in favor of monocular policies. These are positive feedback loops in opposite directions: time in fusion lowers C</w:t>
      </w:r>
      <w:r>
        <w:rPr>
          <w:vertAlign w:val="subscript"/>
        </w:rPr>
        <w:t xml:space="preserve">F</w:t>
      </w:r>
      <w:r>
        <w:t xml:space="preserve">, widening the margin in favor of fusion; time in monocular mode lowers C</w:t>
      </w:r>
      <w:r>
        <w:rPr>
          <w:vertAlign w:val="subscript"/>
        </w:rPr>
        <w:t xml:space="preserve">L,R</w:t>
      </w:r>
      <w:r>
        <w:t xml:space="preserve">, widening the margin in favor of monocular fixation.</w:t>
      </w:r>
    </w:p>
    <w:p>
      <w:pPr>
        <w:spacing w:after="120" w:line="320"/>
        <w:jc w:val="both"/>
      </w:pPr>
      <w:r>
        <w:t xml:space="preserve">Developmental progression is therefore a function of the fraction of time spent in each mode. There should exist a critical fusion fraction f*: above f*, the system stabilizes or improves; below f*, the system progresses to constant strabismus. The exact value of f* depends on the relative learning rates of the two reinforcement mechanisms, but its existence is a structural prediction. The clinical implication is that interventions which increase fusion time — even without altering deviation magnitude — could shift a patient from below f* to above it and change the trajectory. Patching paradoxically might be counterproductive in this framing if it eliminates fusion opportunities; orthoptic therapies that maximize fusion time might be uniquely effective at altering trajectory.</w:t>
      </w:r>
    </w:p>
    <w:p>
      <w:pPr>
        <w:spacing w:after="120" w:line="320"/>
        <w:jc w:val="both"/>
      </w:pPr>
      <w:r>
        <w:t xml:space="preserve">This converts an unresolved clinical question (when to intervene in intermittent strabismus, and which intervention to choose) into a measurable framework: estimate f* from population data, measure individual fusion fraction, predict trajectory, and intervene to shift f. The Newcastle Control Score and similar control measures (Haggerty et al., 2004; Mohney and Holmes, 2006) effectively measure something like fusion fraction; the framework provides a mechanistic interpretation of why these measures predict outcomes.</w:t>
      </w:r>
    </w:p>
    <w:p>
      <w:pPr>
        <w:pStyle w:val="Heading2"/>
        <w:spacing w:after="120" w:before="240"/>
      </w:pPr>
      <w:r>
        <w:t xml:space="preserve">4.6 Acquired vs developmental dissociation</w:t>
      </w:r>
    </w:p>
    <w:p>
      <w:pPr>
        <w:spacing w:after="120" w:line="320"/>
        <w:jc w:val="both"/>
      </w:pPr>
      <w:r>
        <w:t xml:space="preserve">Acquired strabismus in adulthood (e.g., from cranial nerve palsy or extraocular muscle injury) presents with persistent diplopia rather than the visual confusion-with-suppression of developmental strabismus. The framework explains this naturally: in adult-onset, π</w:t>
      </w:r>
      <w:r>
        <w:rPr>
          <w:vertAlign w:val="subscript"/>
        </w:rPr>
        <w:t xml:space="preserve">F</w:t>
      </w:r>
      <w:r>
        <w:t xml:space="preserve"> was previously low-cost and well-learned, but the new mechanical state has raised it above the monocular alternatives. The monocular policies, however, have *not* been reinforced through development; their sensory cost remains high because suppression is not available to a system that did not develop it. The patient is therefore in a regime where all three policies have substantial costs, and any selection produces poor sensory outcomes — manifesting as persistent diplopia. Developmental strabismus, by contrast, has had years to lower the monocular sensory cost through suppression learning, eliminating the diplopia signal.</w:t>
      </w:r>
    </w:p>
    <w:p>
      <w:pPr>
        <w:spacing w:after="120" w:line="320"/>
        <w:jc w:val="both"/>
      </w:pPr>
      <w:r>
        <w:t xml:space="preserve">This is not a new clinical observation, but the framework gives it a mechanistic basis and predicts the timeline of suppression development in late-onset cases as a function of the cost-component dynamics.</w:t>
      </w:r>
    </w:p>
    <w:p>
      <w:pPr>
        <w:pStyle w:val="Heading1"/>
        <w:spacing w:after="180" w:before="360"/>
      </w:pPr>
      <w:r>
        <w:t xml:space="preserve">5. Experiments to test the framework</w:t>
      </w:r>
    </w:p>
    <w:p>
      <w:pPr>
        <w:spacing w:after="120" w:line="320"/>
        <w:jc w:val="both"/>
      </w:pPr>
      <w:r>
        <w:t xml:space="preserve">The framework is testable with current methods. Several experimental directions:</w:t>
      </w:r>
    </w:p>
    <w:p>
      <w:pPr>
        <w:spacing w:after="120" w:line="320"/>
        <w:jc w:val="both"/>
      </w:pPr>
      <w:r>
        <w:rPr>
          <w:b/>
          <w:bCs/>
        </w:rPr>
        <w:t xml:space="preserve">Sustained-fixation breakdown distributions</w:t>
      </w:r>
      <w:r>
        <w:t xml:space="preserve">. In a population of intermittent exotropes spanning a range of severity, measure breakdown latency under controlled distance and attentional conditions, with concurrent recordings of vergence dynamics. Test whether breakdown latency distributions match the first-passage-time predictions of the model parameterized by independently measured cost components.</w:t>
      </w:r>
    </w:p>
    <w:p>
      <w:pPr>
        <w:spacing w:after="120" w:line="320"/>
        <w:jc w:val="both"/>
      </w:pPr>
      <w:r>
        <w:rPr>
          <w:b/>
          <w:bCs/>
        </w:rPr>
        <w:t xml:space="preserve">Cover-test asymmetry quantification</w:t>
      </w:r>
      <w:r>
        <w:t xml:space="preserve">. Quantify the asymmetry between break and recovery latencies in cover-uncover paradigms, and test whether this asymmetry scales with hysteresis parameters that can be estimated from other measurements.</w:t>
      </w:r>
    </w:p>
    <w:p>
      <w:pPr>
        <w:spacing w:after="120" w:line="320"/>
        <w:jc w:val="both"/>
      </w:pPr>
      <w:r>
        <w:rPr>
          <w:b/>
          <w:bCs/>
        </w:rPr>
        <w:t xml:space="preserve">Crossing-distance prediction</w:t>
      </w:r>
      <w:r>
        <w:t xml:space="preserve">. For individual patients, measure fusional reserves, AC/A, tonic vergence, and suppression depth. Use these to predict the distance at which fusion breaks down. Compare to measured breakdown distance. The framework predicts a quantitative relationship; alternative models predict only qualitative trends.</w:t>
      </w:r>
    </w:p>
    <w:p>
      <w:pPr>
        <w:spacing w:after="120" w:line="320"/>
        <w:jc w:val="both"/>
      </w:pPr>
      <w:r>
        <w:rPr>
          <w:b/>
          <w:bCs/>
        </w:rPr>
        <w:t xml:space="preserve">Treatment-response stratification</w:t>
      </w:r>
      <w:r>
        <w:t xml:space="preserve">. Pre-treatment cost-component profiling (mechanical vs sensory vs attentional dominance of the breakdown) should predict differential response to vision therapy, prism, and surgery. This is amenable to retrospective analysis of existing clinical datasets and prospective stratified trial design.</w:t>
      </w:r>
    </w:p>
    <w:p>
      <w:pPr>
        <w:spacing w:after="120" w:line="320"/>
        <w:jc w:val="both"/>
      </w:pPr>
      <w:r>
        <w:rPr>
          <w:b/>
          <w:bCs/>
        </w:rPr>
        <w:t xml:space="preserve">Fusion-fraction longitudinal cohort</w:t>
      </w:r>
      <w:r>
        <w:t xml:space="preserve">. Longitudinal measurement of fusion fraction in children newly diagnosed with intermittent exotropia, with outcome assessment at 5–10 years. The framework predicts that f below some threshold will be associated with progression and f above the threshold with stability. The threshold value can be estimated from the dataset itself.</w:t>
      </w:r>
    </w:p>
    <w:p>
      <w:pPr>
        <w:spacing w:after="120" w:line="320"/>
        <w:jc w:val="both"/>
      </w:pPr>
      <w:r>
        <w:rPr>
          <w:b/>
          <w:bCs/>
        </w:rPr>
        <w:t xml:space="preserve">Suppression-depth manipulation in adults</w:t>
      </w:r>
      <w:r>
        <w:t xml:space="preserve">. In late-onset strabismus, attempt experimental manipulations that lower diplopia awareness (selective attention training, dichoptic adaptation) and test whether monocular policy cost decreases as predicted, accelerating the development of de novo suppression.</w:t>
      </w:r>
    </w:p>
    <w:p>
      <w:pPr>
        <w:pStyle w:val="Heading1"/>
        <w:spacing w:after="180" w:before="360"/>
      </w:pPr>
      <w:r>
        <w:t xml:space="preserve">6. Conclusion</w:t>
      </w:r>
    </w:p>
    <w:p>
      <w:pPr>
        <w:spacing w:after="120" w:line="320"/>
        <w:jc w:val="both"/>
      </w:pPr>
      <w:r>
        <w:t xml:space="preserve">Intermittent strabismus has not had a native computational model because the existing strabismus and fusion modeling traditions each address only one of its two states. We have proposed a three-policy competition framework in which fusion is one of three competing motor policies, and intermittent strabismus is the regime in which their relative costs are nearly balanced. The framework recovers the chronic-strabismus and normal-binocular-vision regimes as parametric extremes of the same model, and produces specific predictions about breakdown latency, recovery hysteresis, distance dependence, treatment response, and developmental progression — predictions that the parent literatures cannot make in isolation.</w:t>
      </w:r>
    </w:p>
    <w:p>
      <w:pPr>
        <w:spacing w:after="120" w:line="320"/>
        <w:jc w:val="both"/>
      </w:pPr>
      <w:r>
        <w:t xml:space="preserve">The framework's primary contribution is not new neural machinery but new organizing structure. It identifies fusion as a competing motor policy whose cost can be measured and modeled, parallel to the eye-of-fixation policies that the strabismus literature already treats competitively. Once fusion is in the competition, intermittent strabismus stops being a residual category and becomes the predicted behavior of a system whose three policies have similar cost. The clinical translation is potentially significant: treatment decisions in intermittent strabismus, currently made on the basis of clinical judgment, become decisions about which cost components to modify and by how much. The developmental trajectory, currently unpredictable in individuals, becomes a function of measurable quantities (fusion fraction, cost-component decomposition) with predictable thresholds.</w:t>
      </w:r>
    </w:p>
    <w:p>
      <w:pPr>
        <w:spacing w:after="120" w:line="320"/>
        <w:jc w:val="both"/>
      </w:pPr>
      <w:r>
        <w:t xml:space="preserve">We have left the realizability gate, the saccadic version-command selection, and the question of vergence gating to companion treatments. The intermittent strabismus framing is, we believe, the place where the three-policy competition makes the strongest case for itself as a contribution distinct from the existing literatures.</w:t>
      </w:r>
    </w:p>
    <w:p>
      <w:pPr>
        <w:pStyle w:val="Heading1"/>
        <w:spacing w:after="180" w:before="360"/>
      </w:pPr>
      <w:r>
        <w:t xml:space="preserve">References</w:t>
      </w:r>
    </w:p>
    <w:p>
      <w:pPr>
        <w:spacing w:after="80" w:line="280"/>
        <w:ind w:left="360" w:hanging="360"/>
        <w:jc w:val="left"/>
      </w:pPr>
      <w:r>
        <w:rPr>
          <w:sz w:val="20"/>
          <w:szCs w:val="20"/>
        </w:rPr>
        <w:t xml:space="preserve">Cotter SA, Mohney BG, Chandler DL, et al. (2014). A randomized trial comparing part-time patching with observation for children 3 to 10 years of age with intermittent exotropia. Ophthalmology 121, 2299–2310.</w:t>
      </w:r>
    </w:p>
    <w:p>
      <w:pPr>
        <w:spacing w:after="80" w:line="280"/>
        <w:ind w:left="360" w:hanging="360"/>
        <w:jc w:val="left"/>
      </w:pPr>
      <w:r>
        <w:rPr>
          <w:sz w:val="20"/>
          <w:szCs w:val="20"/>
        </w:rPr>
        <w:t xml:space="preserve">Das VE, Mustari MJ (2007). Correlation of cross-axis eye movements and motoneuron activity in non-human primates with "A" pattern strabismus. Investigative Ophthalmology &amp; Visual Science 48, 665–674.</w:t>
      </w:r>
    </w:p>
    <w:p>
      <w:pPr>
        <w:spacing w:after="80" w:line="280"/>
        <w:ind w:left="360" w:hanging="360"/>
        <w:jc w:val="left"/>
      </w:pPr>
      <w:r>
        <w:rPr>
          <w:sz w:val="20"/>
          <w:szCs w:val="20"/>
        </w:rPr>
        <w:t xml:space="preserve">Donahue SP, Buckley EG, Christiansen SP, et al. (2014). Difficulties with the report of the Pediatric Eye Disease Investigator Group on intermittent exotropia. Ophthalmology 121, 2306–2308.</w:t>
      </w:r>
    </w:p>
    <w:p>
      <w:pPr>
        <w:spacing w:after="80" w:line="280"/>
        <w:ind w:left="360" w:hanging="360"/>
        <w:jc w:val="left"/>
      </w:pPr>
      <w:r>
        <w:rPr>
          <w:sz w:val="20"/>
          <w:szCs w:val="20"/>
        </w:rPr>
        <w:t xml:space="preserve">Erkelens CJ (2011). A dual visual-local feedback model of the vergence eye movement system. Journal of Vision 11(10):21, 1–14.</w:t>
      </w:r>
    </w:p>
    <w:p>
      <w:pPr>
        <w:spacing w:after="80" w:line="280"/>
        <w:ind w:left="360" w:hanging="360"/>
        <w:jc w:val="left"/>
      </w:pPr>
      <w:r>
        <w:rPr>
          <w:sz w:val="20"/>
          <w:szCs w:val="20"/>
        </w:rPr>
        <w:t xml:space="preserve">Fleuriet J, Walton MMG, Ono S, Mustari MJ (2016). Electrical microstimulation of the superior colliculus in strabismic monkeys. Investigative Ophthalmology &amp; Visual Science 57, 3168–3180.</w:t>
      </w:r>
    </w:p>
    <w:p>
      <w:pPr>
        <w:spacing w:after="80" w:line="280"/>
        <w:ind w:left="360" w:hanging="360"/>
        <w:jc w:val="left"/>
      </w:pPr>
      <w:r>
        <w:rPr>
          <w:sz w:val="20"/>
          <w:szCs w:val="20"/>
        </w:rPr>
        <w:t xml:space="preserve">Fleuriet J, Belloir T, Walton MMG (2025). Saccade-related activity in superior colliculus predicts eye choice for goal-directed saccades in monkeys with strabismus. Investigative Ophthalmology &amp; Visual Science 66:14:46.</w:t>
      </w:r>
    </w:p>
    <w:p>
      <w:pPr>
        <w:spacing w:after="80" w:line="280"/>
        <w:ind w:left="360" w:hanging="360"/>
        <w:jc w:val="left"/>
      </w:pPr>
      <w:r>
        <w:rPr>
          <w:sz w:val="20"/>
          <w:szCs w:val="20"/>
        </w:rPr>
        <w:t xml:space="preserve">Govindan M, Mohney BG, Diehl NN, Burke JP (2005). Incidence and types of childhood exotropia: a population-based study. Ophthalmology 112, 104–108.</w:t>
      </w:r>
    </w:p>
    <w:p>
      <w:pPr>
        <w:spacing w:after="80" w:line="280"/>
        <w:ind w:left="360" w:hanging="360"/>
        <w:jc w:val="left"/>
      </w:pPr>
      <w:r>
        <w:rPr>
          <w:sz w:val="20"/>
          <w:szCs w:val="20"/>
        </w:rPr>
        <w:t xml:space="preserve">Haggerty H, Richardson S, Hrisos S, Strong NP, Clarke MP (2004). The Newcastle Control Score: a new method of grading the severity of intermittent distance exotropia. British Journal of Ophthalmology 88, 233–235.</w:t>
      </w:r>
    </w:p>
    <w:p>
      <w:pPr>
        <w:spacing w:after="80" w:line="280"/>
        <w:ind w:left="360" w:hanging="360"/>
        <w:jc w:val="left"/>
      </w:pPr>
      <w:r>
        <w:rPr>
          <w:sz w:val="20"/>
          <w:szCs w:val="20"/>
        </w:rPr>
        <w:t xml:space="preserve">Hung GK, Semmlow JL (1980). Static behavior of accommodation and vergence: computer simulation of an interactive dual-feedback system. IEEE Transactions on Biomedical Engineering 27, 439–447.</w:t>
      </w:r>
    </w:p>
    <w:p>
      <w:pPr>
        <w:spacing w:after="80" w:line="280"/>
        <w:ind w:left="360" w:hanging="360"/>
        <w:jc w:val="left"/>
      </w:pPr>
      <w:r>
        <w:rPr>
          <w:sz w:val="20"/>
          <w:szCs w:val="20"/>
        </w:rPr>
        <w:t xml:space="preserve">Joshi AC, Das VE (2011). Muscimol inactivation of caudal fastigial nucleus and posterior interposed nucleus in monkeys with strabismus. Journal of Neurophysiology 105, 1927–1937.</w:t>
      </w:r>
    </w:p>
    <w:p>
      <w:pPr>
        <w:spacing w:after="80" w:line="280"/>
        <w:ind w:left="360" w:hanging="360"/>
        <w:jc w:val="left"/>
      </w:pPr>
      <w:r>
        <w:rPr>
          <w:sz w:val="20"/>
          <w:szCs w:val="20"/>
        </w:rPr>
        <w:t xml:space="preserve">Koevoet D, Strauch C, Naber M, Van der Stigchel S (2025). Effort drives saccade selection. eLife 13, RP97760.</w:t>
      </w:r>
    </w:p>
    <w:p>
      <w:pPr>
        <w:spacing w:after="80" w:line="280"/>
        <w:ind w:left="360" w:hanging="360"/>
        <w:jc w:val="left"/>
      </w:pPr>
      <w:r>
        <w:rPr>
          <w:sz w:val="20"/>
          <w:szCs w:val="20"/>
        </w:rPr>
        <w:t xml:space="preserve">Maddox EE (1893). The Clinical Use of Prisms; and the Decentering of Lenses (2nd ed.). John Wright &amp; Co., Bristol.</w:t>
      </w:r>
    </w:p>
    <w:p>
      <w:pPr>
        <w:spacing w:after="80" w:line="280"/>
        <w:ind w:left="360" w:hanging="360"/>
        <w:jc w:val="left"/>
      </w:pPr>
      <w:r>
        <w:rPr>
          <w:sz w:val="20"/>
          <w:szCs w:val="20"/>
        </w:rPr>
        <w:t xml:space="preserve">Mohney BG, Holmes JM (2006). An office-based scale for assessing control in intermittent exotropia. Strabismus 14, 147–150.</w:t>
      </w:r>
    </w:p>
    <w:p>
      <w:pPr>
        <w:spacing w:after="80" w:line="280"/>
        <w:ind w:left="360" w:hanging="360"/>
        <w:jc w:val="left"/>
      </w:pPr>
      <w:r>
        <w:rPr>
          <w:sz w:val="20"/>
          <w:szCs w:val="20"/>
        </w:rPr>
        <w:t xml:space="preserve">Mohney BG (2007). Common forms of childhood strabismus in an incidence cohort. American Journal of Ophthalmology 144, 465–467.</w:t>
      </w:r>
    </w:p>
    <w:p>
      <w:pPr>
        <w:spacing w:after="80" w:line="280"/>
        <w:ind w:left="360" w:hanging="360"/>
        <w:jc w:val="left"/>
      </w:pPr>
      <w:r>
        <w:rPr>
          <w:sz w:val="20"/>
          <w:szCs w:val="20"/>
        </w:rPr>
        <w:t xml:space="preserve">Mohney BG, McKenzie JA, Capo JA, Nusz KJ, Mrazek D, Diehl NN (2014). Mental illness in young adults who had strabismus as children. Pediatrics 122, 1033–1038.</w:t>
      </w:r>
    </w:p>
    <w:p>
      <w:pPr>
        <w:spacing w:after="80" w:line="280"/>
        <w:ind w:left="360" w:hanging="360"/>
        <w:jc w:val="left"/>
      </w:pPr>
      <w:r>
        <w:rPr>
          <w:sz w:val="20"/>
          <w:szCs w:val="20"/>
        </w:rPr>
        <w:t xml:space="preserve">Pallus AC, Walton MMG, Mustari MJ (2023). A competition framework for fixation-preference in strabismus. Vision Research 210, 108269.</w:t>
      </w:r>
    </w:p>
    <w:p>
      <w:pPr>
        <w:spacing w:after="80" w:line="280"/>
        <w:ind w:left="360" w:hanging="360"/>
        <w:jc w:val="left"/>
      </w:pPr>
      <w:r>
        <w:rPr>
          <w:sz w:val="20"/>
          <w:szCs w:val="20"/>
        </w:rPr>
        <w:t xml:space="preserve">Schor CM (1979). The relationship between fusional vergence eye movements and fixation disparity. Vision Research 19, 1359–1367.</w:t>
      </w:r>
    </w:p>
    <w:p>
      <w:pPr>
        <w:spacing w:after="80" w:line="280"/>
        <w:ind w:left="360" w:hanging="360"/>
        <w:jc w:val="left"/>
      </w:pPr>
      <w:r>
        <w:rPr>
          <w:sz w:val="20"/>
          <w:szCs w:val="20"/>
        </w:rPr>
        <w:t xml:space="preserve">Schor CM (1992). A dynamic model of cross-coupling between accommodation and convergence: simulations of step and frequency responses. Optometry and Vision Science 69, 258–269.</w:t>
      </w:r>
    </w:p>
    <w:p>
      <w:pPr>
        <w:spacing w:after="80" w:line="280"/>
        <w:ind w:left="360" w:hanging="360"/>
        <w:jc w:val="left"/>
      </w:pPr>
      <w:r>
        <w:rPr>
          <w:sz w:val="20"/>
          <w:szCs w:val="20"/>
        </w:rPr>
        <w:t xml:space="preserve">Semmlow JL, Hung GK, Ciuffreda KJ (1986). Quantitative assessment of disparity vergence components. Investigative Ophthalmology &amp; Visual Science 27, 558–564.</w:t>
      </w:r>
    </w:p>
    <w:p>
      <w:pPr>
        <w:spacing w:after="80" w:line="280"/>
        <w:ind w:left="360" w:hanging="360"/>
        <w:jc w:val="left"/>
      </w:pPr>
      <w:r>
        <w:rPr>
          <w:sz w:val="20"/>
          <w:szCs w:val="20"/>
        </w:rPr>
        <w:t xml:space="preserve">Walton MMG, Ono S, Mustari MJ (2014). Stimulation of pontine reticular formation in monkeys with strabismus. Investigative Ophthalmology &amp; Visual Science 55, 1612–1620.</w:t>
      </w:r>
    </w:p>
    <w:p>
      <w:pPr>
        <w:spacing w:after="80" w:line="280"/>
        <w:ind w:left="360" w:hanging="360"/>
        <w:jc w:val="left"/>
      </w:pPr>
      <w:r>
        <w:rPr>
          <w:sz w:val="20"/>
          <w:szCs w:val="20"/>
        </w:rPr>
        <w:t xml:space="preserve">Walton MMG, Pallus A, Fleuriet J, Mustari MJ, Tarczy-Hornoch K (2017). Neural mechanisms of oculomotor abnormalities in the infantile strabismus syndrome. Journal of Neurophysiology 118, 280–299.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A8567EE2FE4F4CBE3E2CEF37728AB4" ma:contentTypeVersion="19" ma:contentTypeDescription="Create a new document." ma:contentTypeScope="" ma:versionID="f5b8aadc3f7c65f6dc3afb37322eb8b8">
  <xsd:schema xmlns:xsd="http://www.w3.org/2001/XMLSchema" xmlns:xs="http://www.w3.org/2001/XMLSchema" xmlns:p="http://schemas.microsoft.com/office/2006/metadata/properties" xmlns:ns2="dab830d7-07ee-458a-b886-32578b44a612" xmlns:ns3="a048c95d-56bc-4d9d-b7f4-f756d5a4a43b" targetNamespace="http://schemas.microsoft.com/office/2006/metadata/properties" ma:root="true" ma:fieldsID="d9a2bf2afda756d3cad76b41400145fc" ns2:_="" ns3:_="">
    <xsd:import namespace="dab830d7-07ee-458a-b886-32578b44a612"/>
    <xsd:import namespace="a048c95d-56bc-4d9d-b7f4-f756d5a4a43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b830d7-07ee-458a-b886-32578b44a6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5828c2f-142c-4d14-9ece-bbb868b00d38}" ma:internalName="TaxCatchAll" ma:showField="CatchAllData" ma:web="dab830d7-07ee-458a-b886-32578b44a61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048c95d-56bc-4d9d-b7f4-f756d5a4a43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d1cee91-2f8e-42cc-b1e8-5796d73fb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048c95d-56bc-4d9d-b7f4-f756d5a4a43b">
      <Terms xmlns="http://schemas.microsoft.com/office/infopath/2007/PartnerControls"/>
    </lcf76f155ced4ddcb4097134ff3c332f>
    <TaxCatchAll xmlns="dab830d7-07ee-458a-b886-32578b44a612" xsi:nil="true"/>
  </documentManagement>
</p:properties>
</file>

<file path=customXml/itemProps1.xml><?xml version="1.0" encoding="utf-8"?>
<ds:datastoreItem xmlns:ds="http://schemas.openxmlformats.org/officeDocument/2006/customXml" ds:itemID="{BE2C93AE-5A64-4FF8-A825-2633178E4D06}"/>
</file>

<file path=customXml/itemProps2.xml><?xml version="1.0" encoding="utf-8"?>
<ds:datastoreItem xmlns:ds="http://schemas.openxmlformats.org/officeDocument/2006/customXml" ds:itemID="{C8810EF5-FD67-4A61-A8D9-0BD3425A4E21}"/>
</file>

<file path=customXml/itemProps3.xml><?xml version="1.0" encoding="utf-8"?>
<ds:datastoreItem xmlns:ds="http://schemas.openxmlformats.org/officeDocument/2006/customXml" ds:itemID="{EDEBF684-A5E9-45C6-BB81-CF9541798A3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2026-04-30T19:04:18Z</dcterms:created>
  <dcterms:modified xsi:type="dcterms:W3CDTF">2026-04-30T19:04:18Z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0x010100CDA8567EE2FE4F4CBE3E2CEF37728AB4</vt:lpwstr>
  </property>
</Properties>
</file>