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2F9" w:rsidRDefault="006F5FD0" w:rsidP="006F5FD0">
      <w:pPr>
        <w:autoSpaceDE w:val="0"/>
        <w:autoSpaceDN w:val="0"/>
        <w:adjustRightInd w:val="0"/>
        <w:spacing w:after="0" w:line="240" w:lineRule="auto"/>
        <w:ind w:left="720" w:hanging="720"/>
        <w:jc w:val="center"/>
        <w:rPr>
          <w:b/>
          <w:sz w:val="36"/>
          <w:u w:val="single"/>
        </w:rPr>
      </w:pPr>
      <w:r w:rsidRPr="006F5FD0">
        <w:rPr>
          <w:b/>
          <w:sz w:val="36"/>
          <w:u w:val="single"/>
        </w:rPr>
        <w:t>Variable Description</w:t>
      </w:r>
    </w:p>
    <w:p w:rsidR="006F5FD0" w:rsidRDefault="006F5FD0" w:rsidP="006F5FD0">
      <w:pPr>
        <w:autoSpaceDE w:val="0"/>
        <w:autoSpaceDN w:val="0"/>
        <w:adjustRightInd w:val="0"/>
        <w:spacing w:after="0" w:line="240" w:lineRule="auto"/>
        <w:ind w:left="720" w:hanging="720"/>
        <w:jc w:val="center"/>
        <w:rPr>
          <w:b/>
          <w:sz w:val="36"/>
          <w:u w:val="single"/>
        </w:rPr>
      </w:pPr>
    </w:p>
    <w:p w:rsidR="006F5FD0" w:rsidRPr="006F5FD0" w:rsidRDefault="006F5FD0" w:rsidP="006F5FD0">
      <w:pPr>
        <w:autoSpaceDE w:val="0"/>
        <w:autoSpaceDN w:val="0"/>
        <w:adjustRightInd w:val="0"/>
        <w:spacing w:after="0" w:line="240" w:lineRule="auto"/>
        <w:ind w:left="720" w:hanging="720"/>
        <w:jc w:val="center"/>
        <w:rPr>
          <w:b/>
          <w:sz w:val="36"/>
          <w:u w:val="single"/>
        </w:rPr>
      </w:pPr>
    </w:p>
    <w:tbl>
      <w:tblPr>
        <w:tblStyle w:val="TableGrid"/>
        <w:tblW w:w="13639" w:type="dxa"/>
        <w:tblLook w:val="04A0"/>
      </w:tblPr>
      <w:tblGrid>
        <w:gridCol w:w="2141"/>
        <w:gridCol w:w="6247"/>
        <w:gridCol w:w="5251"/>
      </w:tblGrid>
      <w:tr w:rsidR="00796AAE" w:rsidRPr="00FA7244" w:rsidTr="00542C16">
        <w:tc>
          <w:tcPr>
            <w:tcW w:w="2141" w:type="dxa"/>
          </w:tcPr>
          <w:p w:rsidR="00796AAE" w:rsidRPr="00FA7244" w:rsidRDefault="00FA7B93" w:rsidP="00FA7B93">
            <w:pPr>
              <w:spacing w:line="240" w:lineRule="auto"/>
              <w:jc w:val="center"/>
              <w:rPr>
                <w:b/>
                <w:sz w:val="24"/>
                <w:szCs w:val="24"/>
              </w:rPr>
            </w:pPr>
            <w:r w:rsidRPr="00FA7244">
              <w:rPr>
                <w:b/>
                <w:sz w:val="24"/>
                <w:szCs w:val="24"/>
              </w:rPr>
              <w:t>VARIABLE NAME</w:t>
            </w:r>
          </w:p>
        </w:tc>
        <w:tc>
          <w:tcPr>
            <w:tcW w:w="6247" w:type="dxa"/>
          </w:tcPr>
          <w:p w:rsidR="00796AAE" w:rsidRPr="00FA7244" w:rsidRDefault="00FA7B93" w:rsidP="00FA7B93">
            <w:pPr>
              <w:spacing w:line="240" w:lineRule="auto"/>
              <w:jc w:val="center"/>
              <w:rPr>
                <w:b/>
                <w:sz w:val="24"/>
                <w:szCs w:val="24"/>
              </w:rPr>
            </w:pPr>
            <w:r w:rsidRPr="00FA7244">
              <w:rPr>
                <w:b/>
                <w:sz w:val="24"/>
                <w:szCs w:val="24"/>
              </w:rPr>
              <w:t>VARIABLE DEFINITION</w:t>
            </w:r>
          </w:p>
        </w:tc>
        <w:tc>
          <w:tcPr>
            <w:tcW w:w="5251" w:type="dxa"/>
          </w:tcPr>
          <w:p w:rsidR="00796AAE" w:rsidRPr="00FA7244" w:rsidRDefault="00FA7B93" w:rsidP="00FA7B93">
            <w:pPr>
              <w:spacing w:line="240" w:lineRule="auto"/>
              <w:jc w:val="center"/>
              <w:rPr>
                <w:b/>
                <w:sz w:val="24"/>
                <w:szCs w:val="24"/>
              </w:rPr>
            </w:pPr>
            <w:r w:rsidRPr="00FA7244">
              <w:rPr>
                <w:b/>
                <w:sz w:val="24"/>
                <w:szCs w:val="24"/>
              </w:rPr>
              <w:t>NOTES</w:t>
            </w:r>
          </w:p>
        </w:tc>
      </w:tr>
      <w:tr w:rsidR="00796AAE" w:rsidRPr="00FA7244" w:rsidTr="00542C16">
        <w:tc>
          <w:tcPr>
            <w:tcW w:w="2141" w:type="dxa"/>
          </w:tcPr>
          <w:p w:rsidR="00796AAE" w:rsidRPr="00FA7244" w:rsidRDefault="00796AAE" w:rsidP="005A5341">
            <w:pPr>
              <w:spacing w:line="240" w:lineRule="auto"/>
              <w:rPr>
                <w:sz w:val="24"/>
                <w:szCs w:val="24"/>
              </w:rPr>
            </w:pPr>
            <w:proofErr w:type="spellStart"/>
            <w:r w:rsidRPr="00FA7244">
              <w:rPr>
                <w:sz w:val="24"/>
                <w:szCs w:val="24"/>
              </w:rPr>
              <w:t>name_un</w:t>
            </w:r>
            <w:proofErr w:type="spellEnd"/>
          </w:p>
        </w:tc>
        <w:tc>
          <w:tcPr>
            <w:tcW w:w="6247" w:type="dxa"/>
          </w:tcPr>
          <w:p w:rsidR="00796AAE" w:rsidRPr="00FA7244" w:rsidRDefault="005F4DDC" w:rsidP="005F4DDC">
            <w:pPr>
              <w:spacing w:line="240" w:lineRule="auto"/>
              <w:rPr>
                <w:sz w:val="24"/>
                <w:szCs w:val="24"/>
              </w:rPr>
            </w:pPr>
            <w:r>
              <w:rPr>
                <w:sz w:val="24"/>
                <w:szCs w:val="24"/>
              </w:rPr>
              <w:t>C</w:t>
            </w:r>
            <w:r w:rsidR="00FA7B93" w:rsidRPr="00FA7244">
              <w:rPr>
                <w:sz w:val="24"/>
                <w:szCs w:val="24"/>
              </w:rPr>
              <w:t xml:space="preserve">ountry </w:t>
            </w:r>
            <w:r>
              <w:rPr>
                <w:sz w:val="24"/>
                <w:szCs w:val="24"/>
              </w:rPr>
              <w:t>n</w:t>
            </w:r>
            <w:r w:rsidR="00FA7B93" w:rsidRPr="00FA7244">
              <w:rPr>
                <w:sz w:val="24"/>
                <w:szCs w:val="24"/>
              </w:rPr>
              <w:t>ame</w:t>
            </w:r>
            <w:r>
              <w:rPr>
                <w:sz w:val="24"/>
                <w:szCs w:val="24"/>
              </w:rPr>
              <w:t xml:space="preserve"> from UN classification</w:t>
            </w:r>
          </w:p>
        </w:tc>
        <w:tc>
          <w:tcPr>
            <w:tcW w:w="5251" w:type="dxa"/>
          </w:tcPr>
          <w:p w:rsidR="00796AAE" w:rsidRPr="00FA7244" w:rsidRDefault="00796AAE" w:rsidP="005A5341">
            <w:pPr>
              <w:spacing w:line="240" w:lineRule="auto"/>
              <w:rPr>
                <w:sz w:val="24"/>
                <w:szCs w:val="24"/>
              </w:rPr>
            </w:pPr>
          </w:p>
        </w:tc>
      </w:tr>
      <w:tr w:rsidR="00796AAE" w:rsidRPr="00FA7244" w:rsidTr="00542C16">
        <w:tc>
          <w:tcPr>
            <w:tcW w:w="2141" w:type="dxa"/>
          </w:tcPr>
          <w:p w:rsidR="00796AAE" w:rsidRPr="00FA7244" w:rsidRDefault="00796AAE" w:rsidP="005A5341">
            <w:pPr>
              <w:spacing w:line="240" w:lineRule="auto"/>
              <w:rPr>
                <w:sz w:val="24"/>
                <w:szCs w:val="24"/>
              </w:rPr>
            </w:pPr>
            <w:r w:rsidRPr="00FA7244">
              <w:rPr>
                <w:sz w:val="24"/>
                <w:szCs w:val="24"/>
              </w:rPr>
              <w:t>year</w:t>
            </w:r>
          </w:p>
        </w:tc>
        <w:tc>
          <w:tcPr>
            <w:tcW w:w="6247" w:type="dxa"/>
          </w:tcPr>
          <w:p w:rsidR="00796AAE" w:rsidRPr="00FA7244" w:rsidRDefault="00796AAE" w:rsidP="005A5341">
            <w:pPr>
              <w:spacing w:line="240" w:lineRule="auto"/>
              <w:rPr>
                <w:sz w:val="24"/>
                <w:szCs w:val="24"/>
              </w:rPr>
            </w:pPr>
          </w:p>
        </w:tc>
        <w:tc>
          <w:tcPr>
            <w:tcW w:w="5251" w:type="dxa"/>
          </w:tcPr>
          <w:p w:rsidR="00796AAE" w:rsidRPr="00FA7244" w:rsidRDefault="00E02635" w:rsidP="005A5341">
            <w:pPr>
              <w:spacing w:line="240" w:lineRule="auto"/>
              <w:rPr>
                <w:sz w:val="24"/>
                <w:szCs w:val="24"/>
              </w:rPr>
            </w:pPr>
            <w:r w:rsidRPr="00FA7244">
              <w:rPr>
                <w:sz w:val="24"/>
                <w:szCs w:val="24"/>
              </w:rPr>
              <w:t>1981 - 2005</w:t>
            </w:r>
          </w:p>
        </w:tc>
      </w:tr>
      <w:tr w:rsidR="00796AAE" w:rsidRPr="00FA7244" w:rsidTr="00542C16">
        <w:tc>
          <w:tcPr>
            <w:tcW w:w="2141" w:type="dxa"/>
          </w:tcPr>
          <w:p w:rsidR="00796AAE" w:rsidRPr="00FA7244" w:rsidRDefault="00796AAE" w:rsidP="005A5341">
            <w:pPr>
              <w:spacing w:line="240" w:lineRule="auto"/>
              <w:rPr>
                <w:sz w:val="24"/>
                <w:szCs w:val="24"/>
              </w:rPr>
            </w:pPr>
            <w:proofErr w:type="spellStart"/>
            <w:r w:rsidRPr="00FA7244">
              <w:rPr>
                <w:sz w:val="24"/>
                <w:szCs w:val="24"/>
              </w:rPr>
              <w:t>id_un</w:t>
            </w:r>
            <w:proofErr w:type="spellEnd"/>
          </w:p>
        </w:tc>
        <w:tc>
          <w:tcPr>
            <w:tcW w:w="6247" w:type="dxa"/>
          </w:tcPr>
          <w:p w:rsidR="00796AAE" w:rsidRPr="00FA7244" w:rsidRDefault="005F4DDC" w:rsidP="005A5341">
            <w:pPr>
              <w:spacing w:line="240" w:lineRule="auto"/>
              <w:rPr>
                <w:sz w:val="24"/>
                <w:szCs w:val="24"/>
              </w:rPr>
            </w:pPr>
            <w:r>
              <w:rPr>
                <w:sz w:val="24"/>
                <w:szCs w:val="24"/>
              </w:rPr>
              <w:t>Country i</w:t>
            </w:r>
            <w:r w:rsidR="00E02635" w:rsidRPr="00FA7244">
              <w:rPr>
                <w:sz w:val="24"/>
                <w:szCs w:val="24"/>
              </w:rPr>
              <w:t>dentifier</w:t>
            </w:r>
            <w:r>
              <w:rPr>
                <w:sz w:val="24"/>
                <w:szCs w:val="24"/>
              </w:rPr>
              <w:t xml:space="preserve"> from UN classification</w:t>
            </w:r>
          </w:p>
        </w:tc>
        <w:tc>
          <w:tcPr>
            <w:tcW w:w="5251" w:type="dxa"/>
          </w:tcPr>
          <w:p w:rsidR="00796AAE" w:rsidRPr="00FA7244" w:rsidRDefault="00796AAE" w:rsidP="005A5341">
            <w:pPr>
              <w:spacing w:line="240" w:lineRule="auto"/>
              <w:rPr>
                <w:sz w:val="24"/>
                <w:szCs w:val="24"/>
              </w:rPr>
            </w:pPr>
          </w:p>
        </w:tc>
      </w:tr>
      <w:tr w:rsidR="005A5341" w:rsidRPr="00FA7244" w:rsidTr="00542C16">
        <w:tc>
          <w:tcPr>
            <w:tcW w:w="2141" w:type="dxa"/>
          </w:tcPr>
          <w:p w:rsidR="005A5341" w:rsidRPr="00FA7244" w:rsidRDefault="005A5341" w:rsidP="005A5341">
            <w:pPr>
              <w:spacing w:line="240" w:lineRule="auto"/>
              <w:rPr>
                <w:sz w:val="24"/>
                <w:szCs w:val="24"/>
              </w:rPr>
            </w:pPr>
            <w:proofErr w:type="spellStart"/>
            <w:r w:rsidRPr="00FA7244">
              <w:rPr>
                <w:sz w:val="24"/>
                <w:szCs w:val="24"/>
              </w:rPr>
              <w:t>wb_classif</w:t>
            </w:r>
            <w:proofErr w:type="spellEnd"/>
          </w:p>
        </w:tc>
        <w:tc>
          <w:tcPr>
            <w:tcW w:w="6247" w:type="dxa"/>
          </w:tcPr>
          <w:p w:rsidR="005A5341" w:rsidRPr="00FA7244" w:rsidRDefault="005A5341" w:rsidP="005A5341">
            <w:pPr>
              <w:spacing w:line="240" w:lineRule="auto"/>
              <w:rPr>
                <w:sz w:val="24"/>
                <w:szCs w:val="24"/>
              </w:rPr>
            </w:pPr>
            <w:r w:rsidRPr="00FA7244">
              <w:rPr>
                <w:sz w:val="24"/>
                <w:szCs w:val="24"/>
              </w:rPr>
              <w:t xml:space="preserve">World Bank </w:t>
            </w:r>
            <w:r w:rsidR="005F4DDC">
              <w:rPr>
                <w:sz w:val="24"/>
                <w:szCs w:val="24"/>
              </w:rPr>
              <w:t xml:space="preserve">income group </w:t>
            </w:r>
            <w:r w:rsidRPr="00FA7244">
              <w:rPr>
                <w:sz w:val="24"/>
                <w:szCs w:val="24"/>
              </w:rPr>
              <w:t>classification</w:t>
            </w:r>
          </w:p>
        </w:tc>
        <w:tc>
          <w:tcPr>
            <w:tcW w:w="5251" w:type="dxa"/>
          </w:tcPr>
          <w:p w:rsidR="005A5341" w:rsidRPr="00FA7244" w:rsidRDefault="005A5341" w:rsidP="005A5341">
            <w:pPr>
              <w:spacing w:line="240" w:lineRule="auto"/>
              <w:rPr>
                <w:sz w:val="24"/>
                <w:szCs w:val="24"/>
              </w:rPr>
            </w:pPr>
          </w:p>
        </w:tc>
      </w:tr>
      <w:tr w:rsidR="005A5341" w:rsidRPr="00FA7244" w:rsidTr="00542C16">
        <w:tc>
          <w:tcPr>
            <w:tcW w:w="2141" w:type="dxa"/>
          </w:tcPr>
          <w:p w:rsidR="005A5341" w:rsidRPr="00FA7244" w:rsidRDefault="005A5341" w:rsidP="005A5341">
            <w:pPr>
              <w:spacing w:line="240" w:lineRule="auto"/>
              <w:rPr>
                <w:sz w:val="24"/>
                <w:szCs w:val="24"/>
              </w:rPr>
            </w:pPr>
            <w:r w:rsidRPr="00FA7244">
              <w:rPr>
                <w:sz w:val="24"/>
                <w:szCs w:val="24"/>
              </w:rPr>
              <w:t>region</w:t>
            </w:r>
          </w:p>
        </w:tc>
        <w:tc>
          <w:tcPr>
            <w:tcW w:w="6247" w:type="dxa"/>
          </w:tcPr>
          <w:p w:rsidR="005A5341" w:rsidRPr="00FA7244" w:rsidRDefault="005A5341" w:rsidP="005A5341">
            <w:pPr>
              <w:spacing w:line="240" w:lineRule="auto"/>
              <w:rPr>
                <w:sz w:val="24"/>
                <w:szCs w:val="24"/>
              </w:rPr>
            </w:pPr>
            <w:r w:rsidRPr="00FA7244">
              <w:rPr>
                <w:sz w:val="24"/>
                <w:szCs w:val="24"/>
              </w:rPr>
              <w:t>Region</w:t>
            </w:r>
          </w:p>
        </w:tc>
        <w:tc>
          <w:tcPr>
            <w:tcW w:w="5251" w:type="dxa"/>
          </w:tcPr>
          <w:p w:rsidR="005A5341" w:rsidRPr="00FA7244" w:rsidRDefault="005A5341" w:rsidP="005A5341">
            <w:pPr>
              <w:spacing w:line="240" w:lineRule="auto"/>
              <w:rPr>
                <w:sz w:val="24"/>
                <w:szCs w:val="24"/>
              </w:rPr>
            </w:pPr>
          </w:p>
        </w:tc>
      </w:tr>
      <w:tr w:rsidR="005A5341" w:rsidRPr="00FA7244" w:rsidTr="00542C16">
        <w:tc>
          <w:tcPr>
            <w:tcW w:w="2141" w:type="dxa"/>
          </w:tcPr>
          <w:p w:rsidR="005A5341" w:rsidRPr="00FA7244" w:rsidRDefault="005A5341" w:rsidP="005A5341">
            <w:pPr>
              <w:spacing w:line="240" w:lineRule="auto"/>
              <w:rPr>
                <w:sz w:val="24"/>
                <w:szCs w:val="24"/>
              </w:rPr>
            </w:pPr>
            <w:proofErr w:type="spellStart"/>
            <w:r w:rsidRPr="00FA7244">
              <w:rPr>
                <w:sz w:val="24"/>
                <w:szCs w:val="24"/>
              </w:rPr>
              <w:t>oecd</w:t>
            </w:r>
            <w:proofErr w:type="spellEnd"/>
          </w:p>
        </w:tc>
        <w:tc>
          <w:tcPr>
            <w:tcW w:w="6247" w:type="dxa"/>
          </w:tcPr>
          <w:p w:rsidR="005A5341" w:rsidRPr="00FA7244" w:rsidRDefault="005A5341" w:rsidP="005A5341">
            <w:pPr>
              <w:spacing w:line="240" w:lineRule="auto"/>
              <w:rPr>
                <w:sz w:val="24"/>
                <w:szCs w:val="24"/>
              </w:rPr>
            </w:pPr>
            <w:r w:rsidRPr="00FA7244">
              <w:rPr>
                <w:sz w:val="24"/>
                <w:szCs w:val="24"/>
              </w:rPr>
              <w:t>=1 if OECD country</w:t>
            </w:r>
          </w:p>
        </w:tc>
        <w:tc>
          <w:tcPr>
            <w:tcW w:w="5251" w:type="dxa"/>
          </w:tcPr>
          <w:p w:rsidR="005A5341" w:rsidRPr="00FA7244" w:rsidRDefault="005A5341" w:rsidP="005A5341">
            <w:pPr>
              <w:spacing w:line="240" w:lineRule="auto"/>
              <w:rPr>
                <w:sz w:val="24"/>
                <w:szCs w:val="24"/>
              </w:rPr>
            </w:pPr>
          </w:p>
        </w:tc>
      </w:tr>
      <w:tr w:rsidR="005A5341" w:rsidRPr="00FA7244" w:rsidTr="00542C16">
        <w:tc>
          <w:tcPr>
            <w:tcW w:w="2141" w:type="dxa"/>
          </w:tcPr>
          <w:p w:rsidR="005A5341" w:rsidRPr="00FA7244" w:rsidRDefault="005A5341" w:rsidP="005A5341">
            <w:pPr>
              <w:spacing w:line="240" w:lineRule="auto"/>
              <w:rPr>
                <w:sz w:val="24"/>
                <w:szCs w:val="24"/>
              </w:rPr>
            </w:pPr>
            <w:proofErr w:type="spellStart"/>
            <w:r w:rsidRPr="00FA7244">
              <w:rPr>
                <w:sz w:val="24"/>
                <w:szCs w:val="24"/>
              </w:rPr>
              <w:t>toprate</w:t>
            </w:r>
            <w:proofErr w:type="spellEnd"/>
          </w:p>
        </w:tc>
        <w:tc>
          <w:tcPr>
            <w:tcW w:w="6247" w:type="dxa"/>
          </w:tcPr>
          <w:p w:rsidR="005A5341" w:rsidRPr="00FA7244" w:rsidRDefault="005A5341" w:rsidP="005A5341">
            <w:pPr>
              <w:spacing w:line="240" w:lineRule="auto"/>
              <w:rPr>
                <w:sz w:val="24"/>
                <w:szCs w:val="24"/>
              </w:rPr>
            </w:pPr>
            <w:r w:rsidRPr="00FA7244">
              <w:rPr>
                <w:sz w:val="24"/>
                <w:szCs w:val="24"/>
              </w:rPr>
              <w:t>Top statutory PIT rate (%)</w:t>
            </w:r>
          </w:p>
        </w:tc>
        <w:tc>
          <w:tcPr>
            <w:tcW w:w="5251" w:type="dxa"/>
          </w:tcPr>
          <w:p w:rsidR="005A5341" w:rsidRPr="00FA7244" w:rsidRDefault="005A5341" w:rsidP="005A5341">
            <w:pPr>
              <w:spacing w:line="240" w:lineRule="auto"/>
              <w:rPr>
                <w:sz w:val="24"/>
                <w:szCs w:val="24"/>
              </w:rPr>
            </w:pPr>
            <w:r w:rsidRPr="00FA7244">
              <w:rPr>
                <w:sz w:val="24"/>
                <w:szCs w:val="24"/>
              </w:rPr>
              <w:t>Legally determined marginal tax rate applicable to the top bracket of the personal income tax schedule.</w:t>
            </w:r>
          </w:p>
        </w:tc>
      </w:tr>
      <w:tr w:rsidR="005F4DDC" w:rsidRPr="00FA7244" w:rsidTr="00A84FC1">
        <w:tc>
          <w:tcPr>
            <w:tcW w:w="2141" w:type="dxa"/>
          </w:tcPr>
          <w:p w:rsidR="005F4DDC" w:rsidRPr="00FA7244" w:rsidRDefault="005F4DDC" w:rsidP="00A84FC1">
            <w:pPr>
              <w:spacing w:line="240" w:lineRule="auto"/>
              <w:rPr>
                <w:sz w:val="24"/>
                <w:szCs w:val="24"/>
              </w:rPr>
            </w:pPr>
          </w:p>
        </w:tc>
        <w:tc>
          <w:tcPr>
            <w:tcW w:w="6247" w:type="dxa"/>
          </w:tcPr>
          <w:p w:rsidR="005F4DDC" w:rsidRPr="00FA7244" w:rsidRDefault="005F4DDC" w:rsidP="00A84FC1">
            <w:pPr>
              <w:spacing w:line="240" w:lineRule="auto"/>
              <w:rPr>
                <w:sz w:val="24"/>
                <w:szCs w:val="24"/>
              </w:rPr>
            </w:pPr>
          </w:p>
        </w:tc>
        <w:tc>
          <w:tcPr>
            <w:tcW w:w="5251" w:type="dxa"/>
          </w:tcPr>
          <w:p w:rsidR="005F4DDC" w:rsidRPr="00FA7244" w:rsidRDefault="005F4DDC" w:rsidP="00A84FC1">
            <w:pPr>
              <w:spacing w:line="240" w:lineRule="auto"/>
              <w:rPr>
                <w:sz w:val="24"/>
                <w:szCs w:val="24"/>
              </w:rPr>
            </w:pPr>
          </w:p>
        </w:tc>
      </w:tr>
      <w:tr w:rsidR="005F4DDC" w:rsidRPr="00FA7244" w:rsidTr="00A84FC1">
        <w:tc>
          <w:tcPr>
            <w:tcW w:w="2141" w:type="dxa"/>
          </w:tcPr>
          <w:p w:rsidR="005F4DDC" w:rsidRPr="00FA7244" w:rsidRDefault="005F4DDC" w:rsidP="007304CB">
            <w:pPr>
              <w:spacing w:line="240" w:lineRule="auto"/>
              <w:rPr>
                <w:sz w:val="24"/>
                <w:szCs w:val="24"/>
              </w:rPr>
            </w:pPr>
            <w:proofErr w:type="spellStart"/>
            <w:r w:rsidRPr="00FA7244">
              <w:rPr>
                <w:sz w:val="24"/>
                <w:szCs w:val="24"/>
              </w:rPr>
              <w:t>AR_</w:t>
            </w:r>
            <w:r w:rsidR="007304CB">
              <w:rPr>
                <w:sz w:val="24"/>
                <w:szCs w:val="24"/>
              </w:rPr>
              <w:t>y</w:t>
            </w:r>
            <w:proofErr w:type="spellEnd"/>
          </w:p>
        </w:tc>
        <w:tc>
          <w:tcPr>
            <w:tcW w:w="6247" w:type="dxa"/>
          </w:tcPr>
          <w:p w:rsidR="005F4DDC" w:rsidRPr="00FA7244" w:rsidRDefault="005F4DDC" w:rsidP="00D73D9E">
            <w:pPr>
              <w:spacing w:line="240" w:lineRule="auto"/>
              <w:jc w:val="left"/>
              <w:rPr>
                <w:sz w:val="24"/>
                <w:szCs w:val="24"/>
              </w:rPr>
            </w:pPr>
            <w:r w:rsidRPr="00FA7244">
              <w:rPr>
                <w:sz w:val="24"/>
                <w:szCs w:val="24"/>
              </w:rPr>
              <w:t xml:space="preserve">Average tax rate for income equivalent to </w:t>
            </w:r>
            <w:r w:rsidRPr="00FA7244">
              <w:rPr>
                <w:i/>
                <w:sz w:val="24"/>
                <w:szCs w:val="24"/>
              </w:rPr>
              <w:t>y</w:t>
            </w:r>
          </w:p>
        </w:tc>
        <w:tc>
          <w:tcPr>
            <w:tcW w:w="5251" w:type="dxa"/>
            <w:vMerge w:val="restart"/>
            <w:vAlign w:val="center"/>
          </w:tcPr>
          <w:p w:rsidR="00373C8D" w:rsidRDefault="005F4DDC" w:rsidP="00373C8D">
            <w:pPr>
              <w:spacing w:line="240" w:lineRule="auto"/>
              <w:jc w:val="left"/>
              <w:rPr>
                <w:sz w:val="24"/>
                <w:szCs w:val="24"/>
              </w:rPr>
            </w:pPr>
            <w:r w:rsidRPr="00FA7244">
              <w:rPr>
                <w:sz w:val="24"/>
                <w:szCs w:val="24"/>
              </w:rPr>
              <w:t>These variables adjust for allowances/deductions</w:t>
            </w:r>
            <w:r w:rsidR="00F247EA">
              <w:rPr>
                <w:sz w:val="24"/>
                <w:szCs w:val="24"/>
              </w:rPr>
              <w:t>,</w:t>
            </w:r>
            <w:r w:rsidRPr="00FA7244">
              <w:rPr>
                <w:sz w:val="24"/>
                <w:szCs w:val="24"/>
              </w:rPr>
              <w:t xml:space="preserve"> tax credits</w:t>
            </w:r>
            <w:r w:rsidR="00F247EA">
              <w:rPr>
                <w:sz w:val="24"/>
                <w:szCs w:val="24"/>
              </w:rPr>
              <w:t>, significant local taxes and other main rules of the tax code</w:t>
            </w:r>
            <w:r w:rsidRPr="00FA7244">
              <w:rPr>
                <w:sz w:val="24"/>
                <w:szCs w:val="24"/>
              </w:rPr>
              <w:t xml:space="preserve">. </w:t>
            </w:r>
          </w:p>
          <w:p w:rsidR="00373C8D" w:rsidRDefault="00373C8D" w:rsidP="00373C8D">
            <w:pPr>
              <w:spacing w:line="240" w:lineRule="auto"/>
              <w:jc w:val="left"/>
              <w:rPr>
                <w:sz w:val="24"/>
                <w:szCs w:val="24"/>
              </w:rPr>
            </w:pPr>
            <w:r>
              <w:rPr>
                <w:sz w:val="24"/>
                <w:szCs w:val="24"/>
              </w:rPr>
              <w:t xml:space="preserve">They do not adjust for deductions, exemptions, and credits that depend on taxpayer specific characteristics (for example, no adjustment is made for child credits). </w:t>
            </w:r>
          </w:p>
          <w:p w:rsidR="005F4DDC" w:rsidRPr="00FA7244" w:rsidRDefault="00F247EA" w:rsidP="00191DA5">
            <w:pPr>
              <w:spacing w:line="240" w:lineRule="auto"/>
              <w:jc w:val="left"/>
              <w:rPr>
                <w:sz w:val="24"/>
                <w:szCs w:val="24"/>
              </w:rPr>
            </w:pPr>
            <w:r>
              <w:rPr>
                <w:sz w:val="24"/>
                <w:szCs w:val="24"/>
              </w:rPr>
              <w:t>The rates do not account for evasion/avoidance. In other words, t</w:t>
            </w:r>
            <w:r w:rsidR="005F4DDC" w:rsidRPr="00FA7244">
              <w:rPr>
                <w:sz w:val="24"/>
                <w:szCs w:val="24"/>
              </w:rPr>
              <w:t xml:space="preserve">hey represent </w:t>
            </w:r>
            <w:r>
              <w:rPr>
                <w:sz w:val="24"/>
                <w:szCs w:val="24"/>
              </w:rPr>
              <w:t xml:space="preserve">the rates individuals </w:t>
            </w:r>
            <w:r w:rsidR="00191DA5">
              <w:rPr>
                <w:sz w:val="24"/>
                <w:szCs w:val="24"/>
              </w:rPr>
              <w:t>would pay if they declared 100% of income.</w:t>
            </w:r>
            <w:r>
              <w:rPr>
                <w:sz w:val="24"/>
                <w:szCs w:val="24"/>
              </w:rPr>
              <w:t xml:space="preserve">  </w:t>
            </w:r>
            <w:proofErr w:type="gramStart"/>
            <w:r w:rsidR="005F4DDC" w:rsidRPr="005F4DDC">
              <w:rPr>
                <w:i/>
                <w:sz w:val="24"/>
                <w:szCs w:val="24"/>
              </w:rPr>
              <w:t>y</w:t>
            </w:r>
            <w:proofErr w:type="gramEnd"/>
            <w:r w:rsidR="005F4DDC">
              <w:rPr>
                <w:sz w:val="24"/>
                <w:szCs w:val="24"/>
              </w:rPr>
              <w:t xml:space="preserve"> is the level of income equivalent to country’s </w:t>
            </w:r>
            <w:r w:rsidR="00373C8D">
              <w:rPr>
                <w:sz w:val="24"/>
                <w:szCs w:val="24"/>
              </w:rPr>
              <w:t xml:space="preserve">per capita </w:t>
            </w:r>
            <w:r w:rsidR="005F4DDC">
              <w:rPr>
                <w:sz w:val="24"/>
                <w:szCs w:val="24"/>
              </w:rPr>
              <w:t>GDP in local currency</w:t>
            </w:r>
            <w:r w:rsidR="00373C8D">
              <w:rPr>
                <w:sz w:val="24"/>
                <w:szCs w:val="24"/>
              </w:rPr>
              <w:t>.</w:t>
            </w:r>
          </w:p>
        </w:tc>
      </w:tr>
      <w:tr w:rsidR="005F4DDC" w:rsidRPr="00FA7244" w:rsidTr="00A84FC1">
        <w:tc>
          <w:tcPr>
            <w:tcW w:w="2141" w:type="dxa"/>
          </w:tcPr>
          <w:p w:rsidR="005F4DDC" w:rsidRPr="00FA7244" w:rsidRDefault="005F4DDC" w:rsidP="007304CB">
            <w:pPr>
              <w:spacing w:line="240" w:lineRule="auto"/>
              <w:rPr>
                <w:sz w:val="24"/>
                <w:szCs w:val="24"/>
              </w:rPr>
            </w:pPr>
            <w:r w:rsidRPr="00FA7244">
              <w:rPr>
                <w:sz w:val="24"/>
                <w:szCs w:val="24"/>
              </w:rPr>
              <w:t>AR_</w:t>
            </w:r>
            <w:r w:rsidR="007304CB">
              <w:rPr>
                <w:sz w:val="24"/>
                <w:szCs w:val="24"/>
              </w:rPr>
              <w:t>2y</w:t>
            </w:r>
          </w:p>
        </w:tc>
        <w:tc>
          <w:tcPr>
            <w:tcW w:w="6247" w:type="dxa"/>
          </w:tcPr>
          <w:p w:rsidR="005F4DDC" w:rsidRPr="00FA7244" w:rsidRDefault="005F4DDC" w:rsidP="00D73D9E">
            <w:pPr>
              <w:spacing w:line="240" w:lineRule="auto"/>
              <w:jc w:val="left"/>
              <w:rPr>
                <w:sz w:val="24"/>
                <w:szCs w:val="24"/>
              </w:rPr>
            </w:pPr>
            <w:r w:rsidRPr="00FA7244">
              <w:rPr>
                <w:sz w:val="24"/>
                <w:szCs w:val="24"/>
              </w:rPr>
              <w:t xml:space="preserve">Average tax rate for </w:t>
            </w:r>
            <w:r w:rsidR="00D73D9E" w:rsidRPr="00FA7244">
              <w:rPr>
                <w:sz w:val="24"/>
                <w:szCs w:val="24"/>
              </w:rPr>
              <w:t xml:space="preserve">income equivalent to </w:t>
            </w:r>
            <w:r w:rsidRPr="00FA7244">
              <w:rPr>
                <w:sz w:val="24"/>
                <w:szCs w:val="24"/>
              </w:rPr>
              <w:t>2</w:t>
            </w:r>
            <w:r w:rsidRPr="00FA7244">
              <w:rPr>
                <w:i/>
                <w:sz w:val="24"/>
                <w:szCs w:val="24"/>
              </w:rPr>
              <w:t>y</w:t>
            </w:r>
          </w:p>
        </w:tc>
        <w:tc>
          <w:tcPr>
            <w:tcW w:w="5251" w:type="dxa"/>
            <w:vMerge/>
          </w:tcPr>
          <w:p w:rsidR="005F4DDC" w:rsidRPr="00FA7244" w:rsidRDefault="005F4DDC" w:rsidP="00A84FC1">
            <w:pPr>
              <w:spacing w:line="240" w:lineRule="auto"/>
              <w:rPr>
                <w:sz w:val="24"/>
                <w:szCs w:val="24"/>
              </w:rPr>
            </w:pPr>
          </w:p>
        </w:tc>
      </w:tr>
      <w:tr w:rsidR="005F4DDC" w:rsidRPr="00FA7244" w:rsidTr="00A84FC1">
        <w:tc>
          <w:tcPr>
            <w:tcW w:w="2141" w:type="dxa"/>
          </w:tcPr>
          <w:p w:rsidR="005F4DDC" w:rsidRPr="00FA7244" w:rsidRDefault="005F4DDC" w:rsidP="007304CB">
            <w:pPr>
              <w:spacing w:line="240" w:lineRule="auto"/>
              <w:rPr>
                <w:sz w:val="24"/>
                <w:szCs w:val="24"/>
              </w:rPr>
            </w:pPr>
            <w:r w:rsidRPr="00FA7244">
              <w:rPr>
                <w:sz w:val="24"/>
                <w:szCs w:val="24"/>
              </w:rPr>
              <w:t>AR_</w:t>
            </w:r>
            <w:r w:rsidR="007304CB">
              <w:rPr>
                <w:sz w:val="24"/>
                <w:szCs w:val="24"/>
              </w:rPr>
              <w:t>3y</w:t>
            </w:r>
          </w:p>
        </w:tc>
        <w:tc>
          <w:tcPr>
            <w:tcW w:w="6247" w:type="dxa"/>
          </w:tcPr>
          <w:p w:rsidR="005F4DDC" w:rsidRPr="00FA7244" w:rsidRDefault="005F4DDC" w:rsidP="00D73D9E">
            <w:pPr>
              <w:spacing w:line="240" w:lineRule="auto"/>
              <w:jc w:val="left"/>
              <w:rPr>
                <w:sz w:val="24"/>
                <w:szCs w:val="24"/>
              </w:rPr>
            </w:pPr>
            <w:r w:rsidRPr="00FA7244">
              <w:rPr>
                <w:sz w:val="24"/>
                <w:szCs w:val="24"/>
              </w:rPr>
              <w:t xml:space="preserve">Average tax rate for </w:t>
            </w:r>
            <w:r w:rsidR="00D73D9E" w:rsidRPr="00FA7244">
              <w:rPr>
                <w:sz w:val="24"/>
                <w:szCs w:val="24"/>
              </w:rPr>
              <w:t xml:space="preserve">income equivalent to </w:t>
            </w:r>
            <w:r w:rsidRPr="00FA7244">
              <w:rPr>
                <w:sz w:val="24"/>
                <w:szCs w:val="24"/>
              </w:rPr>
              <w:t>3</w:t>
            </w:r>
            <w:r w:rsidRPr="00FA7244">
              <w:rPr>
                <w:i/>
                <w:sz w:val="24"/>
                <w:szCs w:val="24"/>
              </w:rPr>
              <w:t>y</w:t>
            </w:r>
          </w:p>
        </w:tc>
        <w:tc>
          <w:tcPr>
            <w:tcW w:w="5251" w:type="dxa"/>
            <w:vMerge/>
          </w:tcPr>
          <w:p w:rsidR="005F4DDC" w:rsidRPr="00FA7244" w:rsidRDefault="005F4DDC" w:rsidP="00A84FC1">
            <w:pPr>
              <w:spacing w:line="240" w:lineRule="auto"/>
              <w:rPr>
                <w:sz w:val="24"/>
                <w:szCs w:val="24"/>
              </w:rPr>
            </w:pPr>
          </w:p>
        </w:tc>
      </w:tr>
      <w:tr w:rsidR="005F4DDC" w:rsidRPr="00FA7244" w:rsidTr="00A84FC1">
        <w:tc>
          <w:tcPr>
            <w:tcW w:w="2141" w:type="dxa"/>
          </w:tcPr>
          <w:p w:rsidR="005F4DDC" w:rsidRPr="00FA7244" w:rsidRDefault="005F4DDC" w:rsidP="007304CB">
            <w:pPr>
              <w:spacing w:line="240" w:lineRule="auto"/>
              <w:rPr>
                <w:sz w:val="24"/>
                <w:szCs w:val="24"/>
              </w:rPr>
            </w:pPr>
            <w:r w:rsidRPr="00FA7244">
              <w:rPr>
                <w:sz w:val="24"/>
                <w:szCs w:val="24"/>
              </w:rPr>
              <w:t>AR_</w:t>
            </w:r>
            <w:r w:rsidR="007304CB">
              <w:rPr>
                <w:sz w:val="24"/>
                <w:szCs w:val="24"/>
              </w:rPr>
              <w:t>4y</w:t>
            </w:r>
          </w:p>
        </w:tc>
        <w:tc>
          <w:tcPr>
            <w:tcW w:w="6247" w:type="dxa"/>
          </w:tcPr>
          <w:p w:rsidR="005F4DDC" w:rsidRPr="00FA7244" w:rsidRDefault="005F4DDC" w:rsidP="00D73D9E">
            <w:pPr>
              <w:spacing w:line="240" w:lineRule="auto"/>
              <w:jc w:val="left"/>
              <w:rPr>
                <w:sz w:val="24"/>
                <w:szCs w:val="24"/>
              </w:rPr>
            </w:pPr>
            <w:r w:rsidRPr="00FA7244">
              <w:rPr>
                <w:sz w:val="24"/>
                <w:szCs w:val="24"/>
              </w:rPr>
              <w:t xml:space="preserve">Average tax rate for </w:t>
            </w:r>
            <w:r w:rsidR="00D73D9E" w:rsidRPr="00FA7244">
              <w:rPr>
                <w:sz w:val="24"/>
                <w:szCs w:val="24"/>
              </w:rPr>
              <w:t xml:space="preserve">income equivalent to </w:t>
            </w:r>
            <w:r w:rsidRPr="00FA7244">
              <w:rPr>
                <w:sz w:val="24"/>
                <w:szCs w:val="24"/>
              </w:rPr>
              <w:t>4</w:t>
            </w:r>
            <w:r w:rsidRPr="00FA7244">
              <w:rPr>
                <w:i/>
                <w:sz w:val="24"/>
                <w:szCs w:val="24"/>
              </w:rPr>
              <w:t>y</w:t>
            </w:r>
          </w:p>
        </w:tc>
        <w:tc>
          <w:tcPr>
            <w:tcW w:w="5251" w:type="dxa"/>
            <w:vMerge/>
          </w:tcPr>
          <w:p w:rsidR="005F4DDC" w:rsidRPr="00FA7244" w:rsidRDefault="005F4DDC" w:rsidP="00A84FC1">
            <w:pPr>
              <w:spacing w:line="240" w:lineRule="auto"/>
              <w:rPr>
                <w:sz w:val="24"/>
                <w:szCs w:val="24"/>
              </w:rPr>
            </w:pPr>
          </w:p>
        </w:tc>
      </w:tr>
      <w:tr w:rsidR="005F4DDC" w:rsidRPr="00FA7244" w:rsidTr="00A84FC1">
        <w:tc>
          <w:tcPr>
            <w:tcW w:w="2141" w:type="dxa"/>
          </w:tcPr>
          <w:p w:rsidR="005F4DDC" w:rsidRPr="00FA7244" w:rsidRDefault="005F4DDC" w:rsidP="007304CB">
            <w:pPr>
              <w:spacing w:line="240" w:lineRule="auto"/>
              <w:rPr>
                <w:sz w:val="24"/>
                <w:szCs w:val="24"/>
              </w:rPr>
            </w:pPr>
            <w:proofErr w:type="spellStart"/>
            <w:r w:rsidRPr="00FA7244">
              <w:rPr>
                <w:sz w:val="24"/>
                <w:szCs w:val="24"/>
              </w:rPr>
              <w:t>MR_</w:t>
            </w:r>
            <w:r w:rsidR="007304CB">
              <w:rPr>
                <w:sz w:val="24"/>
                <w:szCs w:val="24"/>
              </w:rPr>
              <w:t>y</w:t>
            </w:r>
            <w:proofErr w:type="spellEnd"/>
          </w:p>
        </w:tc>
        <w:tc>
          <w:tcPr>
            <w:tcW w:w="6247" w:type="dxa"/>
          </w:tcPr>
          <w:p w:rsidR="005F4DDC" w:rsidRPr="00FA7244" w:rsidRDefault="005F4DDC" w:rsidP="005F4DDC">
            <w:pPr>
              <w:spacing w:line="240" w:lineRule="auto"/>
              <w:jc w:val="left"/>
              <w:rPr>
                <w:sz w:val="24"/>
                <w:szCs w:val="24"/>
              </w:rPr>
            </w:pPr>
            <w:r>
              <w:rPr>
                <w:sz w:val="24"/>
                <w:szCs w:val="24"/>
              </w:rPr>
              <w:t>Marginal</w:t>
            </w:r>
            <w:r w:rsidRPr="00FA7244">
              <w:rPr>
                <w:sz w:val="24"/>
                <w:szCs w:val="24"/>
              </w:rPr>
              <w:t xml:space="preserve"> tax rate </w:t>
            </w:r>
            <w:r w:rsidR="00D73D9E" w:rsidRPr="00FA7244">
              <w:rPr>
                <w:sz w:val="24"/>
                <w:szCs w:val="24"/>
              </w:rPr>
              <w:t>for income equivalent to</w:t>
            </w:r>
            <w:r w:rsidRPr="00FA7244">
              <w:rPr>
                <w:sz w:val="24"/>
                <w:szCs w:val="24"/>
              </w:rPr>
              <w:t xml:space="preserve"> </w:t>
            </w:r>
            <w:r w:rsidRPr="00FA7244">
              <w:rPr>
                <w:i/>
                <w:sz w:val="24"/>
                <w:szCs w:val="24"/>
              </w:rPr>
              <w:t>y</w:t>
            </w:r>
          </w:p>
        </w:tc>
        <w:tc>
          <w:tcPr>
            <w:tcW w:w="5251" w:type="dxa"/>
            <w:vMerge/>
          </w:tcPr>
          <w:p w:rsidR="005F4DDC" w:rsidRPr="00FA7244" w:rsidRDefault="005F4DDC" w:rsidP="00A84FC1">
            <w:pPr>
              <w:spacing w:line="240" w:lineRule="auto"/>
              <w:rPr>
                <w:sz w:val="24"/>
                <w:szCs w:val="24"/>
              </w:rPr>
            </w:pPr>
          </w:p>
        </w:tc>
      </w:tr>
      <w:tr w:rsidR="005F4DDC" w:rsidRPr="00FA7244" w:rsidTr="00A84FC1">
        <w:tc>
          <w:tcPr>
            <w:tcW w:w="2141" w:type="dxa"/>
          </w:tcPr>
          <w:p w:rsidR="005F4DDC" w:rsidRPr="00FA7244" w:rsidRDefault="005F4DDC" w:rsidP="007304CB">
            <w:pPr>
              <w:spacing w:line="240" w:lineRule="auto"/>
              <w:rPr>
                <w:sz w:val="24"/>
                <w:szCs w:val="24"/>
              </w:rPr>
            </w:pPr>
            <w:r w:rsidRPr="00FA7244">
              <w:rPr>
                <w:sz w:val="24"/>
                <w:szCs w:val="24"/>
              </w:rPr>
              <w:t>MR_</w:t>
            </w:r>
            <w:r w:rsidR="007304CB">
              <w:rPr>
                <w:sz w:val="24"/>
                <w:szCs w:val="24"/>
              </w:rPr>
              <w:t>2y</w:t>
            </w:r>
          </w:p>
        </w:tc>
        <w:tc>
          <w:tcPr>
            <w:tcW w:w="6247" w:type="dxa"/>
          </w:tcPr>
          <w:p w:rsidR="005F4DDC" w:rsidRPr="00FA7244" w:rsidRDefault="005F4DDC" w:rsidP="005F4DDC">
            <w:pPr>
              <w:spacing w:line="240" w:lineRule="auto"/>
              <w:jc w:val="left"/>
              <w:rPr>
                <w:sz w:val="24"/>
                <w:szCs w:val="24"/>
              </w:rPr>
            </w:pPr>
            <w:r w:rsidRPr="00FA7244">
              <w:rPr>
                <w:sz w:val="24"/>
                <w:szCs w:val="24"/>
              </w:rPr>
              <w:t xml:space="preserve">Marginal tax rate </w:t>
            </w:r>
            <w:r w:rsidR="00D73D9E" w:rsidRPr="00FA7244">
              <w:rPr>
                <w:sz w:val="24"/>
                <w:szCs w:val="24"/>
              </w:rPr>
              <w:t xml:space="preserve">for income equivalent to </w:t>
            </w:r>
            <w:r w:rsidRPr="00FA7244">
              <w:rPr>
                <w:sz w:val="24"/>
                <w:szCs w:val="24"/>
              </w:rPr>
              <w:t>2</w:t>
            </w:r>
            <w:r w:rsidRPr="00FA7244">
              <w:rPr>
                <w:i/>
                <w:sz w:val="24"/>
                <w:szCs w:val="24"/>
              </w:rPr>
              <w:t>y</w:t>
            </w:r>
          </w:p>
        </w:tc>
        <w:tc>
          <w:tcPr>
            <w:tcW w:w="5251" w:type="dxa"/>
            <w:vMerge/>
          </w:tcPr>
          <w:p w:rsidR="005F4DDC" w:rsidRPr="00FA7244" w:rsidRDefault="005F4DDC" w:rsidP="00A84FC1">
            <w:pPr>
              <w:spacing w:line="240" w:lineRule="auto"/>
              <w:rPr>
                <w:sz w:val="24"/>
                <w:szCs w:val="24"/>
              </w:rPr>
            </w:pPr>
          </w:p>
        </w:tc>
      </w:tr>
      <w:tr w:rsidR="005F4DDC" w:rsidRPr="00FA7244" w:rsidTr="00A84FC1">
        <w:tc>
          <w:tcPr>
            <w:tcW w:w="2141" w:type="dxa"/>
          </w:tcPr>
          <w:p w:rsidR="005F4DDC" w:rsidRPr="00FA7244" w:rsidRDefault="005F4DDC" w:rsidP="007304CB">
            <w:pPr>
              <w:spacing w:line="240" w:lineRule="auto"/>
              <w:rPr>
                <w:sz w:val="24"/>
                <w:szCs w:val="24"/>
              </w:rPr>
            </w:pPr>
            <w:r w:rsidRPr="00FA7244">
              <w:rPr>
                <w:sz w:val="24"/>
                <w:szCs w:val="24"/>
              </w:rPr>
              <w:t>MR_</w:t>
            </w:r>
            <w:r w:rsidR="007304CB">
              <w:rPr>
                <w:sz w:val="24"/>
                <w:szCs w:val="24"/>
              </w:rPr>
              <w:t>3y</w:t>
            </w:r>
          </w:p>
        </w:tc>
        <w:tc>
          <w:tcPr>
            <w:tcW w:w="6247" w:type="dxa"/>
          </w:tcPr>
          <w:p w:rsidR="005F4DDC" w:rsidRPr="00FA7244" w:rsidRDefault="005F4DDC" w:rsidP="005F4DDC">
            <w:pPr>
              <w:spacing w:line="240" w:lineRule="auto"/>
              <w:jc w:val="left"/>
              <w:rPr>
                <w:sz w:val="24"/>
                <w:szCs w:val="24"/>
              </w:rPr>
            </w:pPr>
            <w:r w:rsidRPr="00FA7244">
              <w:rPr>
                <w:sz w:val="24"/>
                <w:szCs w:val="24"/>
              </w:rPr>
              <w:t xml:space="preserve">Marginal tax rate </w:t>
            </w:r>
            <w:r w:rsidR="00D73D9E" w:rsidRPr="00FA7244">
              <w:rPr>
                <w:sz w:val="24"/>
                <w:szCs w:val="24"/>
              </w:rPr>
              <w:t xml:space="preserve">for income equivalent to </w:t>
            </w:r>
            <w:r w:rsidRPr="00FA7244">
              <w:rPr>
                <w:sz w:val="24"/>
                <w:szCs w:val="24"/>
              </w:rPr>
              <w:t>3</w:t>
            </w:r>
            <w:r w:rsidRPr="00FA7244">
              <w:rPr>
                <w:i/>
                <w:sz w:val="24"/>
                <w:szCs w:val="24"/>
              </w:rPr>
              <w:t>y</w:t>
            </w:r>
          </w:p>
        </w:tc>
        <w:tc>
          <w:tcPr>
            <w:tcW w:w="5251" w:type="dxa"/>
            <w:vMerge/>
          </w:tcPr>
          <w:p w:rsidR="005F4DDC" w:rsidRPr="00FA7244" w:rsidRDefault="005F4DDC" w:rsidP="00A84FC1">
            <w:pPr>
              <w:spacing w:line="240" w:lineRule="auto"/>
              <w:rPr>
                <w:sz w:val="24"/>
                <w:szCs w:val="24"/>
              </w:rPr>
            </w:pPr>
          </w:p>
        </w:tc>
      </w:tr>
      <w:tr w:rsidR="005F4DDC" w:rsidRPr="00FA7244" w:rsidTr="00A84FC1">
        <w:tc>
          <w:tcPr>
            <w:tcW w:w="2141" w:type="dxa"/>
          </w:tcPr>
          <w:p w:rsidR="005F4DDC" w:rsidRPr="00FA7244" w:rsidRDefault="005F4DDC" w:rsidP="007304CB">
            <w:pPr>
              <w:spacing w:line="240" w:lineRule="auto"/>
              <w:rPr>
                <w:sz w:val="24"/>
                <w:szCs w:val="24"/>
              </w:rPr>
            </w:pPr>
            <w:r w:rsidRPr="00FA7244">
              <w:rPr>
                <w:sz w:val="24"/>
                <w:szCs w:val="24"/>
              </w:rPr>
              <w:t>MR_</w:t>
            </w:r>
            <w:r w:rsidR="007304CB">
              <w:rPr>
                <w:sz w:val="24"/>
                <w:szCs w:val="24"/>
              </w:rPr>
              <w:t>4y</w:t>
            </w:r>
          </w:p>
        </w:tc>
        <w:tc>
          <w:tcPr>
            <w:tcW w:w="6247" w:type="dxa"/>
          </w:tcPr>
          <w:p w:rsidR="005F4DDC" w:rsidRPr="00FA7244" w:rsidRDefault="005F4DDC" w:rsidP="005F4DDC">
            <w:pPr>
              <w:spacing w:line="240" w:lineRule="auto"/>
              <w:jc w:val="left"/>
              <w:rPr>
                <w:sz w:val="24"/>
                <w:szCs w:val="24"/>
              </w:rPr>
            </w:pPr>
            <w:r w:rsidRPr="00FA7244">
              <w:rPr>
                <w:sz w:val="24"/>
                <w:szCs w:val="24"/>
              </w:rPr>
              <w:t xml:space="preserve">Marginal tax rate </w:t>
            </w:r>
            <w:r w:rsidR="00D73D9E" w:rsidRPr="00FA7244">
              <w:rPr>
                <w:sz w:val="24"/>
                <w:szCs w:val="24"/>
              </w:rPr>
              <w:t xml:space="preserve">for income equivalent to </w:t>
            </w:r>
            <w:r w:rsidRPr="00FA7244">
              <w:rPr>
                <w:sz w:val="24"/>
                <w:szCs w:val="24"/>
              </w:rPr>
              <w:t>4</w:t>
            </w:r>
            <w:r w:rsidRPr="00FA7244">
              <w:rPr>
                <w:i/>
                <w:sz w:val="24"/>
                <w:szCs w:val="24"/>
              </w:rPr>
              <w:t>y</w:t>
            </w:r>
          </w:p>
        </w:tc>
        <w:tc>
          <w:tcPr>
            <w:tcW w:w="5251" w:type="dxa"/>
            <w:vMerge/>
          </w:tcPr>
          <w:p w:rsidR="005F4DDC" w:rsidRPr="00FA7244" w:rsidRDefault="005F4DDC" w:rsidP="00A84FC1">
            <w:pPr>
              <w:spacing w:line="240" w:lineRule="auto"/>
              <w:rPr>
                <w:sz w:val="24"/>
                <w:szCs w:val="24"/>
              </w:rPr>
            </w:pPr>
          </w:p>
        </w:tc>
      </w:tr>
      <w:tr w:rsidR="00FA7B93" w:rsidRPr="00FA7244" w:rsidTr="00542C16">
        <w:tc>
          <w:tcPr>
            <w:tcW w:w="2141" w:type="dxa"/>
          </w:tcPr>
          <w:p w:rsidR="00FA7B93" w:rsidRPr="00FA7244" w:rsidRDefault="00FA7B93" w:rsidP="005A5341">
            <w:pPr>
              <w:spacing w:line="240" w:lineRule="auto"/>
              <w:rPr>
                <w:sz w:val="24"/>
                <w:szCs w:val="24"/>
              </w:rPr>
            </w:pPr>
          </w:p>
        </w:tc>
        <w:tc>
          <w:tcPr>
            <w:tcW w:w="6247" w:type="dxa"/>
          </w:tcPr>
          <w:p w:rsidR="00FA7B93" w:rsidRPr="00FA7244" w:rsidRDefault="00FA7B93" w:rsidP="005A5341">
            <w:pPr>
              <w:spacing w:line="240" w:lineRule="auto"/>
              <w:rPr>
                <w:sz w:val="24"/>
                <w:szCs w:val="24"/>
              </w:rPr>
            </w:pPr>
          </w:p>
        </w:tc>
        <w:tc>
          <w:tcPr>
            <w:tcW w:w="5251" w:type="dxa"/>
          </w:tcPr>
          <w:p w:rsidR="00FA7B93" w:rsidRPr="00FA7244" w:rsidRDefault="00FA7B93" w:rsidP="005A5341">
            <w:pPr>
              <w:spacing w:line="240" w:lineRule="auto"/>
              <w:rPr>
                <w:sz w:val="24"/>
                <w:szCs w:val="24"/>
              </w:rPr>
            </w:pPr>
          </w:p>
        </w:tc>
      </w:tr>
      <w:tr w:rsidR="00542C16" w:rsidRPr="00FA7244" w:rsidTr="0008248E">
        <w:tc>
          <w:tcPr>
            <w:tcW w:w="2141" w:type="dxa"/>
          </w:tcPr>
          <w:p w:rsidR="00542C16" w:rsidRPr="00FA7244" w:rsidRDefault="0066728D" w:rsidP="005A5341">
            <w:pPr>
              <w:spacing w:line="240" w:lineRule="auto"/>
              <w:rPr>
                <w:sz w:val="24"/>
                <w:szCs w:val="24"/>
              </w:rPr>
            </w:pPr>
            <w:proofErr w:type="spellStart"/>
            <w:r>
              <w:rPr>
                <w:sz w:val="24"/>
                <w:szCs w:val="24"/>
              </w:rPr>
              <w:t>ARP_all</w:t>
            </w:r>
            <w:proofErr w:type="spellEnd"/>
          </w:p>
        </w:tc>
        <w:tc>
          <w:tcPr>
            <w:tcW w:w="6247" w:type="dxa"/>
            <w:vAlign w:val="center"/>
          </w:tcPr>
          <w:p w:rsidR="00542C16" w:rsidRPr="00FA7244" w:rsidRDefault="00542C16" w:rsidP="00D73D9E">
            <w:pPr>
              <w:spacing w:line="240" w:lineRule="auto"/>
              <w:jc w:val="left"/>
              <w:rPr>
                <w:sz w:val="24"/>
                <w:szCs w:val="24"/>
              </w:rPr>
            </w:pPr>
            <w:r w:rsidRPr="00FA7244">
              <w:rPr>
                <w:sz w:val="24"/>
                <w:szCs w:val="24"/>
              </w:rPr>
              <w:t xml:space="preserve">Average rate progression </w:t>
            </w:r>
            <w:r w:rsidR="00D73D9E" w:rsidRPr="00D73D9E">
              <w:rPr>
                <w:sz w:val="24"/>
                <w:szCs w:val="24"/>
              </w:rPr>
              <w:t xml:space="preserve">up to an income level equivalent to four times y </w:t>
            </w:r>
            <w:r w:rsidR="00D73D9E">
              <w:rPr>
                <w:sz w:val="24"/>
                <w:szCs w:val="24"/>
              </w:rPr>
              <w:t xml:space="preserve">(i.e., </w:t>
            </w:r>
            <w:r w:rsidRPr="00FA7244">
              <w:rPr>
                <w:sz w:val="24"/>
                <w:szCs w:val="24"/>
              </w:rPr>
              <w:t>0</w:t>
            </w:r>
            <w:r w:rsidRPr="00FA7244">
              <w:rPr>
                <w:i/>
                <w:sz w:val="24"/>
                <w:szCs w:val="24"/>
              </w:rPr>
              <w:t xml:space="preserve">y </w:t>
            </w:r>
            <w:r w:rsidRPr="00FA7244">
              <w:rPr>
                <w:sz w:val="24"/>
                <w:szCs w:val="24"/>
              </w:rPr>
              <w:t>to 4</w:t>
            </w:r>
            <w:r w:rsidRPr="00FA7244">
              <w:rPr>
                <w:i/>
                <w:sz w:val="24"/>
                <w:szCs w:val="24"/>
              </w:rPr>
              <w:t>y;</w:t>
            </w:r>
            <w:r w:rsidRPr="00FA7244">
              <w:rPr>
                <w:sz w:val="24"/>
                <w:szCs w:val="24"/>
              </w:rPr>
              <w:t xml:space="preserve"> where </w:t>
            </w:r>
            <w:r w:rsidRPr="00FA7244">
              <w:rPr>
                <w:i/>
                <w:sz w:val="24"/>
                <w:szCs w:val="24"/>
              </w:rPr>
              <w:t>y</w:t>
            </w:r>
            <w:r w:rsidRPr="00FA7244">
              <w:rPr>
                <w:sz w:val="24"/>
                <w:szCs w:val="24"/>
              </w:rPr>
              <w:t xml:space="preserve"> is a country’s </w:t>
            </w:r>
            <w:r w:rsidR="00D73D9E" w:rsidRPr="00FA7244">
              <w:rPr>
                <w:sz w:val="24"/>
                <w:szCs w:val="24"/>
              </w:rPr>
              <w:t xml:space="preserve">per capita </w:t>
            </w:r>
            <w:r w:rsidRPr="00FA7244">
              <w:rPr>
                <w:sz w:val="24"/>
                <w:szCs w:val="24"/>
              </w:rPr>
              <w:t>GDP</w:t>
            </w:r>
            <w:r w:rsidR="00D73D9E">
              <w:rPr>
                <w:sz w:val="24"/>
                <w:szCs w:val="24"/>
              </w:rPr>
              <w:t>)</w:t>
            </w:r>
            <w:r w:rsidRPr="00FA7244">
              <w:rPr>
                <w:sz w:val="24"/>
                <w:szCs w:val="24"/>
              </w:rPr>
              <w:t>.</w:t>
            </w:r>
          </w:p>
        </w:tc>
        <w:tc>
          <w:tcPr>
            <w:tcW w:w="5251" w:type="dxa"/>
            <w:vMerge w:val="restart"/>
            <w:vAlign w:val="center"/>
          </w:tcPr>
          <w:p w:rsidR="00542C16" w:rsidRPr="00FA7244" w:rsidRDefault="00542C16" w:rsidP="00542C16">
            <w:pPr>
              <w:spacing w:line="240" w:lineRule="auto"/>
              <w:rPr>
                <w:sz w:val="24"/>
                <w:szCs w:val="24"/>
              </w:rPr>
            </w:pPr>
            <w:r w:rsidRPr="00FA7244">
              <w:rPr>
                <w:sz w:val="24"/>
                <w:szCs w:val="24"/>
              </w:rPr>
              <w:t>Average rate progression characterizes the structural progressivity of national tax schedules with respect to the changes in average rates along the income distribution.  It is the slope coefficient from regressing actual average tax rates on the log of gross income.  Each measure restricts estimation to a different part of the income distribution.</w:t>
            </w:r>
          </w:p>
        </w:tc>
      </w:tr>
      <w:tr w:rsidR="00542C16" w:rsidRPr="00FA7244" w:rsidTr="00542C16">
        <w:tc>
          <w:tcPr>
            <w:tcW w:w="2141" w:type="dxa"/>
          </w:tcPr>
          <w:p w:rsidR="00542C16" w:rsidRPr="00FA7244" w:rsidRDefault="0066728D" w:rsidP="005A5341">
            <w:pPr>
              <w:spacing w:line="240" w:lineRule="auto"/>
              <w:rPr>
                <w:sz w:val="24"/>
                <w:szCs w:val="24"/>
              </w:rPr>
            </w:pPr>
            <w:proofErr w:type="spellStart"/>
            <w:r>
              <w:rPr>
                <w:sz w:val="24"/>
                <w:szCs w:val="24"/>
              </w:rPr>
              <w:t>ARP_mid</w:t>
            </w:r>
            <w:proofErr w:type="spellEnd"/>
          </w:p>
        </w:tc>
        <w:tc>
          <w:tcPr>
            <w:tcW w:w="6247" w:type="dxa"/>
          </w:tcPr>
          <w:p w:rsidR="00542C16" w:rsidRPr="00FA7244" w:rsidRDefault="00542C16" w:rsidP="00D73D9E">
            <w:pPr>
              <w:spacing w:line="240" w:lineRule="auto"/>
              <w:jc w:val="left"/>
              <w:rPr>
                <w:sz w:val="24"/>
                <w:szCs w:val="24"/>
              </w:rPr>
            </w:pPr>
            <w:r w:rsidRPr="00FA7244">
              <w:rPr>
                <w:sz w:val="24"/>
                <w:szCs w:val="24"/>
              </w:rPr>
              <w:t xml:space="preserve">Average rate progression </w:t>
            </w:r>
            <w:r w:rsidR="00D73D9E" w:rsidRPr="00D73D9E">
              <w:rPr>
                <w:sz w:val="24"/>
                <w:szCs w:val="24"/>
              </w:rPr>
              <w:t>for the levels of income between</w:t>
            </w:r>
            <w:r w:rsidRPr="00FA7244">
              <w:rPr>
                <w:sz w:val="24"/>
                <w:szCs w:val="24"/>
              </w:rPr>
              <w:t xml:space="preserve"> </w:t>
            </w:r>
            <w:r w:rsidRPr="00FA7244">
              <w:rPr>
                <w:i/>
                <w:sz w:val="24"/>
                <w:szCs w:val="24"/>
              </w:rPr>
              <w:t xml:space="preserve">y </w:t>
            </w:r>
            <w:r w:rsidR="00D73D9E">
              <w:rPr>
                <w:sz w:val="24"/>
                <w:szCs w:val="24"/>
              </w:rPr>
              <w:t>and</w:t>
            </w:r>
            <w:r w:rsidRPr="00FA7244">
              <w:rPr>
                <w:sz w:val="24"/>
                <w:szCs w:val="24"/>
              </w:rPr>
              <w:t xml:space="preserve"> 3</w:t>
            </w:r>
            <w:r w:rsidRPr="00FA7244">
              <w:rPr>
                <w:i/>
                <w:sz w:val="24"/>
                <w:szCs w:val="24"/>
              </w:rPr>
              <w:t>y</w:t>
            </w:r>
            <w:r w:rsidRPr="00FA7244">
              <w:rPr>
                <w:sz w:val="24"/>
                <w:szCs w:val="24"/>
              </w:rPr>
              <w:t xml:space="preserve"> </w:t>
            </w:r>
          </w:p>
        </w:tc>
        <w:tc>
          <w:tcPr>
            <w:tcW w:w="5251" w:type="dxa"/>
            <w:vMerge/>
          </w:tcPr>
          <w:p w:rsidR="00542C16" w:rsidRPr="00FA7244" w:rsidRDefault="00542C16" w:rsidP="005A5341">
            <w:pPr>
              <w:spacing w:line="240" w:lineRule="auto"/>
              <w:rPr>
                <w:sz w:val="24"/>
                <w:szCs w:val="24"/>
              </w:rPr>
            </w:pPr>
          </w:p>
        </w:tc>
      </w:tr>
      <w:tr w:rsidR="0066728D" w:rsidRPr="00FA7244" w:rsidTr="00F85863">
        <w:tc>
          <w:tcPr>
            <w:tcW w:w="2141" w:type="dxa"/>
          </w:tcPr>
          <w:p w:rsidR="0066728D" w:rsidRPr="00FA7244" w:rsidRDefault="0066728D" w:rsidP="0008687E">
            <w:pPr>
              <w:spacing w:line="240" w:lineRule="auto"/>
              <w:rPr>
                <w:sz w:val="24"/>
                <w:szCs w:val="24"/>
              </w:rPr>
            </w:pPr>
            <w:proofErr w:type="spellStart"/>
            <w:r>
              <w:rPr>
                <w:sz w:val="24"/>
                <w:szCs w:val="24"/>
              </w:rPr>
              <w:t>MRP_all</w:t>
            </w:r>
            <w:proofErr w:type="spellEnd"/>
          </w:p>
        </w:tc>
        <w:tc>
          <w:tcPr>
            <w:tcW w:w="6247" w:type="dxa"/>
            <w:vAlign w:val="center"/>
          </w:tcPr>
          <w:p w:rsidR="0066728D" w:rsidRPr="00FA7244" w:rsidRDefault="0066728D" w:rsidP="0066728D">
            <w:pPr>
              <w:spacing w:line="240" w:lineRule="auto"/>
              <w:jc w:val="left"/>
              <w:rPr>
                <w:sz w:val="24"/>
                <w:szCs w:val="24"/>
              </w:rPr>
            </w:pPr>
            <w:r>
              <w:rPr>
                <w:sz w:val="24"/>
                <w:szCs w:val="24"/>
              </w:rPr>
              <w:t>Marginal</w:t>
            </w:r>
            <w:r w:rsidRPr="00FA7244">
              <w:rPr>
                <w:sz w:val="24"/>
                <w:szCs w:val="24"/>
              </w:rPr>
              <w:t xml:space="preserve"> rate progression </w:t>
            </w:r>
            <w:r w:rsidRPr="00D73D9E">
              <w:rPr>
                <w:sz w:val="24"/>
                <w:szCs w:val="24"/>
              </w:rPr>
              <w:t xml:space="preserve">up to an income level equivalent to four times y </w:t>
            </w:r>
            <w:r>
              <w:rPr>
                <w:sz w:val="24"/>
                <w:szCs w:val="24"/>
              </w:rPr>
              <w:t xml:space="preserve">(i.e., </w:t>
            </w:r>
            <w:r w:rsidRPr="00FA7244">
              <w:rPr>
                <w:sz w:val="24"/>
                <w:szCs w:val="24"/>
              </w:rPr>
              <w:t>0</w:t>
            </w:r>
            <w:r w:rsidRPr="00FA7244">
              <w:rPr>
                <w:i/>
                <w:sz w:val="24"/>
                <w:szCs w:val="24"/>
              </w:rPr>
              <w:t xml:space="preserve">y </w:t>
            </w:r>
            <w:r w:rsidRPr="00FA7244">
              <w:rPr>
                <w:sz w:val="24"/>
                <w:szCs w:val="24"/>
              </w:rPr>
              <w:t>to 4</w:t>
            </w:r>
            <w:r w:rsidRPr="00FA7244">
              <w:rPr>
                <w:i/>
                <w:sz w:val="24"/>
                <w:szCs w:val="24"/>
              </w:rPr>
              <w:t>y;</w:t>
            </w:r>
            <w:r w:rsidRPr="00FA7244">
              <w:rPr>
                <w:sz w:val="24"/>
                <w:szCs w:val="24"/>
              </w:rPr>
              <w:t xml:space="preserve"> where </w:t>
            </w:r>
            <w:r w:rsidRPr="00FA7244">
              <w:rPr>
                <w:i/>
                <w:sz w:val="24"/>
                <w:szCs w:val="24"/>
              </w:rPr>
              <w:t>y</w:t>
            </w:r>
            <w:r w:rsidRPr="00FA7244">
              <w:rPr>
                <w:sz w:val="24"/>
                <w:szCs w:val="24"/>
              </w:rPr>
              <w:t xml:space="preserve"> is a country’s per capita GDP</w:t>
            </w:r>
            <w:r>
              <w:rPr>
                <w:sz w:val="24"/>
                <w:szCs w:val="24"/>
              </w:rPr>
              <w:t>)</w:t>
            </w:r>
            <w:r w:rsidRPr="00FA7244">
              <w:rPr>
                <w:sz w:val="24"/>
                <w:szCs w:val="24"/>
              </w:rPr>
              <w:t>.</w:t>
            </w:r>
          </w:p>
        </w:tc>
        <w:tc>
          <w:tcPr>
            <w:tcW w:w="5251" w:type="dxa"/>
            <w:vMerge w:val="restart"/>
            <w:vAlign w:val="center"/>
          </w:tcPr>
          <w:p w:rsidR="0066728D" w:rsidRPr="00FA7244" w:rsidRDefault="0066728D" w:rsidP="00542C16">
            <w:pPr>
              <w:spacing w:line="240" w:lineRule="auto"/>
              <w:rPr>
                <w:sz w:val="24"/>
                <w:szCs w:val="24"/>
              </w:rPr>
            </w:pPr>
            <w:r w:rsidRPr="00FA7244">
              <w:rPr>
                <w:sz w:val="24"/>
                <w:szCs w:val="24"/>
              </w:rPr>
              <w:t xml:space="preserve">Marginal rate progression characterizes the structural progressivity of national tax schedules with respect to the changes in marginal rates along the income distribution.  It is the slope coefficient from regressing actual marginal tax rates on the log of gross income.  Each measure restricts estimation to a different part of the income distribution. </w:t>
            </w:r>
          </w:p>
        </w:tc>
      </w:tr>
      <w:tr w:rsidR="0066728D" w:rsidRPr="00FA7244" w:rsidTr="00542C16">
        <w:tc>
          <w:tcPr>
            <w:tcW w:w="2141" w:type="dxa"/>
          </w:tcPr>
          <w:p w:rsidR="0066728D" w:rsidRPr="00FA7244" w:rsidRDefault="0066728D" w:rsidP="0008687E">
            <w:pPr>
              <w:spacing w:line="240" w:lineRule="auto"/>
              <w:rPr>
                <w:sz w:val="24"/>
                <w:szCs w:val="24"/>
              </w:rPr>
            </w:pPr>
            <w:proofErr w:type="spellStart"/>
            <w:r>
              <w:rPr>
                <w:sz w:val="24"/>
                <w:szCs w:val="24"/>
              </w:rPr>
              <w:t>MRP_mid</w:t>
            </w:r>
            <w:proofErr w:type="spellEnd"/>
          </w:p>
        </w:tc>
        <w:tc>
          <w:tcPr>
            <w:tcW w:w="6247" w:type="dxa"/>
          </w:tcPr>
          <w:p w:rsidR="0066728D" w:rsidRPr="00FA7244" w:rsidRDefault="0066728D" w:rsidP="0008687E">
            <w:pPr>
              <w:spacing w:line="240" w:lineRule="auto"/>
              <w:jc w:val="left"/>
              <w:rPr>
                <w:sz w:val="24"/>
                <w:szCs w:val="24"/>
              </w:rPr>
            </w:pPr>
            <w:r>
              <w:rPr>
                <w:sz w:val="24"/>
                <w:szCs w:val="24"/>
              </w:rPr>
              <w:t>Marginal</w:t>
            </w:r>
            <w:r w:rsidRPr="00FA7244">
              <w:rPr>
                <w:sz w:val="24"/>
                <w:szCs w:val="24"/>
              </w:rPr>
              <w:t xml:space="preserve"> rate progression </w:t>
            </w:r>
            <w:r w:rsidRPr="00D73D9E">
              <w:rPr>
                <w:sz w:val="24"/>
                <w:szCs w:val="24"/>
              </w:rPr>
              <w:t>for the levels of income between</w:t>
            </w:r>
            <w:r w:rsidRPr="00FA7244">
              <w:rPr>
                <w:sz w:val="24"/>
                <w:szCs w:val="24"/>
              </w:rPr>
              <w:t xml:space="preserve"> </w:t>
            </w:r>
            <w:r w:rsidRPr="00FA7244">
              <w:rPr>
                <w:i/>
                <w:sz w:val="24"/>
                <w:szCs w:val="24"/>
              </w:rPr>
              <w:t xml:space="preserve">y </w:t>
            </w:r>
            <w:r>
              <w:rPr>
                <w:sz w:val="24"/>
                <w:szCs w:val="24"/>
              </w:rPr>
              <w:t>and</w:t>
            </w:r>
            <w:r w:rsidRPr="00FA7244">
              <w:rPr>
                <w:sz w:val="24"/>
                <w:szCs w:val="24"/>
              </w:rPr>
              <w:t xml:space="preserve"> 3</w:t>
            </w:r>
            <w:r w:rsidRPr="00FA7244">
              <w:rPr>
                <w:i/>
                <w:sz w:val="24"/>
                <w:szCs w:val="24"/>
              </w:rPr>
              <w:t>y</w:t>
            </w:r>
            <w:r w:rsidRPr="00FA7244">
              <w:rPr>
                <w:sz w:val="24"/>
                <w:szCs w:val="24"/>
              </w:rPr>
              <w:t xml:space="preserve"> </w:t>
            </w:r>
          </w:p>
        </w:tc>
        <w:tc>
          <w:tcPr>
            <w:tcW w:w="5251" w:type="dxa"/>
            <w:vMerge/>
          </w:tcPr>
          <w:p w:rsidR="0066728D" w:rsidRPr="00FA7244" w:rsidRDefault="0066728D" w:rsidP="005A5341">
            <w:pPr>
              <w:spacing w:line="240" w:lineRule="auto"/>
              <w:rPr>
                <w:sz w:val="24"/>
                <w:szCs w:val="24"/>
              </w:rPr>
            </w:pPr>
          </w:p>
        </w:tc>
      </w:tr>
    </w:tbl>
    <w:p w:rsidR="00796AAE" w:rsidRPr="00FA7244" w:rsidRDefault="00796AAE" w:rsidP="006E1ACD"/>
    <w:sectPr w:rsidR="00796AAE" w:rsidRPr="00FA7244" w:rsidSect="005A534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3CE" w:rsidRDefault="009633CE" w:rsidP="003D5E03">
      <w:pPr>
        <w:spacing w:after="0" w:line="240" w:lineRule="auto"/>
      </w:pPr>
      <w:r>
        <w:separator/>
      </w:r>
    </w:p>
  </w:endnote>
  <w:endnote w:type="continuationSeparator" w:id="0">
    <w:p w:rsidR="009633CE" w:rsidRDefault="009633CE" w:rsidP="003D5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3CE" w:rsidRDefault="009633CE" w:rsidP="003D5E03">
      <w:pPr>
        <w:spacing w:after="0" w:line="240" w:lineRule="auto"/>
      </w:pPr>
      <w:r>
        <w:separator/>
      </w:r>
    </w:p>
  </w:footnote>
  <w:footnote w:type="continuationSeparator" w:id="0">
    <w:p w:rsidR="009633CE" w:rsidRDefault="009633CE" w:rsidP="003D5E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D5E03"/>
    <w:rsid w:val="00182018"/>
    <w:rsid w:val="00191DA5"/>
    <w:rsid w:val="00373C8D"/>
    <w:rsid w:val="00375C7F"/>
    <w:rsid w:val="003D5E03"/>
    <w:rsid w:val="004E6D9A"/>
    <w:rsid w:val="004F72F9"/>
    <w:rsid w:val="005210FD"/>
    <w:rsid w:val="00542C16"/>
    <w:rsid w:val="0054623F"/>
    <w:rsid w:val="005A5341"/>
    <w:rsid w:val="005F4DDC"/>
    <w:rsid w:val="0066455B"/>
    <w:rsid w:val="0066728D"/>
    <w:rsid w:val="00692DAD"/>
    <w:rsid w:val="006D4BCC"/>
    <w:rsid w:val="006E1ACD"/>
    <w:rsid w:val="006F5FD0"/>
    <w:rsid w:val="00721DAD"/>
    <w:rsid w:val="007304CB"/>
    <w:rsid w:val="00766A65"/>
    <w:rsid w:val="00796AAE"/>
    <w:rsid w:val="007E408D"/>
    <w:rsid w:val="00864BFF"/>
    <w:rsid w:val="008C0AEF"/>
    <w:rsid w:val="009633CE"/>
    <w:rsid w:val="00986F9D"/>
    <w:rsid w:val="0099725E"/>
    <w:rsid w:val="00A01BE2"/>
    <w:rsid w:val="00A7221D"/>
    <w:rsid w:val="00A74CF2"/>
    <w:rsid w:val="00AD61E8"/>
    <w:rsid w:val="00AD7919"/>
    <w:rsid w:val="00B0493B"/>
    <w:rsid w:val="00BD5B57"/>
    <w:rsid w:val="00D31F85"/>
    <w:rsid w:val="00D73D9E"/>
    <w:rsid w:val="00E02635"/>
    <w:rsid w:val="00E05B3D"/>
    <w:rsid w:val="00EB0B50"/>
    <w:rsid w:val="00EE45C1"/>
    <w:rsid w:val="00F247EA"/>
    <w:rsid w:val="00F531BE"/>
    <w:rsid w:val="00FA7244"/>
    <w:rsid w:val="00FA7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03"/>
    <w:pPr>
      <w:spacing w:after="120" w:line="360" w:lineRule="auto"/>
      <w:jc w:val="both"/>
    </w:pPr>
    <w:rPr>
      <w:rFonts w:ascii="Times New Roman" w:eastAsia="Times New Roman" w:hAnsi="Times New Roman" w:cs="Times New Roman"/>
      <w:sz w:val="24"/>
      <w:szCs w:val="24"/>
    </w:rPr>
  </w:style>
  <w:style w:type="paragraph" w:styleId="Heading3">
    <w:name w:val="heading 3"/>
    <w:basedOn w:val="Normal"/>
    <w:next w:val="Normal"/>
    <w:link w:val="Heading3Char"/>
    <w:unhideWhenUsed/>
    <w:qFormat/>
    <w:rsid w:val="003D5E03"/>
    <w:pPr>
      <w:keepNext/>
      <w:spacing w:before="24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D5E03"/>
    <w:rPr>
      <w:rFonts w:ascii="Times New Roman" w:eastAsia="Times New Roman" w:hAnsi="Times New Roman" w:cs="Times New Roman"/>
      <w:b/>
      <w:bCs/>
      <w:sz w:val="24"/>
      <w:szCs w:val="24"/>
    </w:rPr>
  </w:style>
  <w:style w:type="paragraph" w:styleId="FootnoteText">
    <w:name w:val="footnote text"/>
    <w:basedOn w:val="Normal"/>
    <w:link w:val="FootnoteTextChar"/>
    <w:semiHidden/>
    <w:unhideWhenUsed/>
    <w:rsid w:val="003D5E03"/>
    <w:rPr>
      <w:sz w:val="20"/>
      <w:szCs w:val="20"/>
    </w:rPr>
  </w:style>
  <w:style w:type="character" w:customStyle="1" w:styleId="FootnoteTextChar">
    <w:name w:val="Footnote Text Char"/>
    <w:basedOn w:val="DefaultParagraphFont"/>
    <w:link w:val="FootnoteText"/>
    <w:semiHidden/>
    <w:rsid w:val="003D5E0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D5E03"/>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3D5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E03"/>
    <w:rPr>
      <w:rFonts w:ascii="Tahoma" w:eastAsia="Times New Roman" w:hAnsi="Tahoma" w:cs="Tahoma"/>
      <w:sz w:val="16"/>
      <w:szCs w:val="16"/>
    </w:rPr>
  </w:style>
  <w:style w:type="table" w:styleId="TableGrid">
    <w:name w:val="Table Grid"/>
    <w:basedOn w:val="TableNormal"/>
    <w:uiPriority w:val="59"/>
    <w:rsid w:val="006E1A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A53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534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A53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534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0952502">
      <w:bodyDiv w:val="1"/>
      <w:marLeft w:val="0"/>
      <w:marRight w:val="0"/>
      <w:marTop w:val="0"/>
      <w:marBottom w:val="0"/>
      <w:divBdr>
        <w:top w:val="none" w:sz="0" w:space="0" w:color="auto"/>
        <w:left w:val="none" w:sz="0" w:space="0" w:color="auto"/>
        <w:bottom w:val="none" w:sz="0" w:space="0" w:color="auto"/>
        <w:right w:val="none" w:sz="0" w:space="0" w:color="auto"/>
      </w:divBdr>
    </w:div>
    <w:div w:id="100710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GSU</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duncande</cp:lastModifiedBy>
  <cp:revision>28</cp:revision>
  <dcterms:created xsi:type="dcterms:W3CDTF">2010-04-13T15:39:00Z</dcterms:created>
  <dcterms:modified xsi:type="dcterms:W3CDTF">2011-03-25T14:37:00Z</dcterms:modified>
</cp:coreProperties>
</file>