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2D0" w:rsidRDefault="00A43045" w:rsidP="00A43045">
      <w:pPr>
        <w:pStyle w:val="NoSpacing"/>
        <w:rPr>
          <w:rFonts w:ascii="Times New Roman" w:hAnsi="Times New Roman" w:cs="Times New Roman"/>
          <w:sz w:val="24"/>
          <w:szCs w:val="24"/>
        </w:rPr>
      </w:pPr>
      <w:r>
        <w:rPr>
          <w:rFonts w:ascii="Times New Roman" w:hAnsi="Times New Roman" w:cs="Times New Roman"/>
          <w:sz w:val="24"/>
          <w:szCs w:val="24"/>
        </w:rPr>
        <w:t>Joanna Tung</w:t>
      </w:r>
    </w:p>
    <w:p w:rsidR="00A43045" w:rsidRPr="00A43045" w:rsidRDefault="00A43045" w:rsidP="00A43045">
      <w:pPr>
        <w:pStyle w:val="NoSpacing"/>
        <w:rPr>
          <w:rFonts w:ascii="Times New Roman" w:hAnsi="Times New Roman" w:cs="Times New Roman"/>
          <w:sz w:val="24"/>
          <w:szCs w:val="24"/>
        </w:rPr>
      </w:pPr>
      <w:r>
        <w:rPr>
          <w:rFonts w:ascii="Times New Roman" w:hAnsi="Times New Roman" w:cs="Times New Roman"/>
          <w:sz w:val="24"/>
          <w:szCs w:val="24"/>
        </w:rPr>
        <w:t>MACS30200</w:t>
      </w:r>
    </w:p>
    <w:p w:rsidR="00A43045" w:rsidRDefault="00A43045" w:rsidP="00A43045">
      <w:pPr>
        <w:pStyle w:val="NoSpacing"/>
        <w:rPr>
          <w:rFonts w:ascii="Times New Roman" w:hAnsi="Times New Roman" w:cs="Times New Roman"/>
          <w:sz w:val="24"/>
          <w:szCs w:val="24"/>
        </w:rPr>
      </w:pPr>
      <w:r>
        <w:rPr>
          <w:rFonts w:ascii="Times New Roman" w:hAnsi="Times New Roman" w:cs="Times New Roman"/>
          <w:sz w:val="24"/>
          <w:szCs w:val="24"/>
        </w:rPr>
        <w:t>Data/Methods</w:t>
      </w:r>
      <w:r w:rsidR="00C553B4">
        <w:rPr>
          <w:rFonts w:ascii="Times New Roman" w:hAnsi="Times New Roman" w:cs="Times New Roman"/>
          <w:sz w:val="24"/>
          <w:szCs w:val="24"/>
        </w:rPr>
        <w:t xml:space="preserve"> Section Draft</w:t>
      </w:r>
    </w:p>
    <w:p w:rsidR="00A43045" w:rsidRDefault="00A43045" w:rsidP="00A43045">
      <w:pPr>
        <w:pStyle w:val="NoSpacing"/>
        <w:rPr>
          <w:rFonts w:ascii="Times New Roman" w:hAnsi="Times New Roman" w:cs="Times New Roman"/>
          <w:sz w:val="24"/>
          <w:szCs w:val="24"/>
        </w:rPr>
      </w:pPr>
      <w:r>
        <w:rPr>
          <w:rFonts w:ascii="Times New Roman" w:hAnsi="Times New Roman" w:cs="Times New Roman"/>
          <w:sz w:val="24"/>
          <w:szCs w:val="24"/>
        </w:rPr>
        <w:t>May 17, 2017</w:t>
      </w:r>
    </w:p>
    <w:p w:rsidR="00A43045" w:rsidRDefault="00A43045" w:rsidP="00A43045">
      <w:pPr>
        <w:pStyle w:val="NoSpacing"/>
        <w:rPr>
          <w:rFonts w:ascii="Times New Roman" w:hAnsi="Times New Roman" w:cs="Times New Roman"/>
          <w:sz w:val="24"/>
          <w:szCs w:val="24"/>
        </w:rPr>
      </w:pPr>
    </w:p>
    <w:p w:rsidR="00535DA9" w:rsidRDefault="00535DA9" w:rsidP="00A43045">
      <w:pPr>
        <w:pStyle w:val="NoSpacing"/>
        <w:rPr>
          <w:rFonts w:ascii="Times New Roman" w:hAnsi="Times New Roman" w:cs="Times New Roman"/>
          <w:sz w:val="24"/>
          <w:szCs w:val="24"/>
        </w:rPr>
      </w:pPr>
      <w:bookmarkStart w:id="0" w:name="_GoBack"/>
      <w:bookmarkEnd w:id="0"/>
    </w:p>
    <w:p w:rsidR="00A43045" w:rsidRPr="00535DA9" w:rsidRDefault="00535DA9" w:rsidP="00A43045">
      <w:pPr>
        <w:pStyle w:val="NoSpacing"/>
        <w:rPr>
          <w:rFonts w:ascii="Times New Roman" w:hAnsi="Times New Roman" w:cs="Times New Roman"/>
          <w:b/>
          <w:sz w:val="24"/>
          <w:szCs w:val="24"/>
        </w:rPr>
      </w:pPr>
      <w:r>
        <w:rPr>
          <w:rFonts w:ascii="Times New Roman" w:hAnsi="Times New Roman" w:cs="Times New Roman"/>
          <w:b/>
          <w:sz w:val="24"/>
          <w:szCs w:val="24"/>
        </w:rPr>
        <w:t>DATA</w:t>
      </w:r>
    </w:p>
    <w:p w:rsidR="00A43045" w:rsidRPr="008F782F" w:rsidRDefault="008F782F" w:rsidP="00A43045">
      <w:pPr>
        <w:pStyle w:val="NoSpacing"/>
        <w:rPr>
          <w:rFonts w:ascii="Times New Roman" w:hAnsi="Times New Roman" w:cs="Times New Roman"/>
          <w:i/>
          <w:sz w:val="24"/>
          <w:szCs w:val="24"/>
        </w:rPr>
      </w:pPr>
      <w:r>
        <w:rPr>
          <w:rFonts w:ascii="Times New Roman" w:hAnsi="Times New Roman" w:cs="Times New Roman"/>
          <w:i/>
          <w:sz w:val="24"/>
          <w:szCs w:val="24"/>
        </w:rPr>
        <w:t>Sources</w:t>
      </w:r>
    </w:p>
    <w:p w:rsidR="00A43045" w:rsidRDefault="00A43045" w:rsidP="00A43045">
      <w:pPr>
        <w:pStyle w:val="NoSpacing"/>
        <w:rPr>
          <w:rFonts w:ascii="Times New Roman" w:hAnsi="Times New Roman" w:cs="Times New Roman"/>
          <w:sz w:val="24"/>
          <w:szCs w:val="24"/>
        </w:rPr>
      </w:pPr>
      <w:r>
        <w:rPr>
          <w:rFonts w:ascii="Times New Roman" w:hAnsi="Times New Roman" w:cs="Times New Roman"/>
          <w:sz w:val="24"/>
          <w:szCs w:val="24"/>
        </w:rPr>
        <w:t>Annual antigovernment group</w:t>
      </w:r>
      <w:r w:rsidR="00C96005">
        <w:rPr>
          <w:rFonts w:ascii="Times New Roman" w:hAnsi="Times New Roman" w:cs="Times New Roman"/>
          <w:sz w:val="24"/>
          <w:szCs w:val="24"/>
        </w:rPr>
        <w:t xml:space="preserve"> (a.k.a. “patriot” group)</w:t>
      </w:r>
      <w:r>
        <w:rPr>
          <w:rFonts w:ascii="Times New Roman" w:hAnsi="Times New Roman" w:cs="Times New Roman"/>
          <w:sz w:val="24"/>
          <w:szCs w:val="24"/>
        </w:rPr>
        <w:t xml:space="preserve"> data were obtained from the Southern Poverty Law Center’s (SPLC) quarterly publication, </w:t>
      </w:r>
      <w:r>
        <w:rPr>
          <w:rFonts w:ascii="Times New Roman" w:hAnsi="Times New Roman" w:cs="Times New Roman"/>
          <w:i/>
          <w:sz w:val="24"/>
          <w:szCs w:val="24"/>
        </w:rPr>
        <w:t>Intelligence Report</w:t>
      </w:r>
      <w:r>
        <w:rPr>
          <w:rFonts w:ascii="Times New Roman" w:hAnsi="Times New Roman" w:cs="Times New Roman"/>
          <w:sz w:val="24"/>
          <w:szCs w:val="24"/>
        </w:rPr>
        <w:t>. The SPLC</w:t>
      </w:r>
      <w:r w:rsidR="00AB76ED">
        <w:rPr>
          <w:rFonts w:ascii="Times New Roman" w:hAnsi="Times New Roman" w:cs="Times New Roman"/>
          <w:sz w:val="24"/>
          <w:szCs w:val="24"/>
        </w:rPr>
        <w:t xml:space="preserve"> is a non-profit organization that</w:t>
      </w:r>
      <w:r>
        <w:rPr>
          <w:rFonts w:ascii="Times New Roman" w:hAnsi="Times New Roman" w:cs="Times New Roman"/>
          <w:sz w:val="24"/>
          <w:szCs w:val="24"/>
        </w:rPr>
        <w:t xml:space="preserve"> publishes an annual record of identified antigovernment groups, characterized </w:t>
      </w:r>
      <w:r w:rsidR="00C553B4">
        <w:rPr>
          <w:rFonts w:ascii="Times New Roman" w:hAnsi="Times New Roman" w:cs="Times New Roman"/>
          <w:sz w:val="24"/>
          <w:szCs w:val="24"/>
        </w:rPr>
        <w:t>only</w:t>
      </w:r>
      <w:r>
        <w:rPr>
          <w:rFonts w:ascii="Times New Roman" w:hAnsi="Times New Roman" w:cs="Times New Roman"/>
          <w:sz w:val="24"/>
          <w:szCs w:val="24"/>
        </w:rPr>
        <w:t xml:space="preserve"> by state and city or county.</w:t>
      </w:r>
      <w:r w:rsidR="00C553B4">
        <w:rPr>
          <w:rFonts w:ascii="Times New Roman" w:hAnsi="Times New Roman" w:cs="Times New Roman"/>
          <w:sz w:val="24"/>
          <w:szCs w:val="24"/>
        </w:rPr>
        <w:t xml:space="preserve"> No membership records are provided.</w:t>
      </w:r>
      <w:r w:rsidR="00C553B4">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According to the SPLC website, </w:t>
      </w:r>
      <w:r w:rsidR="00C553B4">
        <w:rPr>
          <w:rFonts w:ascii="Times New Roman" w:hAnsi="Times New Roman" w:cs="Times New Roman"/>
          <w:sz w:val="24"/>
          <w:szCs w:val="24"/>
        </w:rPr>
        <w:t>these records are</w:t>
      </w:r>
      <w:r w:rsidRPr="00A43045">
        <w:rPr>
          <w:rFonts w:ascii="Times New Roman" w:hAnsi="Times New Roman" w:cs="Times New Roman"/>
          <w:sz w:val="24"/>
          <w:szCs w:val="24"/>
        </w:rPr>
        <w:t xml:space="preserve"> </w:t>
      </w:r>
      <w:r w:rsidR="00C553B4">
        <w:rPr>
          <w:rFonts w:ascii="Times New Roman" w:hAnsi="Times New Roman" w:cs="Times New Roman"/>
          <w:sz w:val="24"/>
          <w:szCs w:val="24"/>
        </w:rPr>
        <w:t>“</w:t>
      </w:r>
      <w:r w:rsidRPr="00A43045">
        <w:rPr>
          <w:rFonts w:ascii="Times New Roman" w:hAnsi="Times New Roman" w:cs="Times New Roman"/>
          <w:sz w:val="24"/>
          <w:szCs w:val="24"/>
        </w:rPr>
        <w:t>compiled from field reports, group publications, the Internet, law enforcement sources and news reports</w:t>
      </w:r>
      <w:r w:rsidR="00C553B4">
        <w:rPr>
          <w:rFonts w:ascii="Times New Roman" w:hAnsi="Times New Roman" w:cs="Times New Roman"/>
          <w:sz w:val="24"/>
          <w:szCs w:val="24"/>
        </w:rPr>
        <w:t>.”</w:t>
      </w:r>
      <w:r w:rsidR="00C553B4">
        <w:rPr>
          <w:rStyle w:val="FootnoteReference"/>
          <w:rFonts w:ascii="Times New Roman" w:hAnsi="Times New Roman" w:cs="Times New Roman"/>
          <w:sz w:val="24"/>
          <w:szCs w:val="24"/>
        </w:rPr>
        <w:footnoteReference w:id="2"/>
      </w:r>
      <w:r w:rsidR="00C553B4">
        <w:rPr>
          <w:rFonts w:ascii="Times New Roman" w:hAnsi="Times New Roman" w:cs="Times New Roman"/>
          <w:sz w:val="24"/>
          <w:szCs w:val="24"/>
        </w:rPr>
        <w:t xml:space="preserve"> </w:t>
      </w:r>
      <w:r w:rsidR="00C553B4">
        <w:rPr>
          <w:rFonts w:ascii="Times New Roman" w:hAnsi="Times New Roman" w:cs="Times New Roman"/>
          <w:i/>
          <w:sz w:val="24"/>
          <w:szCs w:val="24"/>
        </w:rPr>
        <w:t>Intelligence Report</w:t>
      </w:r>
      <w:r w:rsidR="00C553B4">
        <w:rPr>
          <w:rFonts w:ascii="Times New Roman" w:hAnsi="Times New Roman" w:cs="Times New Roman"/>
          <w:sz w:val="24"/>
          <w:szCs w:val="24"/>
        </w:rPr>
        <w:t xml:space="preserve"> records were accessible </w:t>
      </w:r>
      <w:r>
        <w:rPr>
          <w:rFonts w:ascii="Times New Roman" w:hAnsi="Times New Roman" w:cs="Times New Roman"/>
          <w:sz w:val="24"/>
          <w:szCs w:val="24"/>
        </w:rPr>
        <w:t>online from 2005 to 2016.</w:t>
      </w:r>
      <w:r w:rsidR="00AB76ED">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w:t>
      </w:r>
      <w:r w:rsidR="00C553B4">
        <w:rPr>
          <w:rFonts w:ascii="Times New Roman" w:hAnsi="Times New Roman" w:cs="Times New Roman"/>
          <w:sz w:val="24"/>
          <w:szCs w:val="24"/>
        </w:rPr>
        <w:t xml:space="preserve">Links </w:t>
      </w:r>
      <w:r>
        <w:rPr>
          <w:rFonts w:ascii="Times New Roman" w:hAnsi="Times New Roman" w:cs="Times New Roman"/>
          <w:sz w:val="24"/>
          <w:szCs w:val="24"/>
        </w:rPr>
        <w:t xml:space="preserve">to each of the </w:t>
      </w:r>
      <w:r w:rsidR="00C553B4">
        <w:rPr>
          <w:rFonts w:ascii="Times New Roman" w:hAnsi="Times New Roman" w:cs="Times New Roman"/>
          <w:sz w:val="24"/>
          <w:szCs w:val="24"/>
        </w:rPr>
        <w:t xml:space="preserve">relevant </w:t>
      </w:r>
      <w:r>
        <w:rPr>
          <w:rFonts w:ascii="Times New Roman" w:hAnsi="Times New Roman" w:cs="Times New Roman"/>
          <w:sz w:val="24"/>
          <w:szCs w:val="24"/>
        </w:rPr>
        <w:t>articles can be fou</w:t>
      </w:r>
      <w:r w:rsidR="00C553B4">
        <w:rPr>
          <w:rFonts w:ascii="Times New Roman" w:hAnsi="Times New Roman" w:cs="Times New Roman"/>
          <w:sz w:val="24"/>
          <w:szCs w:val="24"/>
        </w:rPr>
        <w:t>nd in Appendix I.</w:t>
      </w:r>
    </w:p>
    <w:p w:rsidR="001110CF" w:rsidRDefault="001110CF" w:rsidP="00A43045">
      <w:pPr>
        <w:pStyle w:val="NoSpacing"/>
        <w:rPr>
          <w:rFonts w:ascii="Times New Roman" w:hAnsi="Times New Roman" w:cs="Times New Roman"/>
          <w:sz w:val="24"/>
          <w:szCs w:val="24"/>
        </w:rPr>
      </w:pPr>
    </w:p>
    <w:p w:rsidR="002B7C77" w:rsidRDefault="002B7C77" w:rsidP="00A43045">
      <w:pPr>
        <w:pStyle w:val="NoSpacing"/>
        <w:rPr>
          <w:rFonts w:ascii="Times New Roman" w:hAnsi="Times New Roman" w:cs="Times New Roman"/>
          <w:sz w:val="24"/>
          <w:szCs w:val="24"/>
        </w:rPr>
      </w:pPr>
      <w:r>
        <w:rPr>
          <w:rFonts w:ascii="Times New Roman" w:hAnsi="Times New Roman" w:cs="Times New Roman"/>
          <w:sz w:val="24"/>
          <w:szCs w:val="24"/>
        </w:rPr>
        <w:t>County-level d</w:t>
      </w:r>
      <w:r w:rsidR="001110CF">
        <w:rPr>
          <w:rFonts w:ascii="Times New Roman" w:hAnsi="Times New Roman" w:cs="Times New Roman"/>
          <w:sz w:val="24"/>
          <w:szCs w:val="24"/>
        </w:rPr>
        <w:t>emographic and household economic data are taken from American Community Survey</w:t>
      </w:r>
      <w:r w:rsidR="006842CA">
        <w:rPr>
          <w:rFonts w:ascii="Times New Roman" w:hAnsi="Times New Roman" w:cs="Times New Roman"/>
          <w:sz w:val="24"/>
          <w:szCs w:val="24"/>
        </w:rPr>
        <w:t xml:space="preserve"> (ACS)</w:t>
      </w:r>
      <w:r w:rsidR="001110CF">
        <w:rPr>
          <w:rFonts w:ascii="Times New Roman" w:hAnsi="Times New Roman" w:cs="Times New Roman"/>
          <w:sz w:val="24"/>
          <w:szCs w:val="24"/>
        </w:rPr>
        <w:t xml:space="preserve"> 1-year estimates</w:t>
      </w:r>
      <w:r w:rsidR="006842CA">
        <w:rPr>
          <w:rFonts w:ascii="Times New Roman" w:hAnsi="Times New Roman" w:cs="Times New Roman"/>
          <w:sz w:val="24"/>
          <w:szCs w:val="24"/>
        </w:rPr>
        <w:t xml:space="preserve">, which is collected and </w:t>
      </w:r>
      <w:r w:rsidR="00AB76ED">
        <w:rPr>
          <w:rFonts w:ascii="Times New Roman" w:hAnsi="Times New Roman" w:cs="Times New Roman"/>
          <w:sz w:val="24"/>
          <w:szCs w:val="24"/>
        </w:rPr>
        <w:t>maintained by the U.S. Census Bureau</w:t>
      </w:r>
      <w:r w:rsidR="001110CF">
        <w:rPr>
          <w:rFonts w:ascii="Times New Roman" w:hAnsi="Times New Roman" w:cs="Times New Roman"/>
          <w:sz w:val="24"/>
          <w:szCs w:val="24"/>
        </w:rPr>
        <w:t xml:space="preserve">. </w:t>
      </w:r>
      <w:r>
        <w:rPr>
          <w:rFonts w:ascii="Times New Roman" w:hAnsi="Times New Roman" w:cs="Times New Roman"/>
          <w:sz w:val="24"/>
          <w:szCs w:val="24"/>
        </w:rPr>
        <w:t>These can be downloa</w:t>
      </w:r>
      <w:r w:rsidR="004C255F">
        <w:rPr>
          <w:rFonts w:ascii="Times New Roman" w:hAnsi="Times New Roman" w:cs="Times New Roman"/>
          <w:sz w:val="24"/>
          <w:szCs w:val="24"/>
        </w:rPr>
        <w:t>ded via FTP, using available API</w:t>
      </w:r>
      <w:r>
        <w:rPr>
          <w:rFonts w:ascii="Times New Roman" w:hAnsi="Times New Roman" w:cs="Times New Roman"/>
          <w:sz w:val="24"/>
          <w:szCs w:val="24"/>
        </w:rPr>
        <w:t xml:space="preserve">s, or using the U.S. Census Bureau’s American </w:t>
      </w:r>
      <w:proofErr w:type="spellStart"/>
      <w:r>
        <w:rPr>
          <w:rFonts w:ascii="Times New Roman" w:hAnsi="Times New Roman" w:cs="Times New Roman"/>
          <w:sz w:val="24"/>
          <w:szCs w:val="24"/>
        </w:rPr>
        <w:t>FactFinder</w:t>
      </w:r>
      <w:proofErr w:type="spellEnd"/>
      <w:r>
        <w:rPr>
          <w:rFonts w:ascii="Times New Roman" w:hAnsi="Times New Roman" w:cs="Times New Roman"/>
          <w:sz w:val="24"/>
          <w:szCs w:val="24"/>
        </w:rPr>
        <w:t xml:space="preserve"> tool.</w:t>
      </w:r>
      <w:r w:rsidR="006842CA">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Since all U.S. Census Bureau data is identified with a FIPS (Federal Information Processing Standard) county-code, we can use this as a key to create a county-level database that links observed antigovernment group types with demographic and household economic data.</w:t>
      </w:r>
      <w:r w:rsidR="0055262D">
        <w:rPr>
          <w:rFonts w:ascii="Times New Roman" w:hAnsi="Times New Roman" w:cs="Times New Roman"/>
          <w:sz w:val="24"/>
          <w:szCs w:val="24"/>
        </w:rPr>
        <w:t xml:space="preserve"> Many scholars have argued that county-level assessments are most appropriate for these types of mobilization studies because they permit researchers increased demographic and economic data granularity and increase the number of available observations (when compared to state-level analyses), while simultaneously acknowledging the fact that better modes of transportation have made it increasingly probable for individuals to seek group memberships outside of their immediate city.</w:t>
      </w:r>
    </w:p>
    <w:p w:rsidR="002B7C77" w:rsidRDefault="002B7C77" w:rsidP="00A43045">
      <w:pPr>
        <w:pStyle w:val="NoSpacing"/>
        <w:rPr>
          <w:rFonts w:ascii="Times New Roman" w:hAnsi="Times New Roman" w:cs="Times New Roman"/>
          <w:sz w:val="24"/>
          <w:szCs w:val="24"/>
        </w:rPr>
      </w:pPr>
    </w:p>
    <w:p w:rsidR="001110CF" w:rsidRDefault="002B7C77" w:rsidP="00A43045">
      <w:pPr>
        <w:pStyle w:val="NoSpacing"/>
        <w:rPr>
          <w:rFonts w:ascii="Times New Roman" w:hAnsi="Times New Roman" w:cs="Times New Roman"/>
          <w:sz w:val="24"/>
          <w:szCs w:val="24"/>
        </w:rPr>
      </w:pPr>
      <w:r>
        <w:rPr>
          <w:rFonts w:ascii="Times New Roman" w:hAnsi="Times New Roman" w:cs="Times New Roman"/>
          <w:sz w:val="24"/>
          <w:szCs w:val="24"/>
        </w:rPr>
        <w:t>Three different databases were used</w:t>
      </w:r>
      <w:r w:rsidR="008F782F">
        <w:rPr>
          <w:rFonts w:ascii="Times New Roman" w:hAnsi="Times New Roman" w:cs="Times New Roman"/>
          <w:sz w:val="24"/>
          <w:szCs w:val="24"/>
        </w:rPr>
        <w:t xml:space="preserve"> in two passes</w:t>
      </w:r>
      <w:r>
        <w:rPr>
          <w:rFonts w:ascii="Times New Roman" w:hAnsi="Times New Roman" w:cs="Times New Roman"/>
          <w:sz w:val="24"/>
          <w:szCs w:val="24"/>
        </w:rPr>
        <w:t xml:space="preserve"> to label each SPLC antigovernment group record with the corresponding FIPS county-code. The first </w:t>
      </w:r>
      <w:r w:rsidR="008F782F">
        <w:rPr>
          <w:rFonts w:ascii="Times New Roman" w:hAnsi="Times New Roman" w:cs="Times New Roman"/>
          <w:sz w:val="24"/>
          <w:szCs w:val="24"/>
        </w:rPr>
        <w:t xml:space="preserve">pass </w:t>
      </w:r>
      <w:r>
        <w:rPr>
          <w:rFonts w:ascii="Times New Roman" w:hAnsi="Times New Roman" w:cs="Times New Roman"/>
          <w:sz w:val="24"/>
          <w:szCs w:val="24"/>
        </w:rPr>
        <w:t xml:space="preserve">used a single database obtained </w:t>
      </w:r>
      <w:r w:rsidR="008F782F">
        <w:rPr>
          <w:rFonts w:ascii="Times New Roman" w:hAnsi="Times New Roman" w:cs="Times New Roman"/>
          <w:sz w:val="24"/>
          <w:szCs w:val="24"/>
        </w:rPr>
        <w:t xml:space="preserve">through </w:t>
      </w:r>
      <w:r>
        <w:rPr>
          <w:rFonts w:ascii="Times New Roman" w:hAnsi="Times New Roman" w:cs="Times New Roman"/>
          <w:sz w:val="24"/>
          <w:szCs w:val="24"/>
        </w:rPr>
        <w:t>the U.S. Small Business Administration API</w:t>
      </w:r>
      <w:r w:rsidR="008F782F">
        <w:rPr>
          <w:rFonts w:ascii="Times New Roman" w:hAnsi="Times New Roman" w:cs="Times New Roman"/>
          <w:sz w:val="24"/>
          <w:szCs w:val="24"/>
        </w:rPr>
        <w:t>.</w:t>
      </w:r>
      <w:r>
        <w:rPr>
          <w:rStyle w:val="FootnoteReference"/>
          <w:rFonts w:ascii="Times New Roman" w:hAnsi="Times New Roman" w:cs="Times New Roman"/>
          <w:sz w:val="24"/>
          <w:szCs w:val="24"/>
        </w:rPr>
        <w:footnoteReference w:id="5"/>
      </w:r>
      <w:r w:rsidR="008F782F">
        <w:rPr>
          <w:rFonts w:ascii="Times New Roman" w:hAnsi="Times New Roman" w:cs="Times New Roman"/>
          <w:sz w:val="24"/>
          <w:szCs w:val="24"/>
        </w:rPr>
        <w:t xml:space="preserve"> This database contained city, county, state, and FIPS codes.</w:t>
      </w:r>
      <w:r>
        <w:rPr>
          <w:rFonts w:ascii="Times New Roman" w:hAnsi="Times New Roman" w:cs="Times New Roman"/>
          <w:sz w:val="24"/>
          <w:szCs w:val="24"/>
        </w:rPr>
        <w:t xml:space="preserve"> According to the API webpage, data come from USGS Geographic Names Information System. The second </w:t>
      </w:r>
      <w:r w:rsidR="008F782F">
        <w:rPr>
          <w:rFonts w:ascii="Times New Roman" w:hAnsi="Times New Roman" w:cs="Times New Roman"/>
          <w:sz w:val="24"/>
          <w:szCs w:val="24"/>
        </w:rPr>
        <w:t xml:space="preserve">pass used a combination of two datasets. The first contained </w:t>
      </w:r>
      <w:r w:rsidR="008F782F">
        <w:rPr>
          <w:rFonts w:ascii="Times New Roman" w:hAnsi="Times New Roman" w:cs="Times New Roman"/>
          <w:sz w:val="24"/>
          <w:szCs w:val="24"/>
        </w:rPr>
        <w:lastRenderedPageBreak/>
        <w:t xml:space="preserve">city, county and state data, and was obtained from the </w:t>
      </w:r>
      <w:proofErr w:type="spellStart"/>
      <w:r w:rsidR="008F782F">
        <w:rPr>
          <w:rFonts w:ascii="Times New Roman" w:hAnsi="Times New Roman" w:cs="Times New Roman"/>
          <w:sz w:val="24"/>
          <w:szCs w:val="24"/>
        </w:rPr>
        <w:t>Gaslapmedia</w:t>
      </w:r>
      <w:proofErr w:type="spellEnd"/>
      <w:r w:rsidR="008F782F">
        <w:rPr>
          <w:rFonts w:ascii="Times New Roman" w:hAnsi="Times New Roman" w:cs="Times New Roman"/>
          <w:sz w:val="24"/>
          <w:szCs w:val="24"/>
        </w:rPr>
        <w:t xml:space="preserve"> webpage.</w:t>
      </w:r>
      <w:r w:rsidR="008F782F">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w:t>
      </w:r>
      <w:r w:rsidR="008F782F">
        <w:rPr>
          <w:rFonts w:ascii="Times New Roman" w:hAnsi="Times New Roman" w:cs="Times New Roman"/>
          <w:sz w:val="24"/>
          <w:szCs w:val="24"/>
        </w:rPr>
        <w:t>The second contained county and FIPS codes, and was obtained from the U.S. Census bureau.</w:t>
      </w:r>
      <w:r w:rsidR="008F782F">
        <w:rPr>
          <w:rStyle w:val="FootnoteReference"/>
          <w:rFonts w:ascii="Times New Roman" w:hAnsi="Times New Roman" w:cs="Times New Roman"/>
          <w:sz w:val="24"/>
          <w:szCs w:val="24"/>
        </w:rPr>
        <w:footnoteReference w:id="7"/>
      </w:r>
    </w:p>
    <w:p w:rsidR="00C553B4" w:rsidRDefault="00C553B4" w:rsidP="00A43045">
      <w:pPr>
        <w:pStyle w:val="NoSpacing"/>
        <w:rPr>
          <w:rFonts w:ascii="Times New Roman" w:hAnsi="Times New Roman" w:cs="Times New Roman"/>
          <w:sz w:val="24"/>
          <w:szCs w:val="24"/>
        </w:rPr>
      </w:pPr>
    </w:p>
    <w:p w:rsidR="00A05B18" w:rsidRDefault="00C96005" w:rsidP="00C96005">
      <w:pPr>
        <w:pStyle w:val="NoSpacing"/>
        <w:rPr>
          <w:rFonts w:ascii="Times New Roman" w:hAnsi="Times New Roman" w:cs="Times New Roman"/>
          <w:i/>
          <w:sz w:val="24"/>
        </w:rPr>
      </w:pPr>
      <w:r w:rsidRPr="00C96005">
        <w:rPr>
          <w:rFonts w:ascii="Times New Roman" w:hAnsi="Times New Roman" w:cs="Times New Roman"/>
          <w:i/>
          <w:sz w:val="24"/>
        </w:rPr>
        <w:t>Data</w:t>
      </w:r>
      <w:r w:rsidR="004C255F">
        <w:rPr>
          <w:rFonts w:ascii="Times New Roman" w:hAnsi="Times New Roman" w:cs="Times New Roman"/>
          <w:i/>
          <w:sz w:val="24"/>
        </w:rPr>
        <w:t>, As-Found</w:t>
      </w:r>
    </w:p>
    <w:p w:rsidR="00A05B18" w:rsidRDefault="00A05B18" w:rsidP="00A43045">
      <w:pPr>
        <w:pStyle w:val="NoSpacing"/>
        <w:rPr>
          <w:rFonts w:ascii="Times New Roman" w:hAnsi="Times New Roman" w:cs="Times New Roman"/>
          <w:sz w:val="24"/>
        </w:rPr>
      </w:pPr>
      <w:r>
        <w:rPr>
          <w:rFonts w:ascii="Times New Roman" w:hAnsi="Times New Roman" w:cs="Times New Roman"/>
          <w:sz w:val="24"/>
        </w:rPr>
        <w:t>SPLC reported antigovernment group data in slightly different formats from year to year, but always in list format. All years, groups were reported by state. Most years, organization name was reported in bold, with relevant chapter location(s) within the state reported in the next line in regular font. Militia status was often indicated by an asterisk by the organization name or the chapter location, but in some years, militancy was indicated within the organization name field instead.</w:t>
      </w:r>
      <w:r w:rsidR="00CA30A6">
        <w:rPr>
          <w:rFonts w:ascii="Times New Roman" w:hAnsi="Times New Roman" w:cs="Times New Roman"/>
          <w:sz w:val="24"/>
        </w:rPr>
        <w:t xml:space="preserve"> SPLC provided the state and annual tally of groups based on the number of </w:t>
      </w:r>
      <w:r w:rsidR="00CA30A6" w:rsidRPr="00CA30A6">
        <w:rPr>
          <w:rFonts w:ascii="Times New Roman" w:hAnsi="Times New Roman" w:cs="Times New Roman"/>
          <w:b/>
          <w:i/>
          <w:sz w:val="24"/>
        </w:rPr>
        <w:t>chapter locations</w:t>
      </w:r>
      <w:r w:rsidR="00CA30A6">
        <w:rPr>
          <w:rFonts w:ascii="Times New Roman" w:hAnsi="Times New Roman" w:cs="Times New Roman"/>
          <w:sz w:val="24"/>
        </w:rPr>
        <w:t xml:space="preserve"> observed, rather than by number of unique organization names.</w:t>
      </w:r>
    </w:p>
    <w:p w:rsidR="00A05B18" w:rsidRDefault="00A05B18" w:rsidP="00A43045">
      <w:pPr>
        <w:pStyle w:val="NoSpacing"/>
        <w:rPr>
          <w:rFonts w:ascii="Times New Roman" w:hAnsi="Times New Roman" w:cs="Times New Roman"/>
          <w:sz w:val="24"/>
        </w:rPr>
      </w:pPr>
    </w:p>
    <w:p w:rsidR="00A05B18" w:rsidRDefault="00AB76ED" w:rsidP="00A43045">
      <w:pPr>
        <w:pStyle w:val="NoSpacing"/>
        <w:rPr>
          <w:rFonts w:ascii="Times New Roman" w:hAnsi="Times New Roman" w:cs="Times New Roman"/>
          <w:sz w:val="24"/>
        </w:rPr>
      </w:pPr>
      <w:r>
        <w:rPr>
          <w:rFonts w:ascii="Times New Roman" w:hAnsi="Times New Roman" w:cs="Times New Roman"/>
          <w:sz w:val="24"/>
        </w:rPr>
        <w:t>SPLC d</w:t>
      </w:r>
      <w:r w:rsidR="00A05B18">
        <w:rPr>
          <w:rFonts w:ascii="Times New Roman" w:hAnsi="Times New Roman" w:cs="Times New Roman"/>
          <w:sz w:val="24"/>
        </w:rPr>
        <w:t>ata were manually copied from each</w:t>
      </w:r>
      <w:r>
        <w:rPr>
          <w:rFonts w:ascii="Times New Roman" w:hAnsi="Times New Roman" w:cs="Times New Roman"/>
          <w:sz w:val="24"/>
        </w:rPr>
        <w:t xml:space="preserve"> online</w:t>
      </w:r>
      <w:r w:rsidR="00A05B18">
        <w:rPr>
          <w:rFonts w:ascii="Times New Roman" w:hAnsi="Times New Roman" w:cs="Times New Roman"/>
          <w:sz w:val="24"/>
        </w:rPr>
        <w:t xml:space="preserve"> article and reformatted into a Pandas </w:t>
      </w:r>
      <w:proofErr w:type="spellStart"/>
      <w:r w:rsidR="00A05B18">
        <w:rPr>
          <w:rFonts w:ascii="Times New Roman" w:hAnsi="Times New Roman" w:cs="Times New Roman"/>
          <w:sz w:val="24"/>
        </w:rPr>
        <w:t>dataframe</w:t>
      </w:r>
      <w:proofErr w:type="spellEnd"/>
      <w:r w:rsidR="00A05B18">
        <w:rPr>
          <w:rFonts w:ascii="Times New Roman" w:hAnsi="Times New Roman" w:cs="Times New Roman"/>
          <w:sz w:val="24"/>
        </w:rPr>
        <w:t xml:space="preserve"> using a combination of Excel and Python.</w:t>
      </w:r>
      <w:r w:rsidR="001110CF">
        <w:rPr>
          <w:rFonts w:ascii="Times New Roman" w:hAnsi="Times New Roman" w:cs="Times New Roman"/>
          <w:sz w:val="24"/>
        </w:rPr>
        <w:t xml:space="preserve"> A total of 7,836 chapter location records were compiled for the 2007-2016 years.</w:t>
      </w:r>
    </w:p>
    <w:p w:rsidR="00A05B18" w:rsidRDefault="00A05B18" w:rsidP="00A43045">
      <w:pPr>
        <w:pStyle w:val="NoSpacing"/>
        <w:rPr>
          <w:rFonts w:ascii="Times New Roman" w:hAnsi="Times New Roman" w:cs="Times New Roman"/>
          <w:sz w:val="24"/>
        </w:rPr>
      </w:pPr>
    </w:p>
    <w:p w:rsidR="00A05B18" w:rsidRDefault="00A05B18" w:rsidP="00A43045">
      <w:pPr>
        <w:pStyle w:val="NoSpacing"/>
        <w:rPr>
          <w:rFonts w:ascii="Times New Roman" w:hAnsi="Times New Roman" w:cs="Times New Roman"/>
          <w:sz w:val="24"/>
        </w:rPr>
      </w:pPr>
      <w:r>
        <w:rPr>
          <w:rFonts w:ascii="Times New Roman" w:hAnsi="Times New Roman" w:cs="Times New Roman"/>
          <w:i/>
          <w:sz w:val="24"/>
        </w:rPr>
        <w:t xml:space="preserve">Data </w:t>
      </w:r>
      <w:r w:rsidR="005123DE">
        <w:rPr>
          <w:rFonts w:ascii="Times New Roman" w:hAnsi="Times New Roman" w:cs="Times New Roman"/>
          <w:i/>
          <w:sz w:val="24"/>
        </w:rPr>
        <w:t>Cleanup</w:t>
      </w:r>
    </w:p>
    <w:p w:rsidR="00A05B18" w:rsidRDefault="00A05B18" w:rsidP="00A43045">
      <w:pPr>
        <w:pStyle w:val="NoSpacing"/>
        <w:rPr>
          <w:rFonts w:ascii="Times New Roman" w:hAnsi="Times New Roman" w:cs="Times New Roman"/>
          <w:sz w:val="24"/>
        </w:rPr>
      </w:pPr>
      <w:r>
        <w:rPr>
          <w:rFonts w:ascii="Times New Roman" w:hAnsi="Times New Roman" w:cs="Times New Roman"/>
          <w:sz w:val="24"/>
        </w:rPr>
        <w:t>The variation in</w:t>
      </w:r>
      <w:r w:rsidR="00CA5822">
        <w:rPr>
          <w:rFonts w:ascii="Times New Roman" w:hAnsi="Times New Roman" w:cs="Times New Roman"/>
          <w:sz w:val="24"/>
        </w:rPr>
        <w:t xml:space="preserve"> SPLC’s</w:t>
      </w:r>
      <w:r>
        <w:rPr>
          <w:rFonts w:ascii="Times New Roman" w:hAnsi="Times New Roman" w:cs="Times New Roman"/>
          <w:sz w:val="24"/>
        </w:rPr>
        <w:t xml:space="preserve"> reporting </w:t>
      </w:r>
      <w:r w:rsidR="00CA5822">
        <w:rPr>
          <w:rFonts w:ascii="Times New Roman" w:hAnsi="Times New Roman" w:cs="Times New Roman"/>
          <w:sz w:val="24"/>
        </w:rPr>
        <w:t>format</w:t>
      </w:r>
      <w:r>
        <w:rPr>
          <w:rFonts w:ascii="Times New Roman" w:hAnsi="Times New Roman" w:cs="Times New Roman"/>
          <w:sz w:val="24"/>
        </w:rPr>
        <w:t xml:space="preserve"> from year to year </w:t>
      </w:r>
      <w:r w:rsidR="00E87A74">
        <w:rPr>
          <w:rFonts w:ascii="Times New Roman" w:hAnsi="Times New Roman" w:cs="Times New Roman"/>
          <w:sz w:val="24"/>
        </w:rPr>
        <w:t>and observed inconsistencies (errors) within years immediately signaled concerns about data quality.</w:t>
      </w:r>
      <w:r w:rsidR="00CA30A6">
        <w:rPr>
          <w:rFonts w:ascii="Times New Roman" w:hAnsi="Times New Roman" w:cs="Times New Roman"/>
          <w:sz w:val="24"/>
        </w:rPr>
        <w:t xml:space="preserve"> For most years, however, these mistakes were readily identified and corrected.</w:t>
      </w:r>
      <w:r w:rsidR="00E87A74">
        <w:rPr>
          <w:rFonts w:ascii="Times New Roman" w:hAnsi="Times New Roman" w:cs="Times New Roman"/>
          <w:sz w:val="24"/>
        </w:rPr>
        <w:t xml:space="preserve"> The 2012 year presented additional difficulties: organization name could not be distinguished by format (bold, font size, capitalizations, etc.) from the chapter location(s). As a result, each record from the 2012 report was manually classified as either organization or chapter location using a combination of records from other years and Google searches, where necessary.</w:t>
      </w:r>
    </w:p>
    <w:p w:rsidR="00CA5822" w:rsidRDefault="00CA5822" w:rsidP="00A43045">
      <w:pPr>
        <w:pStyle w:val="NoSpacing"/>
        <w:rPr>
          <w:rFonts w:ascii="Times New Roman" w:hAnsi="Times New Roman" w:cs="Times New Roman"/>
          <w:sz w:val="24"/>
        </w:rPr>
      </w:pPr>
    </w:p>
    <w:p w:rsidR="00CA30A6" w:rsidRDefault="00CA5822" w:rsidP="00A43045">
      <w:pPr>
        <w:pStyle w:val="NoSpacing"/>
        <w:rPr>
          <w:rFonts w:ascii="Times New Roman" w:hAnsi="Times New Roman" w:cs="Times New Roman"/>
          <w:sz w:val="24"/>
        </w:rPr>
      </w:pPr>
      <w:r>
        <w:rPr>
          <w:rFonts w:ascii="Times New Roman" w:hAnsi="Times New Roman" w:cs="Times New Roman"/>
          <w:sz w:val="24"/>
        </w:rPr>
        <w:t xml:space="preserve">After correcting for obvious errors, however, the total number of antigovernment groups reported annually by the SPLC and those I compiled from the </w:t>
      </w:r>
      <w:r>
        <w:rPr>
          <w:rFonts w:ascii="Times New Roman" w:hAnsi="Times New Roman" w:cs="Times New Roman"/>
          <w:i/>
          <w:sz w:val="24"/>
        </w:rPr>
        <w:t>Intelligence Report</w:t>
      </w:r>
      <w:r>
        <w:rPr>
          <w:rFonts w:ascii="Times New Roman" w:hAnsi="Times New Roman" w:cs="Times New Roman"/>
          <w:sz w:val="24"/>
        </w:rPr>
        <w:t xml:space="preserve"> </w:t>
      </w:r>
      <w:r w:rsidR="007F4818">
        <w:rPr>
          <w:rFonts w:ascii="Times New Roman" w:hAnsi="Times New Roman" w:cs="Times New Roman"/>
          <w:sz w:val="24"/>
        </w:rPr>
        <w:t>differed for</w:t>
      </w:r>
      <w:r>
        <w:rPr>
          <w:rFonts w:ascii="Times New Roman" w:hAnsi="Times New Roman" w:cs="Times New Roman"/>
          <w:sz w:val="24"/>
        </w:rPr>
        <w:t xml:space="preserve"> </w:t>
      </w:r>
      <w:r w:rsidR="007F4818">
        <w:rPr>
          <w:rFonts w:ascii="Times New Roman" w:hAnsi="Times New Roman" w:cs="Times New Roman"/>
          <w:sz w:val="24"/>
        </w:rPr>
        <w:t xml:space="preserve">some </w:t>
      </w:r>
      <w:r>
        <w:rPr>
          <w:rFonts w:ascii="Times New Roman" w:hAnsi="Times New Roman" w:cs="Times New Roman"/>
          <w:sz w:val="24"/>
        </w:rPr>
        <w:t xml:space="preserve">years. There was an especially high number of unexplained number of discrepancies found in the 2006 year. Time constraints prevented further validation of records with the SPLC. Lacking a logical explanation for the large discrepancy observed, it was determined that both 2005 and 2006 year data should be removed </w:t>
      </w:r>
      <w:r w:rsidR="008F782F">
        <w:rPr>
          <w:rFonts w:ascii="Times New Roman" w:hAnsi="Times New Roman" w:cs="Times New Roman"/>
          <w:sz w:val="24"/>
        </w:rPr>
        <w:t>from the future</w:t>
      </w:r>
      <w:r>
        <w:rPr>
          <w:rFonts w:ascii="Times New Roman" w:hAnsi="Times New Roman" w:cs="Times New Roman"/>
          <w:sz w:val="24"/>
        </w:rPr>
        <w:t xml:space="preserve"> analysis.</w:t>
      </w:r>
      <w:r w:rsidR="007F4818">
        <w:rPr>
          <w:rFonts w:ascii="Times New Roman" w:hAnsi="Times New Roman" w:cs="Times New Roman"/>
          <w:sz w:val="24"/>
        </w:rPr>
        <w:t xml:space="preserve"> </w:t>
      </w:r>
    </w:p>
    <w:p w:rsidR="00CA30A6" w:rsidRDefault="00CA30A6" w:rsidP="00A43045">
      <w:pPr>
        <w:pStyle w:val="NoSpacing"/>
        <w:rPr>
          <w:rFonts w:ascii="Times New Roman" w:hAnsi="Times New Roman" w:cs="Times New Roman"/>
          <w:sz w:val="24"/>
        </w:rPr>
      </w:pPr>
    </w:p>
    <w:p w:rsidR="00CA5822" w:rsidRPr="00CC3B13" w:rsidRDefault="007F4818" w:rsidP="00A43045">
      <w:pPr>
        <w:pStyle w:val="NoSpacing"/>
        <w:rPr>
          <w:rFonts w:ascii="Times New Roman" w:hAnsi="Times New Roman" w:cs="Times New Roman"/>
          <w:i/>
          <w:sz w:val="24"/>
        </w:rPr>
      </w:pPr>
      <w:r>
        <w:rPr>
          <w:rFonts w:ascii="Times New Roman" w:hAnsi="Times New Roman" w:cs="Times New Roman"/>
          <w:sz w:val="24"/>
        </w:rPr>
        <w:t>For the 2011 and 2015 years, SPLC</w:t>
      </w:r>
      <w:r w:rsidR="00CC3B13">
        <w:rPr>
          <w:rFonts w:ascii="Times New Roman" w:hAnsi="Times New Roman" w:cs="Times New Roman"/>
          <w:sz w:val="24"/>
        </w:rPr>
        <w:t xml:space="preserve">’s </w:t>
      </w:r>
      <w:r w:rsidR="00CC3B13">
        <w:rPr>
          <w:rFonts w:ascii="Times New Roman" w:hAnsi="Times New Roman" w:cs="Times New Roman"/>
          <w:i/>
          <w:sz w:val="24"/>
        </w:rPr>
        <w:t>Intelligence Report</w:t>
      </w:r>
      <w:r>
        <w:rPr>
          <w:rFonts w:ascii="Times New Roman" w:hAnsi="Times New Roman" w:cs="Times New Roman"/>
          <w:sz w:val="24"/>
        </w:rPr>
        <w:t xml:space="preserve"> </w:t>
      </w:r>
      <w:r w:rsidR="00CC3B13">
        <w:rPr>
          <w:rFonts w:ascii="Times New Roman" w:hAnsi="Times New Roman" w:cs="Times New Roman"/>
          <w:sz w:val="24"/>
        </w:rPr>
        <w:t xml:space="preserve">provided </w:t>
      </w:r>
      <w:r>
        <w:rPr>
          <w:rFonts w:ascii="Times New Roman" w:hAnsi="Times New Roman" w:cs="Times New Roman"/>
          <w:sz w:val="24"/>
        </w:rPr>
        <w:t xml:space="preserve">a larger tally of groups for than were found </w:t>
      </w:r>
      <w:r w:rsidR="005F2780">
        <w:rPr>
          <w:rFonts w:ascii="Times New Roman" w:hAnsi="Times New Roman" w:cs="Times New Roman"/>
          <w:sz w:val="24"/>
        </w:rPr>
        <w:t xml:space="preserve">listed </w:t>
      </w:r>
      <w:r>
        <w:rPr>
          <w:rFonts w:ascii="Times New Roman" w:hAnsi="Times New Roman" w:cs="Times New Roman"/>
          <w:sz w:val="24"/>
        </w:rPr>
        <w:t xml:space="preserve">in the </w:t>
      </w:r>
      <w:r>
        <w:rPr>
          <w:rFonts w:ascii="Times New Roman" w:hAnsi="Times New Roman" w:cs="Times New Roman"/>
          <w:i/>
          <w:sz w:val="24"/>
        </w:rPr>
        <w:t>Intelligence Report</w:t>
      </w:r>
      <w:r>
        <w:rPr>
          <w:rFonts w:ascii="Times New Roman" w:hAnsi="Times New Roman" w:cs="Times New Roman"/>
          <w:sz w:val="24"/>
        </w:rPr>
        <w:t xml:space="preserve"> records</w:t>
      </w:r>
      <w:r w:rsidR="000D23C9">
        <w:rPr>
          <w:rFonts w:ascii="Times New Roman" w:hAnsi="Times New Roman" w:cs="Times New Roman"/>
          <w:sz w:val="24"/>
        </w:rPr>
        <w:t>, even after initial cleanup</w:t>
      </w:r>
      <w:r>
        <w:rPr>
          <w:rFonts w:ascii="Times New Roman" w:hAnsi="Times New Roman" w:cs="Times New Roman"/>
          <w:sz w:val="24"/>
        </w:rPr>
        <w:t xml:space="preserve">. </w:t>
      </w:r>
      <w:r w:rsidR="00CC3B13">
        <w:rPr>
          <w:rFonts w:ascii="Times New Roman" w:hAnsi="Times New Roman" w:cs="Times New Roman"/>
          <w:sz w:val="24"/>
        </w:rPr>
        <w:t>Fortunately, t</w:t>
      </w:r>
      <w:r>
        <w:rPr>
          <w:rFonts w:ascii="Times New Roman" w:hAnsi="Times New Roman" w:cs="Times New Roman"/>
          <w:sz w:val="24"/>
        </w:rPr>
        <w:t xml:space="preserve">his discrepancy could be </w:t>
      </w:r>
      <w:r w:rsidR="005F2780">
        <w:rPr>
          <w:rFonts w:ascii="Times New Roman" w:hAnsi="Times New Roman" w:cs="Times New Roman"/>
          <w:sz w:val="24"/>
        </w:rPr>
        <w:t xml:space="preserve">reasonably </w:t>
      </w:r>
      <w:r>
        <w:rPr>
          <w:rFonts w:ascii="Times New Roman" w:hAnsi="Times New Roman" w:cs="Times New Roman"/>
          <w:sz w:val="24"/>
        </w:rPr>
        <w:t>explained by the number organization</w:t>
      </w:r>
      <w:r w:rsidR="00CC3B13">
        <w:rPr>
          <w:rFonts w:ascii="Times New Roman" w:hAnsi="Times New Roman" w:cs="Times New Roman"/>
          <w:sz w:val="24"/>
        </w:rPr>
        <w:t xml:space="preserve"> names</w:t>
      </w:r>
      <w:r>
        <w:rPr>
          <w:rFonts w:ascii="Times New Roman" w:hAnsi="Times New Roman" w:cs="Times New Roman"/>
          <w:sz w:val="24"/>
        </w:rPr>
        <w:t xml:space="preserve"> that were erroneously misclassified </w:t>
      </w:r>
      <w:r w:rsidR="00CA30A6">
        <w:rPr>
          <w:rFonts w:ascii="Times New Roman" w:hAnsi="Times New Roman" w:cs="Times New Roman"/>
          <w:sz w:val="24"/>
        </w:rPr>
        <w:t>as chapter locations</w:t>
      </w:r>
      <w:r w:rsidR="00CC3B13">
        <w:rPr>
          <w:rFonts w:ascii="Times New Roman" w:hAnsi="Times New Roman" w:cs="Times New Roman"/>
          <w:sz w:val="24"/>
        </w:rPr>
        <w:t xml:space="preserve"> – </w:t>
      </w:r>
      <w:r w:rsidR="00CA30A6">
        <w:rPr>
          <w:rFonts w:ascii="Times New Roman" w:hAnsi="Times New Roman" w:cs="Times New Roman"/>
          <w:sz w:val="24"/>
        </w:rPr>
        <w:t xml:space="preserve">recall, SPLC tallies groups by the number of individual chapters, instead of by </w:t>
      </w:r>
      <w:r w:rsidR="00CC3B13">
        <w:rPr>
          <w:rFonts w:ascii="Times New Roman" w:hAnsi="Times New Roman" w:cs="Times New Roman"/>
          <w:sz w:val="24"/>
        </w:rPr>
        <w:t>organization name. I</w:t>
      </w:r>
      <w:r>
        <w:rPr>
          <w:rFonts w:ascii="Times New Roman" w:hAnsi="Times New Roman" w:cs="Times New Roman"/>
          <w:sz w:val="24"/>
        </w:rPr>
        <w:t xml:space="preserve">n </w:t>
      </w:r>
      <w:r w:rsidR="00CC3B13">
        <w:rPr>
          <w:rFonts w:ascii="Times New Roman" w:hAnsi="Times New Roman" w:cs="Times New Roman"/>
          <w:sz w:val="24"/>
        </w:rPr>
        <w:t>both the 2011 and 2015 years</w:t>
      </w:r>
      <w:r>
        <w:rPr>
          <w:rFonts w:ascii="Times New Roman" w:hAnsi="Times New Roman" w:cs="Times New Roman"/>
          <w:sz w:val="24"/>
        </w:rPr>
        <w:t xml:space="preserve">, </w:t>
      </w:r>
      <w:r w:rsidR="00CC3B13">
        <w:rPr>
          <w:rFonts w:ascii="Times New Roman" w:hAnsi="Times New Roman" w:cs="Times New Roman"/>
          <w:sz w:val="24"/>
        </w:rPr>
        <w:t>the number of misclassified organization names corresponded</w:t>
      </w:r>
      <w:r>
        <w:rPr>
          <w:rFonts w:ascii="Times New Roman" w:hAnsi="Times New Roman" w:cs="Times New Roman"/>
          <w:sz w:val="24"/>
        </w:rPr>
        <w:t xml:space="preserve"> exactly to the “missing” number of group records by year.</w:t>
      </w:r>
      <w:r>
        <w:rPr>
          <w:rStyle w:val="FootnoteReference"/>
          <w:rFonts w:ascii="Times New Roman" w:hAnsi="Times New Roman" w:cs="Times New Roman"/>
          <w:sz w:val="24"/>
        </w:rPr>
        <w:footnoteReference w:id="8"/>
      </w:r>
      <w:r w:rsidR="00CC3B13">
        <w:rPr>
          <w:rFonts w:ascii="Times New Roman" w:hAnsi="Times New Roman" w:cs="Times New Roman"/>
          <w:sz w:val="24"/>
        </w:rPr>
        <w:t xml:space="preserve"> Based on available evidence, </w:t>
      </w:r>
      <w:r w:rsidR="005F2780">
        <w:rPr>
          <w:rFonts w:ascii="Times New Roman" w:hAnsi="Times New Roman" w:cs="Times New Roman"/>
          <w:sz w:val="24"/>
        </w:rPr>
        <w:t xml:space="preserve">our correction should thus produce a group </w:t>
      </w:r>
      <w:r w:rsidR="005F2780">
        <w:rPr>
          <w:rFonts w:ascii="Times New Roman" w:hAnsi="Times New Roman" w:cs="Times New Roman"/>
          <w:sz w:val="24"/>
        </w:rPr>
        <w:lastRenderedPageBreak/>
        <w:t xml:space="preserve">number count for the 2007-2016 years that is </w:t>
      </w:r>
      <w:r w:rsidR="00CC3B13">
        <w:rPr>
          <w:rFonts w:ascii="Times New Roman" w:hAnsi="Times New Roman" w:cs="Times New Roman"/>
          <w:sz w:val="24"/>
        </w:rPr>
        <w:t xml:space="preserve">more accurate than the </w:t>
      </w:r>
      <w:r w:rsidR="005F2780">
        <w:rPr>
          <w:rFonts w:ascii="Times New Roman" w:hAnsi="Times New Roman" w:cs="Times New Roman"/>
          <w:sz w:val="24"/>
        </w:rPr>
        <w:t xml:space="preserve">annual </w:t>
      </w:r>
      <w:r w:rsidR="00CC3B13">
        <w:rPr>
          <w:rFonts w:ascii="Times New Roman" w:hAnsi="Times New Roman" w:cs="Times New Roman"/>
          <w:sz w:val="24"/>
        </w:rPr>
        <w:t xml:space="preserve">tally provided by the </w:t>
      </w:r>
      <w:r w:rsidR="005F2780">
        <w:rPr>
          <w:rFonts w:ascii="Times New Roman" w:hAnsi="Times New Roman" w:cs="Times New Roman"/>
          <w:sz w:val="24"/>
        </w:rPr>
        <w:t>SPLC.</w:t>
      </w:r>
    </w:p>
    <w:p w:rsidR="007F4818" w:rsidRDefault="007F4818" w:rsidP="00A43045">
      <w:pPr>
        <w:pStyle w:val="NoSpacing"/>
        <w:rPr>
          <w:rFonts w:ascii="Times New Roman" w:hAnsi="Times New Roman" w:cs="Times New Roman"/>
          <w:sz w:val="24"/>
        </w:rPr>
      </w:pPr>
    </w:p>
    <w:p w:rsidR="007F4818" w:rsidRDefault="007F77D3" w:rsidP="007F4818">
      <w:pPr>
        <w:pStyle w:val="NoSpacing"/>
        <w:jc w:val="center"/>
        <w:rPr>
          <w:rFonts w:ascii="Times New Roman" w:hAnsi="Times New Roman" w:cs="Times New Roman"/>
          <w:b/>
          <w:sz w:val="24"/>
        </w:rPr>
      </w:pPr>
      <w:r>
        <w:rPr>
          <w:rFonts w:ascii="Times New Roman" w:hAnsi="Times New Roman" w:cs="Times New Roman"/>
          <w:b/>
          <w:sz w:val="24"/>
        </w:rPr>
        <w:t xml:space="preserve">Table 1: </w:t>
      </w:r>
      <w:r w:rsidR="007F4818">
        <w:rPr>
          <w:rFonts w:ascii="Times New Roman" w:hAnsi="Times New Roman" w:cs="Times New Roman"/>
          <w:b/>
          <w:sz w:val="24"/>
        </w:rPr>
        <w:t>Comparison of Group Numbers by Years</w:t>
      </w:r>
      <w:r w:rsidR="00CC3B13">
        <w:rPr>
          <w:rFonts w:ascii="Times New Roman" w:hAnsi="Times New Roman" w:cs="Times New Roman"/>
          <w:b/>
          <w:sz w:val="24"/>
        </w:rPr>
        <w:t xml:space="preserve">, from the </w:t>
      </w:r>
      <w:r w:rsidR="00CC3B13">
        <w:rPr>
          <w:rFonts w:ascii="Times New Roman" w:hAnsi="Times New Roman" w:cs="Times New Roman"/>
          <w:b/>
          <w:i/>
          <w:sz w:val="24"/>
        </w:rPr>
        <w:t>Intelligence Report</w:t>
      </w:r>
      <w:r w:rsidR="007F4818">
        <w:rPr>
          <w:rFonts w:ascii="Times New Roman" w:hAnsi="Times New Roman" w:cs="Times New Roman"/>
          <w:b/>
          <w:sz w:val="24"/>
        </w:rPr>
        <w:t>:</w:t>
      </w:r>
    </w:p>
    <w:p w:rsidR="007F4818" w:rsidRPr="007F4818" w:rsidRDefault="007F4818" w:rsidP="007F4818">
      <w:pPr>
        <w:pStyle w:val="NoSpacing"/>
        <w:jc w:val="center"/>
        <w:rPr>
          <w:rFonts w:ascii="Times New Roman" w:hAnsi="Times New Roman" w:cs="Times New Roman"/>
          <w:b/>
          <w:sz w:val="24"/>
        </w:rPr>
      </w:pPr>
      <w:r>
        <w:rPr>
          <w:rFonts w:ascii="Times New Roman" w:hAnsi="Times New Roman" w:cs="Times New Roman"/>
          <w:b/>
          <w:sz w:val="24"/>
        </w:rPr>
        <w:t xml:space="preserve">SPLC Tally versus Number Compiled by Author </w:t>
      </w:r>
    </w:p>
    <w:p w:rsidR="00CA5822" w:rsidRDefault="00CA5822" w:rsidP="00A43045">
      <w:pPr>
        <w:pStyle w:val="NoSpacing"/>
        <w:rPr>
          <w:rFonts w:ascii="Times New Roman" w:hAnsi="Times New Roman" w:cs="Times New Roman"/>
          <w:sz w:val="24"/>
        </w:rPr>
      </w:pPr>
    </w:p>
    <w:tbl>
      <w:tblPr>
        <w:tblStyle w:val="TableGrid"/>
        <w:tblW w:w="0" w:type="auto"/>
        <w:jc w:val="center"/>
        <w:tblLook w:val="04A0" w:firstRow="1" w:lastRow="0" w:firstColumn="1" w:lastColumn="0" w:noHBand="0" w:noVBand="1"/>
      </w:tblPr>
      <w:tblGrid>
        <w:gridCol w:w="1260"/>
        <w:gridCol w:w="2705"/>
        <w:gridCol w:w="2600"/>
      </w:tblGrid>
      <w:tr w:rsidR="00CA5822" w:rsidRPr="00CA5822" w:rsidTr="00CA5822">
        <w:trPr>
          <w:trHeight w:val="583"/>
          <w:jc w:val="center"/>
        </w:trPr>
        <w:tc>
          <w:tcPr>
            <w:tcW w:w="1260" w:type="dxa"/>
            <w:noWrap/>
            <w:hideMark/>
          </w:tcPr>
          <w:p w:rsidR="00CA5822" w:rsidRDefault="00CA5822" w:rsidP="00CA5822">
            <w:pPr>
              <w:pStyle w:val="NoSpacing"/>
              <w:jc w:val="center"/>
              <w:rPr>
                <w:rFonts w:ascii="Times New Roman" w:hAnsi="Times New Roman" w:cs="Times New Roman"/>
                <w:b/>
                <w:bCs/>
                <w:sz w:val="24"/>
              </w:rPr>
            </w:pPr>
          </w:p>
          <w:p w:rsidR="00CA5822" w:rsidRPr="00CA5822" w:rsidRDefault="00CA5822" w:rsidP="00CA5822">
            <w:pPr>
              <w:pStyle w:val="NoSpacing"/>
              <w:jc w:val="center"/>
              <w:rPr>
                <w:rFonts w:ascii="Times New Roman" w:hAnsi="Times New Roman" w:cs="Times New Roman"/>
                <w:b/>
                <w:bCs/>
                <w:sz w:val="24"/>
              </w:rPr>
            </w:pPr>
            <w:r w:rsidRPr="00CA5822">
              <w:rPr>
                <w:rFonts w:ascii="Times New Roman" w:hAnsi="Times New Roman" w:cs="Times New Roman"/>
                <w:b/>
                <w:bCs/>
                <w:sz w:val="24"/>
              </w:rPr>
              <w:t>Year</w:t>
            </w:r>
          </w:p>
        </w:tc>
        <w:tc>
          <w:tcPr>
            <w:tcW w:w="2705" w:type="dxa"/>
            <w:hideMark/>
          </w:tcPr>
          <w:p w:rsidR="00CA5822" w:rsidRPr="00CA5822" w:rsidRDefault="00CA5822" w:rsidP="00CA5822">
            <w:pPr>
              <w:pStyle w:val="NoSpacing"/>
              <w:jc w:val="center"/>
              <w:rPr>
                <w:rFonts w:ascii="Times New Roman" w:hAnsi="Times New Roman" w:cs="Times New Roman"/>
                <w:b/>
                <w:bCs/>
                <w:sz w:val="24"/>
              </w:rPr>
            </w:pPr>
            <w:r w:rsidRPr="00CA5822">
              <w:rPr>
                <w:rFonts w:ascii="Times New Roman" w:hAnsi="Times New Roman" w:cs="Times New Roman"/>
                <w:b/>
                <w:bCs/>
                <w:sz w:val="24"/>
              </w:rPr>
              <w:t>Group Number:</w:t>
            </w:r>
            <w:r w:rsidRPr="00CA5822">
              <w:rPr>
                <w:rFonts w:ascii="Times New Roman" w:hAnsi="Times New Roman" w:cs="Times New Roman"/>
                <w:b/>
                <w:bCs/>
                <w:sz w:val="24"/>
              </w:rPr>
              <w:br/>
              <w:t>Compiled by author</w:t>
            </w:r>
          </w:p>
        </w:tc>
        <w:tc>
          <w:tcPr>
            <w:tcW w:w="2600" w:type="dxa"/>
            <w:hideMark/>
          </w:tcPr>
          <w:p w:rsidR="00CA5822" w:rsidRPr="00CA5822" w:rsidRDefault="00CA5822" w:rsidP="00CA5822">
            <w:pPr>
              <w:pStyle w:val="NoSpacing"/>
              <w:jc w:val="center"/>
              <w:rPr>
                <w:rFonts w:ascii="Times New Roman" w:hAnsi="Times New Roman" w:cs="Times New Roman"/>
                <w:b/>
                <w:bCs/>
                <w:sz w:val="24"/>
              </w:rPr>
            </w:pPr>
            <w:r w:rsidRPr="00CA5822">
              <w:rPr>
                <w:rFonts w:ascii="Times New Roman" w:hAnsi="Times New Roman" w:cs="Times New Roman"/>
                <w:b/>
                <w:bCs/>
                <w:sz w:val="24"/>
              </w:rPr>
              <w:t>Group Number:</w:t>
            </w:r>
            <w:r w:rsidRPr="00CA5822">
              <w:rPr>
                <w:rFonts w:ascii="Times New Roman" w:hAnsi="Times New Roman" w:cs="Times New Roman"/>
                <w:b/>
                <w:bCs/>
                <w:sz w:val="24"/>
              </w:rPr>
              <w:br/>
            </w:r>
            <w:r w:rsidR="007F4818">
              <w:rPr>
                <w:rFonts w:ascii="Times New Roman" w:hAnsi="Times New Roman" w:cs="Times New Roman"/>
                <w:b/>
                <w:bCs/>
                <w:sz w:val="24"/>
              </w:rPr>
              <w:t>Tallied</w:t>
            </w:r>
            <w:r w:rsidRPr="00CA5822">
              <w:rPr>
                <w:rFonts w:ascii="Times New Roman" w:hAnsi="Times New Roman" w:cs="Times New Roman"/>
                <w:b/>
                <w:bCs/>
                <w:sz w:val="24"/>
              </w:rPr>
              <w:t xml:space="preserve"> by SPLC</w:t>
            </w:r>
          </w:p>
        </w:tc>
      </w:tr>
      <w:tr w:rsidR="00CA5822" w:rsidRPr="00CA5822" w:rsidTr="00CA5822">
        <w:trPr>
          <w:trHeight w:val="307"/>
          <w:jc w:val="center"/>
        </w:trPr>
        <w:tc>
          <w:tcPr>
            <w:tcW w:w="1260" w:type="dxa"/>
            <w:noWrap/>
            <w:hideMark/>
          </w:tcPr>
          <w:p w:rsidR="00CA5822" w:rsidRPr="00CA5822" w:rsidRDefault="00CA5822" w:rsidP="00CA5822">
            <w:pPr>
              <w:pStyle w:val="NoSpacing"/>
              <w:jc w:val="center"/>
              <w:rPr>
                <w:rFonts w:ascii="Times New Roman" w:hAnsi="Times New Roman" w:cs="Times New Roman"/>
                <w:sz w:val="24"/>
              </w:rPr>
            </w:pPr>
            <w:r w:rsidRPr="00CA5822">
              <w:rPr>
                <w:rFonts w:ascii="Times New Roman" w:hAnsi="Times New Roman" w:cs="Times New Roman"/>
                <w:sz w:val="24"/>
              </w:rPr>
              <w:t>2016</w:t>
            </w:r>
          </w:p>
        </w:tc>
        <w:tc>
          <w:tcPr>
            <w:tcW w:w="2705" w:type="dxa"/>
            <w:noWrap/>
            <w:hideMark/>
          </w:tcPr>
          <w:p w:rsidR="00CA5822" w:rsidRPr="00CA5822" w:rsidRDefault="00CA5822" w:rsidP="00CA5822">
            <w:pPr>
              <w:pStyle w:val="NoSpacing"/>
              <w:jc w:val="center"/>
              <w:rPr>
                <w:rFonts w:ascii="Times New Roman" w:hAnsi="Times New Roman" w:cs="Times New Roman"/>
                <w:sz w:val="24"/>
              </w:rPr>
            </w:pPr>
            <w:r w:rsidRPr="00CA5822">
              <w:rPr>
                <w:rFonts w:ascii="Times New Roman" w:hAnsi="Times New Roman" w:cs="Times New Roman"/>
                <w:sz w:val="24"/>
              </w:rPr>
              <w:t>623</w:t>
            </w:r>
          </w:p>
        </w:tc>
        <w:tc>
          <w:tcPr>
            <w:tcW w:w="2600" w:type="dxa"/>
            <w:noWrap/>
            <w:hideMark/>
          </w:tcPr>
          <w:p w:rsidR="00CA5822" w:rsidRPr="00CA5822" w:rsidRDefault="00CA5822" w:rsidP="00CA5822">
            <w:pPr>
              <w:pStyle w:val="NoSpacing"/>
              <w:jc w:val="center"/>
              <w:rPr>
                <w:rFonts w:ascii="Times New Roman" w:hAnsi="Times New Roman" w:cs="Times New Roman"/>
                <w:sz w:val="24"/>
              </w:rPr>
            </w:pPr>
            <w:r w:rsidRPr="00CA5822">
              <w:rPr>
                <w:rFonts w:ascii="Times New Roman" w:hAnsi="Times New Roman" w:cs="Times New Roman"/>
                <w:sz w:val="24"/>
              </w:rPr>
              <w:t>623</w:t>
            </w:r>
          </w:p>
        </w:tc>
      </w:tr>
      <w:tr w:rsidR="00CA5822" w:rsidRPr="00CA5822" w:rsidTr="00CA5822">
        <w:trPr>
          <w:trHeight w:val="307"/>
          <w:jc w:val="center"/>
        </w:trPr>
        <w:tc>
          <w:tcPr>
            <w:tcW w:w="1260" w:type="dxa"/>
            <w:noWrap/>
            <w:hideMark/>
          </w:tcPr>
          <w:p w:rsidR="00CA5822" w:rsidRPr="00CA5822" w:rsidRDefault="00CA5822" w:rsidP="00CA5822">
            <w:pPr>
              <w:pStyle w:val="NoSpacing"/>
              <w:jc w:val="center"/>
              <w:rPr>
                <w:rFonts w:ascii="Times New Roman" w:hAnsi="Times New Roman" w:cs="Times New Roman"/>
                <w:b/>
                <w:color w:val="FF0000"/>
                <w:sz w:val="24"/>
              </w:rPr>
            </w:pPr>
            <w:r w:rsidRPr="00CA5822">
              <w:rPr>
                <w:rFonts w:ascii="Times New Roman" w:hAnsi="Times New Roman" w:cs="Times New Roman"/>
                <w:b/>
                <w:color w:val="FF0000"/>
                <w:sz w:val="24"/>
              </w:rPr>
              <w:t>2015</w:t>
            </w:r>
          </w:p>
        </w:tc>
        <w:tc>
          <w:tcPr>
            <w:tcW w:w="2705" w:type="dxa"/>
            <w:noWrap/>
            <w:hideMark/>
          </w:tcPr>
          <w:p w:rsidR="00CA5822" w:rsidRPr="00CA5822" w:rsidRDefault="00CA5822" w:rsidP="00CA5822">
            <w:pPr>
              <w:pStyle w:val="NoSpacing"/>
              <w:jc w:val="center"/>
              <w:rPr>
                <w:rFonts w:ascii="Times New Roman" w:hAnsi="Times New Roman" w:cs="Times New Roman"/>
                <w:b/>
                <w:color w:val="FF0000"/>
                <w:sz w:val="24"/>
              </w:rPr>
            </w:pPr>
            <w:r w:rsidRPr="00CA5822">
              <w:rPr>
                <w:rFonts w:ascii="Times New Roman" w:hAnsi="Times New Roman" w:cs="Times New Roman"/>
                <w:b/>
                <w:color w:val="FF0000"/>
                <w:sz w:val="24"/>
              </w:rPr>
              <w:t>995</w:t>
            </w:r>
          </w:p>
        </w:tc>
        <w:tc>
          <w:tcPr>
            <w:tcW w:w="2600" w:type="dxa"/>
            <w:noWrap/>
            <w:hideMark/>
          </w:tcPr>
          <w:p w:rsidR="00CA5822" w:rsidRPr="00CA5822" w:rsidRDefault="00CA5822" w:rsidP="00CA5822">
            <w:pPr>
              <w:pStyle w:val="NoSpacing"/>
              <w:jc w:val="center"/>
              <w:rPr>
                <w:rFonts w:ascii="Times New Roman" w:hAnsi="Times New Roman" w:cs="Times New Roman"/>
                <w:b/>
                <w:color w:val="FF0000"/>
                <w:sz w:val="24"/>
              </w:rPr>
            </w:pPr>
            <w:r w:rsidRPr="00CA5822">
              <w:rPr>
                <w:rFonts w:ascii="Times New Roman" w:hAnsi="Times New Roman" w:cs="Times New Roman"/>
                <w:b/>
                <w:color w:val="FF0000"/>
                <w:sz w:val="24"/>
              </w:rPr>
              <w:t>998</w:t>
            </w:r>
          </w:p>
        </w:tc>
      </w:tr>
      <w:tr w:rsidR="00CA5822" w:rsidRPr="00CA5822" w:rsidTr="00CA5822">
        <w:trPr>
          <w:trHeight w:val="307"/>
          <w:jc w:val="center"/>
        </w:trPr>
        <w:tc>
          <w:tcPr>
            <w:tcW w:w="1260" w:type="dxa"/>
            <w:noWrap/>
            <w:hideMark/>
          </w:tcPr>
          <w:p w:rsidR="00CA5822" w:rsidRPr="00CA5822" w:rsidRDefault="00CA5822" w:rsidP="00CA5822">
            <w:pPr>
              <w:pStyle w:val="NoSpacing"/>
              <w:jc w:val="center"/>
              <w:rPr>
                <w:rFonts w:ascii="Times New Roman" w:hAnsi="Times New Roman" w:cs="Times New Roman"/>
                <w:sz w:val="24"/>
              </w:rPr>
            </w:pPr>
            <w:r w:rsidRPr="00CA5822">
              <w:rPr>
                <w:rFonts w:ascii="Times New Roman" w:hAnsi="Times New Roman" w:cs="Times New Roman"/>
                <w:sz w:val="24"/>
              </w:rPr>
              <w:t>2014</w:t>
            </w:r>
          </w:p>
        </w:tc>
        <w:tc>
          <w:tcPr>
            <w:tcW w:w="2705" w:type="dxa"/>
            <w:noWrap/>
            <w:hideMark/>
          </w:tcPr>
          <w:p w:rsidR="00CA5822" w:rsidRPr="00CA5822" w:rsidRDefault="00CA5822" w:rsidP="00CA5822">
            <w:pPr>
              <w:pStyle w:val="NoSpacing"/>
              <w:jc w:val="center"/>
              <w:rPr>
                <w:rFonts w:ascii="Times New Roman" w:hAnsi="Times New Roman" w:cs="Times New Roman"/>
                <w:sz w:val="24"/>
              </w:rPr>
            </w:pPr>
            <w:r w:rsidRPr="00CA5822">
              <w:rPr>
                <w:rFonts w:ascii="Times New Roman" w:hAnsi="Times New Roman" w:cs="Times New Roman"/>
                <w:sz w:val="24"/>
              </w:rPr>
              <w:t>874</w:t>
            </w:r>
          </w:p>
        </w:tc>
        <w:tc>
          <w:tcPr>
            <w:tcW w:w="2600" w:type="dxa"/>
            <w:noWrap/>
            <w:hideMark/>
          </w:tcPr>
          <w:p w:rsidR="00CA5822" w:rsidRPr="00CA5822" w:rsidRDefault="00CA5822" w:rsidP="00CA5822">
            <w:pPr>
              <w:pStyle w:val="NoSpacing"/>
              <w:jc w:val="center"/>
              <w:rPr>
                <w:rFonts w:ascii="Times New Roman" w:hAnsi="Times New Roman" w:cs="Times New Roman"/>
                <w:sz w:val="24"/>
              </w:rPr>
            </w:pPr>
            <w:r w:rsidRPr="00CA5822">
              <w:rPr>
                <w:rFonts w:ascii="Times New Roman" w:hAnsi="Times New Roman" w:cs="Times New Roman"/>
                <w:sz w:val="24"/>
              </w:rPr>
              <w:t>874</w:t>
            </w:r>
          </w:p>
        </w:tc>
      </w:tr>
      <w:tr w:rsidR="00CA5822" w:rsidRPr="00CA5822" w:rsidTr="00CA5822">
        <w:trPr>
          <w:trHeight w:val="307"/>
          <w:jc w:val="center"/>
        </w:trPr>
        <w:tc>
          <w:tcPr>
            <w:tcW w:w="1260" w:type="dxa"/>
            <w:noWrap/>
            <w:hideMark/>
          </w:tcPr>
          <w:p w:rsidR="00CA5822" w:rsidRPr="00CA5822" w:rsidRDefault="00CA5822" w:rsidP="00CA5822">
            <w:pPr>
              <w:pStyle w:val="NoSpacing"/>
              <w:jc w:val="center"/>
              <w:rPr>
                <w:rFonts w:ascii="Times New Roman" w:hAnsi="Times New Roman" w:cs="Times New Roman"/>
                <w:sz w:val="24"/>
              </w:rPr>
            </w:pPr>
            <w:r w:rsidRPr="00CA5822">
              <w:rPr>
                <w:rFonts w:ascii="Times New Roman" w:hAnsi="Times New Roman" w:cs="Times New Roman"/>
                <w:sz w:val="24"/>
              </w:rPr>
              <w:t>2013</w:t>
            </w:r>
          </w:p>
        </w:tc>
        <w:tc>
          <w:tcPr>
            <w:tcW w:w="2705" w:type="dxa"/>
            <w:noWrap/>
            <w:hideMark/>
          </w:tcPr>
          <w:p w:rsidR="00CA5822" w:rsidRPr="00CA5822" w:rsidRDefault="00CA5822" w:rsidP="00CA5822">
            <w:pPr>
              <w:pStyle w:val="NoSpacing"/>
              <w:jc w:val="center"/>
              <w:rPr>
                <w:rFonts w:ascii="Times New Roman" w:hAnsi="Times New Roman" w:cs="Times New Roman"/>
                <w:sz w:val="24"/>
              </w:rPr>
            </w:pPr>
            <w:r w:rsidRPr="00CA5822">
              <w:rPr>
                <w:rFonts w:ascii="Times New Roman" w:hAnsi="Times New Roman" w:cs="Times New Roman"/>
                <w:sz w:val="24"/>
              </w:rPr>
              <w:t>1096</w:t>
            </w:r>
          </w:p>
        </w:tc>
        <w:tc>
          <w:tcPr>
            <w:tcW w:w="2600" w:type="dxa"/>
            <w:noWrap/>
            <w:hideMark/>
          </w:tcPr>
          <w:p w:rsidR="00CA5822" w:rsidRPr="00CA5822" w:rsidRDefault="00CA5822" w:rsidP="00CA5822">
            <w:pPr>
              <w:pStyle w:val="NoSpacing"/>
              <w:jc w:val="center"/>
              <w:rPr>
                <w:rFonts w:ascii="Times New Roman" w:hAnsi="Times New Roman" w:cs="Times New Roman"/>
                <w:sz w:val="24"/>
              </w:rPr>
            </w:pPr>
            <w:r w:rsidRPr="00CA5822">
              <w:rPr>
                <w:rFonts w:ascii="Times New Roman" w:hAnsi="Times New Roman" w:cs="Times New Roman"/>
                <w:sz w:val="24"/>
              </w:rPr>
              <w:t>1096</w:t>
            </w:r>
          </w:p>
        </w:tc>
      </w:tr>
      <w:tr w:rsidR="00CA5822" w:rsidRPr="00CA5822" w:rsidTr="00CA5822">
        <w:trPr>
          <w:trHeight w:val="307"/>
          <w:jc w:val="center"/>
        </w:trPr>
        <w:tc>
          <w:tcPr>
            <w:tcW w:w="1260" w:type="dxa"/>
            <w:noWrap/>
            <w:hideMark/>
          </w:tcPr>
          <w:p w:rsidR="00CA5822" w:rsidRPr="00CA5822" w:rsidRDefault="00CA5822" w:rsidP="00CA5822">
            <w:pPr>
              <w:pStyle w:val="NoSpacing"/>
              <w:jc w:val="center"/>
              <w:rPr>
                <w:rFonts w:ascii="Times New Roman" w:hAnsi="Times New Roman" w:cs="Times New Roman"/>
                <w:sz w:val="24"/>
              </w:rPr>
            </w:pPr>
            <w:r w:rsidRPr="00CA5822">
              <w:rPr>
                <w:rFonts w:ascii="Times New Roman" w:hAnsi="Times New Roman" w:cs="Times New Roman"/>
                <w:sz w:val="24"/>
              </w:rPr>
              <w:t>2012</w:t>
            </w:r>
          </w:p>
        </w:tc>
        <w:tc>
          <w:tcPr>
            <w:tcW w:w="2705" w:type="dxa"/>
            <w:noWrap/>
            <w:hideMark/>
          </w:tcPr>
          <w:p w:rsidR="00CA5822" w:rsidRPr="00CA5822" w:rsidRDefault="00CA5822" w:rsidP="00CA5822">
            <w:pPr>
              <w:pStyle w:val="NoSpacing"/>
              <w:jc w:val="center"/>
              <w:rPr>
                <w:rFonts w:ascii="Times New Roman" w:hAnsi="Times New Roman" w:cs="Times New Roman"/>
                <w:sz w:val="24"/>
              </w:rPr>
            </w:pPr>
            <w:r w:rsidRPr="00CA5822">
              <w:rPr>
                <w:rFonts w:ascii="Times New Roman" w:hAnsi="Times New Roman" w:cs="Times New Roman"/>
                <w:sz w:val="24"/>
              </w:rPr>
              <w:t>1360</w:t>
            </w:r>
          </w:p>
        </w:tc>
        <w:tc>
          <w:tcPr>
            <w:tcW w:w="2600" w:type="dxa"/>
            <w:noWrap/>
            <w:hideMark/>
          </w:tcPr>
          <w:p w:rsidR="00CA5822" w:rsidRPr="00CA5822" w:rsidRDefault="00CA5822" w:rsidP="00CA5822">
            <w:pPr>
              <w:pStyle w:val="NoSpacing"/>
              <w:jc w:val="center"/>
              <w:rPr>
                <w:rFonts w:ascii="Times New Roman" w:hAnsi="Times New Roman" w:cs="Times New Roman"/>
                <w:sz w:val="24"/>
              </w:rPr>
            </w:pPr>
            <w:r w:rsidRPr="00CA5822">
              <w:rPr>
                <w:rFonts w:ascii="Times New Roman" w:hAnsi="Times New Roman" w:cs="Times New Roman"/>
                <w:sz w:val="24"/>
              </w:rPr>
              <w:t>1360</w:t>
            </w:r>
          </w:p>
        </w:tc>
      </w:tr>
      <w:tr w:rsidR="00CA5822" w:rsidRPr="00CA5822" w:rsidTr="00CA5822">
        <w:trPr>
          <w:trHeight w:val="307"/>
          <w:jc w:val="center"/>
        </w:trPr>
        <w:tc>
          <w:tcPr>
            <w:tcW w:w="1260" w:type="dxa"/>
            <w:noWrap/>
            <w:hideMark/>
          </w:tcPr>
          <w:p w:rsidR="00CA5822" w:rsidRPr="00CA5822" w:rsidRDefault="00CA5822" w:rsidP="00CA5822">
            <w:pPr>
              <w:pStyle w:val="NoSpacing"/>
              <w:jc w:val="center"/>
              <w:rPr>
                <w:rFonts w:ascii="Times New Roman" w:hAnsi="Times New Roman" w:cs="Times New Roman"/>
                <w:b/>
                <w:color w:val="FF0000"/>
                <w:sz w:val="24"/>
              </w:rPr>
            </w:pPr>
            <w:r w:rsidRPr="00CA5822">
              <w:rPr>
                <w:rFonts w:ascii="Times New Roman" w:hAnsi="Times New Roman" w:cs="Times New Roman"/>
                <w:b/>
                <w:color w:val="FF0000"/>
                <w:sz w:val="24"/>
              </w:rPr>
              <w:t>2011</w:t>
            </w:r>
          </w:p>
        </w:tc>
        <w:tc>
          <w:tcPr>
            <w:tcW w:w="2705" w:type="dxa"/>
            <w:noWrap/>
            <w:hideMark/>
          </w:tcPr>
          <w:p w:rsidR="00CA5822" w:rsidRPr="00CA5822" w:rsidRDefault="00CA5822" w:rsidP="00CA5822">
            <w:pPr>
              <w:pStyle w:val="NoSpacing"/>
              <w:jc w:val="center"/>
              <w:rPr>
                <w:rFonts w:ascii="Times New Roman" w:hAnsi="Times New Roman" w:cs="Times New Roman"/>
                <w:b/>
                <w:color w:val="FF0000"/>
                <w:sz w:val="24"/>
              </w:rPr>
            </w:pPr>
            <w:r w:rsidRPr="00CA5822">
              <w:rPr>
                <w:rFonts w:ascii="Times New Roman" w:hAnsi="Times New Roman" w:cs="Times New Roman"/>
                <w:b/>
                <w:color w:val="FF0000"/>
                <w:sz w:val="24"/>
              </w:rPr>
              <w:t>1272</w:t>
            </w:r>
          </w:p>
        </w:tc>
        <w:tc>
          <w:tcPr>
            <w:tcW w:w="2600" w:type="dxa"/>
            <w:noWrap/>
            <w:hideMark/>
          </w:tcPr>
          <w:p w:rsidR="00CA5822" w:rsidRPr="00CA5822" w:rsidRDefault="00CA5822" w:rsidP="00CA5822">
            <w:pPr>
              <w:pStyle w:val="NoSpacing"/>
              <w:jc w:val="center"/>
              <w:rPr>
                <w:rFonts w:ascii="Times New Roman" w:hAnsi="Times New Roman" w:cs="Times New Roman"/>
                <w:b/>
                <w:color w:val="FF0000"/>
                <w:sz w:val="24"/>
              </w:rPr>
            </w:pPr>
            <w:r w:rsidRPr="00CA5822">
              <w:rPr>
                <w:rFonts w:ascii="Times New Roman" w:hAnsi="Times New Roman" w:cs="Times New Roman"/>
                <w:b/>
                <w:color w:val="FF0000"/>
                <w:sz w:val="24"/>
              </w:rPr>
              <w:t>1274</w:t>
            </w:r>
          </w:p>
        </w:tc>
      </w:tr>
      <w:tr w:rsidR="00CA5822" w:rsidRPr="00CA5822" w:rsidTr="00CA5822">
        <w:trPr>
          <w:trHeight w:val="307"/>
          <w:jc w:val="center"/>
        </w:trPr>
        <w:tc>
          <w:tcPr>
            <w:tcW w:w="1260" w:type="dxa"/>
            <w:noWrap/>
            <w:hideMark/>
          </w:tcPr>
          <w:p w:rsidR="00CA5822" w:rsidRPr="00CA5822" w:rsidRDefault="00CA5822" w:rsidP="00CA5822">
            <w:pPr>
              <w:pStyle w:val="NoSpacing"/>
              <w:jc w:val="center"/>
              <w:rPr>
                <w:rFonts w:ascii="Times New Roman" w:hAnsi="Times New Roman" w:cs="Times New Roman"/>
                <w:sz w:val="24"/>
              </w:rPr>
            </w:pPr>
            <w:r w:rsidRPr="00CA5822">
              <w:rPr>
                <w:rFonts w:ascii="Times New Roman" w:hAnsi="Times New Roman" w:cs="Times New Roman"/>
                <w:sz w:val="24"/>
              </w:rPr>
              <w:t>2010</w:t>
            </w:r>
          </w:p>
        </w:tc>
        <w:tc>
          <w:tcPr>
            <w:tcW w:w="2705" w:type="dxa"/>
            <w:noWrap/>
            <w:hideMark/>
          </w:tcPr>
          <w:p w:rsidR="00CA5822" w:rsidRPr="00CA5822" w:rsidRDefault="00CA5822" w:rsidP="00CA5822">
            <w:pPr>
              <w:pStyle w:val="NoSpacing"/>
              <w:jc w:val="center"/>
              <w:rPr>
                <w:rFonts w:ascii="Times New Roman" w:hAnsi="Times New Roman" w:cs="Times New Roman"/>
                <w:sz w:val="24"/>
              </w:rPr>
            </w:pPr>
            <w:r w:rsidRPr="00CA5822">
              <w:rPr>
                <w:rFonts w:ascii="Times New Roman" w:hAnsi="Times New Roman" w:cs="Times New Roman"/>
                <w:sz w:val="24"/>
              </w:rPr>
              <w:t>824</w:t>
            </w:r>
          </w:p>
        </w:tc>
        <w:tc>
          <w:tcPr>
            <w:tcW w:w="2600" w:type="dxa"/>
            <w:noWrap/>
            <w:hideMark/>
          </w:tcPr>
          <w:p w:rsidR="00CA5822" w:rsidRPr="00CA5822" w:rsidRDefault="00CA5822" w:rsidP="00CA5822">
            <w:pPr>
              <w:pStyle w:val="NoSpacing"/>
              <w:jc w:val="center"/>
              <w:rPr>
                <w:rFonts w:ascii="Times New Roman" w:hAnsi="Times New Roman" w:cs="Times New Roman"/>
                <w:sz w:val="24"/>
              </w:rPr>
            </w:pPr>
            <w:r w:rsidRPr="00CA5822">
              <w:rPr>
                <w:rFonts w:ascii="Times New Roman" w:hAnsi="Times New Roman" w:cs="Times New Roman"/>
                <w:sz w:val="24"/>
              </w:rPr>
              <w:t>824</w:t>
            </w:r>
          </w:p>
        </w:tc>
      </w:tr>
      <w:tr w:rsidR="00CA5822" w:rsidRPr="00CA5822" w:rsidTr="00CA5822">
        <w:trPr>
          <w:trHeight w:val="307"/>
          <w:jc w:val="center"/>
        </w:trPr>
        <w:tc>
          <w:tcPr>
            <w:tcW w:w="1260" w:type="dxa"/>
            <w:noWrap/>
            <w:hideMark/>
          </w:tcPr>
          <w:p w:rsidR="00CA5822" w:rsidRPr="00CA5822" w:rsidRDefault="00CA5822" w:rsidP="00CA5822">
            <w:pPr>
              <w:pStyle w:val="NoSpacing"/>
              <w:jc w:val="center"/>
              <w:rPr>
                <w:rFonts w:ascii="Times New Roman" w:hAnsi="Times New Roman" w:cs="Times New Roman"/>
                <w:sz w:val="24"/>
              </w:rPr>
            </w:pPr>
            <w:r w:rsidRPr="00CA5822">
              <w:rPr>
                <w:rFonts w:ascii="Times New Roman" w:hAnsi="Times New Roman" w:cs="Times New Roman"/>
                <w:sz w:val="24"/>
              </w:rPr>
              <w:t>2009</w:t>
            </w:r>
          </w:p>
        </w:tc>
        <w:tc>
          <w:tcPr>
            <w:tcW w:w="2705" w:type="dxa"/>
            <w:noWrap/>
            <w:hideMark/>
          </w:tcPr>
          <w:p w:rsidR="00CA5822" w:rsidRPr="00CA5822" w:rsidRDefault="00CC3B13" w:rsidP="00CA5822">
            <w:pPr>
              <w:pStyle w:val="NoSpacing"/>
              <w:jc w:val="center"/>
              <w:rPr>
                <w:rFonts w:ascii="Times New Roman" w:hAnsi="Times New Roman" w:cs="Times New Roman"/>
                <w:sz w:val="24"/>
              </w:rPr>
            </w:pPr>
            <w:r>
              <w:rPr>
                <w:rFonts w:ascii="Times New Roman" w:hAnsi="Times New Roman" w:cs="Times New Roman"/>
                <w:sz w:val="24"/>
              </w:rPr>
              <w:t>512</w:t>
            </w:r>
          </w:p>
        </w:tc>
        <w:tc>
          <w:tcPr>
            <w:tcW w:w="2600" w:type="dxa"/>
            <w:noWrap/>
            <w:hideMark/>
          </w:tcPr>
          <w:p w:rsidR="00CA5822" w:rsidRPr="00CA5822" w:rsidRDefault="00CA5822" w:rsidP="00CA5822">
            <w:pPr>
              <w:pStyle w:val="NoSpacing"/>
              <w:jc w:val="center"/>
              <w:rPr>
                <w:rFonts w:ascii="Times New Roman" w:hAnsi="Times New Roman" w:cs="Times New Roman"/>
                <w:sz w:val="24"/>
              </w:rPr>
            </w:pPr>
            <w:r w:rsidRPr="00CA5822">
              <w:rPr>
                <w:rFonts w:ascii="Times New Roman" w:hAnsi="Times New Roman" w:cs="Times New Roman"/>
                <w:sz w:val="24"/>
              </w:rPr>
              <w:t>512</w:t>
            </w:r>
          </w:p>
        </w:tc>
      </w:tr>
      <w:tr w:rsidR="00CA5822" w:rsidRPr="00CA5822" w:rsidTr="00CA5822">
        <w:trPr>
          <w:trHeight w:val="307"/>
          <w:jc w:val="center"/>
        </w:trPr>
        <w:tc>
          <w:tcPr>
            <w:tcW w:w="1260" w:type="dxa"/>
            <w:noWrap/>
            <w:hideMark/>
          </w:tcPr>
          <w:p w:rsidR="00CA5822" w:rsidRPr="00CA5822" w:rsidRDefault="00CA5822" w:rsidP="00CA5822">
            <w:pPr>
              <w:pStyle w:val="NoSpacing"/>
              <w:jc w:val="center"/>
              <w:rPr>
                <w:rFonts w:ascii="Times New Roman" w:hAnsi="Times New Roman" w:cs="Times New Roman"/>
                <w:sz w:val="24"/>
              </w:rPr>
            </w:pPr>
            <w:r w:rsidRPr="00CA5822">
              <w:rPr>
                <w:rFonts w:ascii="Times New Roman" w:hAnsi="Times New Roman" w:cs="Times New Roman"/>
                <w:sz w:val="24"/>
              </w:rPr>
              <w:t>2008</w:t>
            </w:r>
          </w:p>
        </w:tc>
        <w:tc>
          <w:tcPr>
            <w:tcW w:w="2705" w:type="dxa"/>
            <w:noWrap/>
            <w:hideMark/>
          </w:tcPr>
          <w:p w:rsidR="00CA5822" w:rsidRPr="00CA5822" w:rsidRDefault="00CA5822" w:rsidP="00CA5822">
            <w:pPr>
              <w:pStyle w:val="NoSpacing"/>
              <w:jc w:val="center"/>
              <w:rPr>
                <w:rFonts w:ascii="Times New Roman" w:hAnsi="Times New Roman" w:cs="Times New Roman"/>
                <w:sz w:val="24"/>
              </w:rPr>
            </w:pPr>
            <w:r w:rsidRPr="00CA5822">
              <w:rPr>
                <w:rFonts w:ascii="Times New Roman" w:hAnsi="Times New Roman" w:cs="Times New Roman"/>
                <w:sz w:val="24"/>
              </w:rPr>
              <w:t>149</w:t>
            </w:r>
          </w:p>
        </w:tc>
        <w:tc>
          <w:tcPr>
            <w:tcW w:w="2600" w:type="dxa"/>
            <w:noWrap/>
            <w:hideMark/>
          </w:tcPr>
          <w:p w:rsidR="00CA5822" w:rsidRPr="00CA5822" w:rsidRDefault="00CA5822" w:rsidP="00CA5822">
            <w:pPr>
              <w:pStyle w:val="NoSpacing"/>
              <w:jc w:val="center"/>
              <w:rPr>
                <w:rFonts w:ascii="Times New Roman" w:hAnsi="Times New Roman" w:cs="Times New Roman"/>
                <w:sz w:val="24"/>
              </w:rPr>
            </w:pPr>
            <w:r w:rsidRPr="00CA5822">
              <w:rPr>
                <w:rFonts w:ascii="Times New Roman" w:hAnsi="Times New Roman" w:cs="Times New Roman"/>
                <w:sz w:val="24"/>
              </w:rPr>
              <w:t>149</w:t>
            </w:r>
          </w:p>
        </w:tc>
      </w:tr>
      <w:tr w:rsidR="00CA5822" w:rsidRPr="00CA5822" w:rsidTr="00CA5822">
        <w:trPr>
          <w:trHeight w:val="307"/>
          <w:jc w:val="center"/>
        </w:trPr>
        <w:tc>
          <w:tcPr>
            <w:tcW w:w="1260" w:type="dxa"/>
            <w:noWrap/>
            <w:hideMark/>
          </w:tcPr>
          <w:p w:rsidR="00CA5822" w:rsidRPr="00CA5822" w:rsidRDefault="00CA5822" w:rsidP="00CA5822">
            <w:pPr>
              <w:pStyle w:val="NoSpacing"/>
              <w:jc w:val="center"/>
              <w:rPr>
                <w:rFonts w:ascii="Times New Roman" w:hAnsi="Times New Roman" w:cs="Times New Roman"/>
                <w:sz w:val="24"/>
              </w:rPr>
            </w:pPr>
            <w:r w:rsidRPr="00CA5822">
              <w:rPr>
                <w:rFonts w:ascii="Times New Roman" w:hAnsi="Times New Roman" w:cs="Times New Roman"/>
                <w:sz w:val="24"/>
              </w:rPr>
              <w:t>2007</w:t>
            </w:r>
          </w:p>
        </w:tc>
        <w:tc>
          <w:tcPr>
            <w:tcW w:w="2705" w:type="dxa"/>
            <w:noWrap/>
            <w:hideMark/>
          </w:tcPr>
          <w:p w:rsidR="00CA5822" w:rsidRPr="00CA5822" w:rsidRDefault="00CA5822" w:rsidP="00CA5822">
            <w:pPr>
              <w:pStyle w:val="NoSpacing"/>
              <w:jc w:val="center"/>
              <w:rPr>
                <w:rFonts w:ascii="Times New Roman" w:hAnsi="Times New Roman" w:cs="Times New Roman"/>
                <w:sz w:val="24"/>
              </w:rPr>
            </w:pPr>
            <w:r w:rsidRPr="00CA5822">
              <w:rPr>
                <w:rFonts w:ascii="Times New Roman" w:hAnsi="Times New Roman" w:cs="Times New Roman"/>
                <w:sz w:val="24"/>
              </w:rPr>
              <w:t>131</w:t>
            </w:r>
          </w:p>
        </w:tc>
        <w:tc>
          <w:tcPr>
            <w:tcW w:w="2600" w:type="dxa"/>
            <w:noWrap/>
            <w:hideMark/>
          </w:tcPr>
          <w:p w:rsidR="00CA5822" w:rsidRPr="00CA5822" w:rsidRDefault="00CA5822" w:rsidP="00CA5822">
            <w:pPr>
              <w:pStyle w:val="NoSpacing"/>
              <w:jc w:val="center"/>
              <w:rPr>
                <w:rFonts w:ascii="Times New Roman" w:hAnsi="Times New Roman" w:cs="Times New Roman"/>
                <w:sz w:val="24"/>
              </w:rPr>
            </w:pPr>
            <w:r w:rsidRPr="00CA5822">
              <w:rPr>
                <w:rFonts w:ascii="Times New Roman" w:hAnsi="Times New Roman" w:cs="Times New Roman"/>
                <w:sz w:val="24"/>
              </w:rPr>
              <w:t>131</w:t>
            </w:r>
          </w:p>
        </w:tc>
      </w:tr>
      <w:tr w:rsidR="00CA5822" w:rsidRPr="00CA5822" w:rsidTr="00CA5822">
        <w:trPr>
          <w:trHeight w:val="307"/>
          <w:jc w:val="center"/>
        </w:trPr>
        <w:tc>
          <w:tcPr>
            <w:tcW w:w="1260" w:type="dxa"/>
            <w:shd w:val="clear" w:color="auto" w:fill="BFBFBF" w:themeFill="background1" w:themeFillShade="BF"/>
            <w:noWrap/>
            <w:hideMark/>
          </w:tcPr>
          <w:p w:rsidR="00CA5822" w:rsidRPr="007F4818" w:rsidRDefault="00CA5822" w:rsidP="00CA5822">
            <w:pPr>
              <w:pStyle w:val="NoSpacing"/>
              <w:jc w:val="center"/>
              <w:rPr>
                <w:rFonts w:ascii="Times New Roman" w:hAnsi="Times New Roman" w:cs="Times New Roman"/>
                <w:b/>
                <w:color w:val="FF0000"/>
                <w:sz w:val="24"/>
              </w:rPr>
            </w:pPr>
            <w:r w:rsidRPr="007F4818">
              <w:rPr>
                <w:rFonts w:ascii="Times New Roman" w:hAnsi="Times New Roman" w:cs="Times New Roman"/>
                <w:b/>
                <w:color w:val="FF0000"/>
                <w:sz w:val="24"/>
              </w:rPr>
              <w:t>2006</w:t>
            </w:r>
          </w:p>
        </w:tc>
        <w:tc>
          <w:tcPr>
            <w:tcW w:w="2705" w:type="dxa"/>
            <w:shd w:val="clear" w:color="auto" w:fill="BFBFBF" w:themeFill="background1" w:themeFillShade="BF"/>
            <w:noWrap/>
            <w:hideMark/>
          </w:tcPr>
          <w:p w:rsidR="00CA5822" w:rsidRPr="007F4818" w:rsidRDefault="00CA5822" w:rsidP="00CA5822">
            <w:pPr>
              <w:pStyle w:val="NoSpacing"/>
              <w:jc w:val="center"/>
              <w:rPr>
                <w:rFonts w:ascii="Times New Roman" w:hAnsi="Times New Roman" w:cs="Times New Roman"/>
                <w:b/>
                <w:color w:val="FF0000"/>
                <w:sz w:val="24"/>
              </w:rPr>
            </w:pPr>
            <w:r w:rsidRPr="007F4818">
              <w:rPr>
                <w:rFonts w:ascii="Times New Roman" w:hAnsi="Times New Roman" w:cs="Times New Roman"/>
                <w:b/>
                <w:color w:val="FF0000"/>
                <w:sz w:val="24"/>
              </w:rPr>
              <w:t>134</w:t>
            </w:r>
          </w:p>
        </w:tc>
        <w:tc>
          <w:tcPr>
            <w:tcW w:w="2600" w:type="dxa"/>
            <w:shd w:val="clear" w:color="auto" w:fill="BFBFBF" w:themeFill="background1" w:themeFillShade="BF"/>
            <w:noWrap/>
            <w:hideMark/>
          </w:tcPr>
          <w:p w:rsidR="00CA5822" w:rsidRPr="007F4818" w:rsidRDefault="00CA5822" w:rsidP="00CA5822">
            <w:pPr>
              <w:pStyle w:val="NoSpacing"/>
              <w:jc w:val="center"/>
              <w:rPr>
                <w:rFonts w:ascii="Times New Roman" w:hAnsi="Times New Roman" w:cs="Times New Roman"/>
                <w:b/>
                <w:color w:val="FF0000"/>
                <w:sz w:val="24"/>
              </w:rPr>
            </w:pPr>
            <w:r w:rsidRPr="007F4818">
              <w:rPr>
                <w:rFonts w:ascii="Times New Roman" w:hAnsi="Times New Roman" w:cs="Times New Roman"/>
                <w:b/>
                <w:color w:val="FF0000"/>
                <w:sz w:val="24"/>
              </w:rPr>
              <w:t>147</w:t>
            </w:r>
          </w:p>
        </w:tc>
      </w:tr>
      <w:tr w:rsidR="00CA5822" w:rsidRPr="00CA5822" w:rsidTr="00CA5822">
        <w:trPr>
          <w:trHeight w:val="307"/>
          <w:jc w:val="center"/>
        </w:trPr>
        <w:tc>
          <w:tcPr>
            <w:tcW w:w="1260" w:type="dxa"/>
            <w:shd w:val="clear" w:color="auto" w:fill="BFBFBF" w:themeFill="background1" w:themeFillShade="BF"/>
            <w:noWrap/>
            <w:hideMark/>
          </w:tcPr>
          <w:p w:rsidR="00CA5822" w:rsidRPr="007F4818" w:rsidRDefault="00CA5822" w:rsidP="00CA5822">
            <w:pPr>
              <w:pStyle w:val="NoSpacing"/>
              <w:jc w:val="center"/>
              <w:rPr>
                <w:rFonts w:ascii="Times New Roman" w:hAnsi="Times New Roman" w:cs="Times New Roman"/>
                <w:b/>
                <w:color w:val="FF0000"/>
                <w:sz w:val="24"/>
              </w:rPr>
            </w:pPr>
            <w:r w:rsidRPr="007F4818">
              <w:rPr>
                <w:rFonts w:ascii="Times New Roman" w:hAnsi="Times New Roman" w:cs="Times New Roman"/>
                <w:b/>
                <w:color w:val="FF0000"/>
                <w:sz w:val="24"/>
              </w:rPr>
              <w:t>2005</w:t>
            </w:r>
          </w:p>
        </w:tc>
        <w:tc>
          <w:tcPr>
            <w:tcW w:w="2705" w:type="dxa"/>
            <w:shd w:val="clear" w:color="auto" w:fill="BFBFBF" w:themeFill="background1" w:themeFillShade="BF"/>
            <w:noWrap/>
            <w:hideMark/>
          </w:tcPr>
          <w:p w:rsidR="00CA5822" w:rsidRPr="007F4818" w:rsidRDefault="00CA5822" w:rsidP="00CA5822">
            <w:pPr>
              <w:pStyle w:val="NoSpacing"/>
              <w:jc w:val="center"/>
              <w:rPr>
                <w:rFonts w:ascii="Times New Roman" w:hAnsi="Times New Roman" w:cs="Times New Roman"/>
                <w:b/>
                <w:color w:val="FF0000"/>
                <w:sz w:val="24"/>
              </w:rPr>
            </w:pPr>
            <w:r w:rsidRPr="007F4818">
              <w:rPr>
                <w:rFonts w:ascii="Times New Roman" w:hAnsi="Times New Roman" w:cs="Times New Roman"/>
                <w:b/>
                <w:color w:val="FF0000"/>
                <w:sz w:val="24"/>
              </w:rPr>
              <w:t>131</w:t>
            </w:r>
          </w:p>
        </w:tc>
        <w:tc>
          <w:tcPr>
            <w:tcW w:w="2600" w:type="dxa"/>
            <w:shd w:val="clear" w:color="auto" w:fill="BFBFBF" w:themeFill="background1" w:themeFillShade="BF"/>
            <w:noWrap/>
            <w:hideMark/>
          </w:tcPr>
          <w:p w:rsidR="00CA5822" w:rsidRPr="007F4818" w:rsidRDefault="00CA5822" w:rsidP="00CA5822">
            <w:pPr>
              <w:pStyle w:val="NoSpacing"/>
              <w:jc w:val="center"/>
              <w:rPr>
                <w:rFonts w:ascii="Times New Roman" w:hAnsi="Times New Roman" w:cs="Times New Roman"/>
                <w:b/>
                <w:color w:val="FF0000"/>
                <w:sz w:val="24"/>
              </w:rPr>
            </w:pPr>
            <w:r w:rsidRPr="007F4818">
              <w:rPr>
                <w:rFonts w:ascii="Times New Roman" w:hAnsi="Times New Roman" w:cs="Times New Roman"/>
                <w:b/>
                <w:color w:val="FF0000"/>
                <w:sz w:val="24"/>
              </w:rPr>
              <w:t>132</w:t>
            </w:r>
          </w:p>
        </w:tc>
      </w:tr>
    </w:tbl>
    <w:p w:rsidR="00CA5822" w:rsidRPr="00CC3B13" w:rsidRDefault="00CA5822" w:rsidP="00CA5822">
      <w:pPr>
        <w:pStyle w:val="NoSpacing"/>
        <w:rPr>
          <w:rFonts w:ascii="Times New Roman" w:hAnsi="Times New Roman" w:cs="Times New Roman"/>
          <w:i/>
          <w:sz w:val="24"/>
        </w:rPr>
      </w:pPr>
      <w:r>
        <w:rPr>
          <w:rFonts w:ascii="Times New Roman" w:hAnsi="Times New Roman" w:cs="Times New Roman"/>
          <w:sz w:val="24"/>
          <w:vertAlign w:val="superscript"/>
        </w:rPr>
        <w:t>1</w:t>
      </w:r>
      <w:r>
        <w:rPr>
          <w:rFonts w:ascii="Times New Roman" w:hAnsi="Times New Roman" w:cs="Times New Roman"/>
          <w:sz w:val="24"/>
        </w:rPr>
        <w:t xml:space="preserve">RED = </w:t>
      </w:r>
      <w:r w:rsidR="00535DA9">
        <w:rPr>
          <w:rFonts w:ascii="Times New Roman" w:hAnsi="Times New Roman" w:cs="Times New Roman"/>
          <w:sz w:val="24"/>
        </w:rPr>
        <w:t xml:space="preserve">observed discrepancy </w:t>
      </w:r>
      <w:r>
        <w:rPr>
          <w:rFonts w:ascii="Times New Roman" w:hAnsi="Times New Roman" w:cs="Times New Roman"/>
          <w:sz w:val="24"/>
        </w:rPr>
        <w:t>between</w:t>
      </w:r>
      <w:r w:rsidR="00CC3B13">
        <w:rPr>
          <w:rFonts w:ascii="Times New Roman" w:hAnsi="Times New Roman" w:cs="Times New Roman"/>
          <w:sz w:val="24"/>
        </w:rPr>
        <w:t xml:space="preserve"> SPLC tally </w:t>
      </w:r>
      <w:r w:rsidR="00535DA9">
        <w:rPr>
          <w:rFonts w:ascii="Times New Roman" w:hAnsi="Times New Roman" w:cs="Times New Roman"/>
          <w:sz w:val="24"/>
        </w:rPr>
        <w:t>as reported</w:t>
      </w:r>
      <w:r w:rsidR="00CC3B13">
        <w:rPr>
          <w:rFonts w:ascii="Times New Roman" w:hAnsi="Times New Roman" w:cs="Times New Roman"/>
          <w:sz w:val="24"/>
        </w:rPr>
        <w:t xml:space="preserve"> in </w:t>
      </w:r>
      <w:r w:rsidR="00535DA9">
        <w:rPr>
          <w:rFonts w:ascii="Times New Roman" w:hAnsi="Times New Roman" w:cs="Times New Roman"/>
          <w:sz w:val="24"/>
        </w:rPr>
        <w:t xml:space="preserve">text of article </w:t>
      </w:r>
      <w:r w:rsidR="00CC3B13">
        <w:rPr>
          <w:rFonts w:ascii="Times New Roman" w:hAnsi="Times New Roman" w:cs="Times New Roman"/>
          <w:sz w:val="24"/>
        </w:rPr>
        <w:t xml:space="preserve">and </w:t>
      </w:r>
      <w:r w:rsidR="00535DA9">
        <w:rPr>
          <w:rFonts w:ascii="Times New Roman" w:hAnsi="Times New Roman" w:cs="Times New Roman"/>
          <w:sz w:val="24"/>
        </w:rPr>
        <w:t xml:space="preserve">the full </w:t>
      </w:r>
      <w:r w:rsidR="00CC3B13">
        <w:rPr>
          <w:rFonts w:ascii="Times New Roman" w:hAnsi="Times New Roman" w:cs="Times New Roman"/>
          <w:sz w:val="24"/>
        </w:rPr>
        <w:t xml:space="preserve">number of groups </w:t>
      </w:r>
      <w:r w:rsidR="00535DA9">
        <w:rPr>
          <w:rFonts w:ascii="Times New Roman" w:hAnsi="Times New Roman" w:cs="Times New Roman"/>
          <w:sz w:val="24"/>
        </w:rPr>
        <w:t>listed</w:t>
      </w:r>
      <w:r w:rsidR="00CC3B13">
        <w:rPr>
          <w:rFonts w:ascii="Times New Roman" w:hAnsi="Times New Roman" w:cs="Times New Roman"/>
          <w:sz w:val="24"/>
        </w:rPr>
        <w:t xml:space="preserve"> </w:t>
      </w:r>
      <w:r w:rsidR="00535DA9">
        <w:rPr>
          <w:rFonts w:ascii="Times New Roman" w:hAnsi="Times New Roman" w:cs="Times New Roman"/>
          <w:sz w:val="24"/>
        </w:rPr>
        <w:t xml:space="preserve">at the end of article. All data come from </w:t>
      </w:r>
      <w:r w:rsidR="00CC3B13">
        <w:rPr>
          <w:rFonts w:ascii="Times New Roman" w:hAnsi="Times New Roman" w:cs="Times New Roman"/>
          <w:sz w:val="24"/>
        </w:rPr>
        <w:t xml:space="preserve">the </w:t>
      </w:r>
      <w:r w:rsidR="00CC3B13">
        <w:rPr>
          <w:rFonts w:ascii="Times New Roman" w:hAnsi="Times New Roman" w:cs="Times New Roman"/>
          <w:i/>
          <w:sz w:val="24"/>
        </w:rPr>
        <w:t>Intelligence Report</w:t>
      </w:r>
      <w:r w:rsidR="00535DA9">
        <w:rPr>
          <w:rFonts w:ascii="Times New Roman" w:hAnsi="Times New Roman" w:cs="Times New Roman"/>
          <w:i/>
          <w:sz w:val="24"/>
        </w:rPr>
        <w:t>.</w:t>
      </w:r>
    </w:p>
    <w:p w:rsidR="005123DE" w:rsidRDefault="00CA5822" w:rsidP="005123DE">
      <w:pPr>
        <w:pStyle w:val="NoSpacing"/>
        <w:rPr>
          <w:rFonts w:ascii="Times New Roman" w:hAnsi="Times New Roman" w:cs="Times New Roman"/>
          <w:sz w:val="24"/>
        </w:rPr>
      </w:pPr>
      <w:r>
        <w:rPr>
          <w:rFonts w:ascii="Times New Roman" w:hAnsi="Times New Roman" w:cs="Times New Roman"/>
          <w:sz w:val="24"/>
          <w:vertAlign w:val="superscript"/>
        </w:rPr>
        <w:t>2</w:t>
      </w:r>
      <w:r>
        <w:rPr>
          <w:rFonts w:ascii="Times New Roman" w:hAnsi="Times New Roman" w:cs="Times New Roman"/>
          <w:sz w:val="24"/>
        </w:rPr>
        <w:t>GRAYED OUT rows = years removed from analysis</w:t>
      </w:r>
    </w:p>
    <w:p w:rsidR="005123DE" w:rsidRDefault="005123DE" w:rsidP="005123DE">
      <w:pPr>
        <w:pStyle w:val="NoSpacing"/>
        <w:rPr>
          <w:rFonts w:ascii="Times New Roman" w:hAnsi="Times New Roman" w:cs="Times New Roman"/>
          <w:sz w:val="24"/>
        </w:rPr>
      </w:pPr>
    </w:p>
    <w:p w:rsidR="001110CF" w:rsidRDefault="003E1C3F" w:rsidP="001110CF">
      <w:pPr>
        <w:pStyle w:val="NoSpacing"/>
        <w:rPr>
          <w:rFonts w:ascii="Times New Roman" w:hAnsi="Times New Roman" w:cs="Times New Roman"/>
          <w:i/>
          <w:sz w:val="24"/>
        </w:rPr>
      </w:pPr>
      <w:r>
        <w:rPr>
          <w:rFonts w:ascii="Times New Roman" w:hAnsi="Times New Roman" w:cs="Times New Roman"/>
          <w:i/>
          <w:sz w:val="24"/>
        </w:rPr>
        <w:t>SPLC</w:t>
      </w:r>
      <w:r w:rsidR="001110CF">
        <w:rPr>
          <w:rFonts w:ascii="Times New Roman" w:hAnsi="Times New Roman" w:cs="Times New Roman"/>
          <w:i/>
          <w:sz w:val="24"/>
        </w:rPr>
        <w:t xml:space="preserve"> </w:t>
      </w:r>
      <w:r>
        <w:rPr>
          <w:rFonts w:ascii="Times New Roman" w:hAnsi="Times New Roman" w:cs="Times New Roman"/>
          <w:i/>
          <w:sz w:val="24"/>
        </w:rPr>
        <w:t xml:space="preserve">Data: FIPS County-Code </w:t>
      </w:r>
      <w:r w:rsidR="006842CA">
        <w:rPr>
          <w:rFonts w:ascii="Times New Roman" w:hAnsi="Times New Roman" w:cs="Times New Roman"/>
          <w:i/>
          <w:sz w:val="24"/>
        </w:rPr>
        <w:t>Labeling</w:t>
      </w:r>
    </w:p>
    <w:p w:rsidR="001110CF" w:rsidRDefault="006842CA" w:rsidP="0045135C">
      <w:pPr>
        <w:pStyle w:val="NoSpacing"/>
        <w:rPr>
          <w:rFonts w:ascii="Times New Roman" w:hAnsi="Times New Roman" w:cs="Times New Roman"/>
          <w:sz w:val="24"/>
        </w:rPr>
      </w:pPr>
      <w:r>
        <w:rPr>
          <w:rFonts w:ascii="Times New Roman" w:hAnsi="Times New Roman" w:cs="Times New Roman"/>
          <w:sz w:val="24"/>
        </w:rPr>
        <w:t>As discussed above,</w:t>
      </w:r>
      <w:r w:rsidR="003E1C3F">
        <w:rPr>
          <w:rFonts w:ascii="Times New Roman" w:hAnsi="Times New Roman" w:cs="Times New Roman"/>
          <w:sz w:val="24"/>
        </w:rPr>
        <w:t xml:space="preserve"> </w:t>
      </w:r>
      <w:r w:rsidR="0045135C">
        <w:rPr>
          <w:rFonts w:ascii="Times New Roman" w:hAnsi="Times New Roman" w:cs="Times New Roman"/>
          <w:sz w:val="24"/>
        </w:rPr>
        <w:t>to</w:t>
      </w:r>
      <w:r w:rsidR="003E1C3F">
        <w:rPr>
          <w:rFonts w:ascii="Times New Roman" w:hAnsi="Times New Roman" w:cs="Times New Roman"/>
          <w:sz w:val="24"/>
        </w:rPr>
        <w:t xml:space="preserve"> label each SPLC antigovernment group record with the correct FIPS county code, </w:t>
      </w:r>
      <w:r w:rsidR="0045135C">
        <w:rPr>
          <w:rFonts w:ascii="Times New Roman" w:hAnsi="Times New Roman" w:cs="Times New Roman"/>
          <w:sz w:val="24"/>
        </w:rPr>
        <w:t xml:space="preserve">I </w:t>
      </w:r>
      <w:r w:rsidR="00AB76ED">
        <w:rPr>
          <w:rFonts w:ascii="Times New Roman" w:hAnsi="Times New Roman" w:cs="Times New Roman"/>
          <w:sz w:val="24"/>
        </w:rPr>
        <w:t>attempted</w:t>
      </w:r>
      <w:r w:rsidR="0045135C">
        <w:rPr>
          <w:rFonts w:ascii="Times New Roman" w:hAnsi="Times New Roman" w:cs="Times New Roman"/>
          <w:sz w:val="24"/>
        </w:rPr>
        <w:t xml:space="preserve"> two passes using different datasets</w:t>
      </w:r>
      <w:r w:rsidR="00AB76ED">
        <w:rPr>
          <w:rFonts w:ascii="Times New Roman" w:hAnsi="Times New Roman" w:cs="Times New Roman"/>
          <w:sz w:val="24"/>
        </w:rPr>
        <w:t xml:space="preserve">. </w:t>
      </w:r>
      <w:r w:rsidR="003E1C3F">
        <w:rPr>
          <w:rFonts w:ascii="Times New Roman" w:hAnsi="Times New Roman" w:cs="Times New Roman"/>
          <w:sz w:val="24"/>
        </w:rPr>
        <w:t>5,483 of the SPLC records were identically matched to a County and FIPS county code</w:t>
      </w:r>
      <w:r w:rsidR="0045135C">
        <w:rPr>
          <w:rFonts w:ascii="Times New Roman" w:hAnsi="Times New Roman" w:cs="Times New Roman"/>
          <w:sz w:val="24"/>
        </w:rPr>
        <w:t xml:space="preserve"> between the two passes</w:t>
      </w:r>
      <w:r w:rsidR="003E1C3F">
        <w:rPr>
          <w:rFonts w:ascii="Times New Roman" w:hAnsi="Times New Roman" w:cs="Times New Roman"/>
          <w:sz w:val="24"/>
        </w:rPr>
        <w:t xml:space="preserve">. 1,649 </w:t>
      </w:r>
      <w:r w:rsidR="0045135C">
        <w:rPr>
          <w:rFonts w:ascii="Times New Roman" w:hAnsi="Times New Roman" w:cs="Times New Roman"/>
          <w:sz w:val="24"/>
        </w:rPr>
        <w:t xml:space="preserve">records were unassigned due to </w:t>
      </w:r>
      <w:r w:rsidR="003E1C3F">
        <w:rPr>
          <w:rFonts w:ascii="Times New Roman" w:hAnsi="Times New Roman" w:cs="Times New Roman"/>
          <w:sz w:val="24"/>
        </w:rPr>
        <w:t xml:space="preserve">vague location assignments by the SPLC: “Statewide” (1625 counts) or unlisted (24 counts). </w:t>
      </w:r>
      <w:r w:rsidR="0045135C">
        <w:rPr>
          <w:rFonts w:ascii="Times New Roman" w:hAnsi="Times New Roman" w:cs="Times New Roman"/>
          <w:sz w:val="24"/>
        </w:rPr>
        <w:t xml:space="preserve">The remaining 704 records are currently being assessed. Initial assessment of the remaining 704 records has so far shown that county and FIPS codes were unsuccessfully assigned either because the listed location does not belong to a county, most commonly belonging instead to a borough, or because the listed location summarizes a general region (ex. “Northeast”) instead of a specific city or county. At present, the plan is to </w:t>
      </w:r>
      <w:r w:rsidR="00535DA9">
        <w:rPr>
          <w:rFonts w:ascii="Times New Roman" w:hAnsi="Times New Roman" w:cs="Times New Roman"/>
          <w:sz w:val="24"/>
        </w:rPr>
        <w:t>assign</w:t>
      </w:r>
      <w:r w:rsidR="0045135C">
        <w:rPr>
          <w:rFonts w:ascii="Times New Roman" w:hAnsi="Times New Roman" w:cs="Times New Roman"/>
          <w:sz w:val="24"/>
        </w:rPr>
        <w:t xml:space="preserve"> these 704 records </w:t>
      </w:r>
      <w:r w:rsidR="00535DA9">
        <w:rPr>
          <w:rFonts w:ascii="Times New Roman" w:hAnsi="Times New Roman" w:cs="Times New Roman"/>
          <w:sz w:val="24"/>
        </w:rPr>
        <w:t xml:space="preserve">to county and FIPS codes </w:t>
      </w:r>
      <w:r w:rsidR="0045135C">
        <w:rPr>
          <w:rFonts w:ascii="Times New Roman" w:hAnsi="Times New Roman" w:cs="Times New Roman"/>
          <w:sz w:val="24"/>
        </w:rPr>
        <w:t xml:space="preserve">using </w:t>
      </w:r>
      <w:r w:rsidR="00535DA9">
        <w:rPr>
          <w:rFonts w:ascii="Times New Roman" w:hAnsi="Times New Roman" w:cs="Times New Roman"/>
          <w:sz w:val="24"/>
        </w:rPr>
        <w:t xml:space="preserve">a combination of </w:t>
      </w:r>
      <w:r w:rsidR="0045135C">
        <w:rPr>
          <w:rFonts w:ascii="Times New Roman" w:hAnsi="Times New Roman" w:cs="Times New Roman"/>
          <w:sz w:val="24"/>
        </w:rPr>
        <w:t xml:space="preserve">Google </w:t>
      </w:r>
      <w:r w:rsidR="00535DA9">
        <w:rPr>
          <w:rFonts w:ascii="Times New Roman" w:hAnsi="Times New Roman" w:cs="Times New Roman"/>
          <w:sz w:val="24"/>
        </w:rPr>
        <w:t>searches and city-borough level datasets.</w:t>
      </w:r>
    </w:p>
    <w:p w:rsidR="00535DA9" w:rsidRDefault="00535DA9" w:rsidP="0045135C">
      <w:pPr>
        <w:pStyle w:val="NoSpacing"/>
        <w:rPr>
          <w:rFonts w:ascii="Times New Roman" w:hAnsi="Times New Roman" w:cs="Times New Roman"/>
          <w:sz w:val="24"/>
        </w:rPr>
      </w:pPr>
    </w:p>
    <w:p w:rsidR="005D71B0" w:rsidRDefault="005D71B0" w:rsidP="0045135C">
      <w:pPr>
        <w:pStyle w:val="NoSpacing"/>
        <w:rPr>
          <w:rFonts w:ascii="Times New Roman" w:hAnsi="Times New Roman" w:cs="Times New Roman"/>
          <w:sz w:val="24"/>
        </w:rPr>
      </w:pPr>
      <w:r>
        <w:rPr>
          <w:rFonts w:ascii="Times New Roman" w:hAnsi="Times New Roman" w:cs="Times New Roman"/>
          <w:sz w:val="24"/>
        </w:rPr>
        <w:t>There is a large proportion of records with location fields containing the term “Statewide.” This presents a particularly thorny problem. First and foremost, the label itself indicates that there is no detectable physical locus of activity.</w:t>
      </w:r>
      <w:r w:rsidR="00831808">
        <w:rPr>
          <w:rStyle w:val="FootnoteReference"/>
          <w:rFonts w:ascii="Times New Roman" w:hAnsi="Times New Roman" w:cs="Times New Roman"/>
          <w:sz w:val="24"/>
        </w:rPr>
        <w:footnoteReference w:id="9"/>
      </w:r>
      <w:r>
        <w:rPr>
          <w:rFonts w:ascii="Times New Roman" w:hAnsi="Times New Roman" w:cs="Times New Roman"/>
          <w:sz w:val="24"/>
        </w:rPr>
        <w:t xml:space="preserve"> Because this study is focusing </w:t>
      </w:r>
      <w:r w:rsidR="00987CEF">
        <w:rPr>
          <w:rFonts w:ascii="Times New Roman" w:hAnsi="Times New Roman" w:cs="Times New Roman"/>
          <w:sz w:val="24"/>
        </w:rPr>
        <w:t xml:space="preserve">also </w:t>
      </w:r>
      <w:r>
        <w:rPr>
          <w:rFonts w:ascii="Times New Roman" w:hAnsi="Times New Roman" w:cs="Times New Roman"/>
          <w:sz w:val="24"/>
        </w:rPr>
        <w:t xml:space="preserve">on militia activities, which require in-person, physical organizing to facilitate efficient weapon depot access and the practice of military maneuvers, the </w:t>
      </w:r>
      <w:r w:rsidR="00855814">
        <w:rPr>
          <w:rFonts w:ascii="Times New Roman" w:hAnsi="Times New Roman" w:cs="Times New Roman"/>
          <w:sz w:val="24"/>
        </w:rPr>
        <w:t>absence of detectable physical f</w:t>
      </w:r>
      <w:r>
        <w:rPr>
          <w:rFonts w:ascii="Times New Roman" w:hAnsi="Times New Roman" w:cs="Times New Roman"/>
          <w:sz w:val="24"/>
        </w:rPr>
        <w:t xml:space="preserve">oci of activity reasonably also </w:t>
      </w:r>
      <w:r>
        <w:rPr>
          <w:rFonts w:ascii="Times New Roman" w:hAnsi="Times New Roman" w:cs="Times New Roman"/>
          <w:sz w:val="24"/>
        </w:rPr>
        <w:lastRenderedPageBreak/>
        <w:t xml:space="preserve">indicates an absence of strong militia activity. Thus, those records with the “Statewide” location assignment </w:t>
      </w:r>
      <w:r w:rsidR="00987CEF">
        <w:rPr>
          <w:rFonts w:ascii="Times New Roman" w:hAnsi="Times New Roman" w:cs="Times New Roman"/>
          <w:sz w:val="24"/>
        </w:rPr>
        <w:t>are not</w:t>
      </w:r>
      <w:r>
        <w:rPr>
          <w:rFonts w:ascii="Times New Roman" w:hAnsi="Times New Roman" w:cs="Times New Roman"/>
          <w:sz w:val="24"/>
        </w:rPr>
        <w:t xml:space="preserve"> </w:t>
      </w:r>
      <w:r w:rsidR="00987CEF">
        <w:rPr>
          <w:rFonts w:ascii="Times New Roman" w:hAnsi="Times New Roman" w:cs="Times New Roman"/>
          <w:sz w:val="24"/>
        </w:rPr>
        <w:t>practically very meaningful for any analysis that attempts to solely classify counties based on a binary of militant antigovernment groups present or not present.</w:t>
      </w:r>
      <w:r>
        <w:rPr>
          <w:rFonts w:ascii="Times New Roman" w:hAnsi="Times New Roman" w:cs="Times New Roman"/>
          <w:sz w:val="24"/>
        </w:rPr>
        <w:t xml:space="preserve"> </w:t>
      </w:r>
    </w:p>
    <w:p w:rsidR="005D71B0" w:rsidRDefault="005D71B0" w:rsidP="0045135C">
      <w:pPr>
        <w:pStyle w:val="NoSpacing"/>
        <w:rPr>
          <w:rFonts w:ascii="Times New Roman" w:hAnsi="Times New Roman" w:cs="Times New Roman"/>
          <w:sz w:val="24"/>
        </w:rPr>
      </w:pPr>
    </w:p>
    <w:p w:rsidR="00BD0EA4" w:rsidRDefault="00831808" w:rsidP="00987CEF">
      <w:pPr>
        <w:pStyle w:val="NoSpacing"/>
        <w:rPr>
          <w:rFonts w:ascii="Times New Roman" w:hAnsi="Times New Roman" w:cs="Times New Roman"/>
          <w:sz w:val="24"/>
        </w:rPr>
      </w:pPr>
      <w:r>
        <w:rPr>
          <w:rFonts w:ascii="Times New Roman" w:hAnsi="Times New Roman" w:cs="Times New Roman"/>
          <w:sz w:val="24"/>
        </w:rPr>
        <w:t xml:space="preserve">Secondly, because the term is so vague, it is </w:t>
      </w:r>
      <w:r w:rsidR="00987CEF">
        <w:rPr>
          <w:rFonts w:ascii="Times New Roman" w:hAnsi="Times New Roman" w:cs="Times New Roman"/>
          <w:sz w:val="24"/>
        </w:rPr>
        <w:t xml:space="preserve">practically </w:t>
      </w:r>
      <w:r>
        <w:rPr>
          <w:rFonts w:ascii="Times New Roman" w:hAnsi="Times New Roman" w:cs="Times New Roman"/>
          <w:sz w:val="24"/>
        </w:rPr>
        <w:t>difficult</w:t>
      </w:r>
      <w:r w:rsidR="00855814">
        <w:rPr>
          <w:rFonts w:ascii="Times New Roman" w:hAnsi="Times New Roman" w:cs="Times New Roman"/>
          <w:sz w:val="24"/>
        </w:rPr>
        <w:t xml:space="preserve"> </w:t>
      </w:r>
      <w:r w:rsidR="00987CEF">
        <w:rPr>
          <w:rFonts w:ascii="Times New Roman" w:hAnsi="Times New Roman" w:cs="Times New Roman"/>
          <w:sz w:val="24"/>
        </w:rPr>
        <w:t xml:space="preserve">to translate </w:t>
      </w:r>
      <w:r w:rsidR="00855814">
        <w:rPr>
          <w:rFonts w:ascii="Times New Roman" w:hAnsi="Times New Roman" w:cs="Times New Roman"/>
          <w:sz w:val="24"/>
        </w:rPr>
        <w:t xml:space="preserve">the term </w:t>
      </w:r>
      <w:r w:rsidR="00855814">
        <w:rPr>
          <w:rFonts w:ascii="Times New Roman" w:hAnsi="Times New Roman" w:cs="Times New Roman"/>
          <w:sz w:val="24"/>
        </w:rPr>
        <w:t xml:space="preserve">“Statewide” </w:t>
      </w:r>
      <w:r>
        <w:rPr>
          <w:rFonts w:ascii="Times New Roman" w:hAnsi="Times New Roman" w:cs="Times New Roman"/>
          <w:sz w:val="24"/>
        </w:rPr>
        <w:t xml:space="preserve">into a meaningful analysis. An exploration of the </w:t>
      </w:r>
      <w:r w:rsidR="00855814">
        <w:rPr>
          <w:rFonts w:ascii="Times New Roman" w:hAnsi="Times New Roman" w:cs="Times New Roman"/>
          <w:sz w:val="24"/>
        </w:rPr>
        <w:t xml:space="preserve">SPLC </w:t>
      </w:r>
      <w:r>
        <w:rPr>
          <w:rFonts w:ascii="Times New Roman" w:hAnsi="Times New Roman" w:cs="Times New Roman"/>
          <w:sz w:val="24"/>
        </w:rPr>
        <w:t>data showed that</w:t>
      </w:r>
      <w:r w:rsidR="00987CEF">
        <w:rPr>
          <w:rFonts w:ascii="Times New Roman" w:hAnsi="Times New Roman" w:cs="Times New Roman"/>
          <w:sz w:val="24"/>
        </w:rPr>
        <w:t xml:space="preserve"> in five of the years, all 50 states had at least one antigovernment group whose location was listed as “Statewide” by SPLC. This result again calls into question whether these records represent evidence of meaningful – that is to say, provide a significant “signal” – antigovernment or militant group organization.</w:t>
      </w:r>
      <w:r w:rsidR="00855814">
        <w:rPr>
          <w:rFonts w:ascii="Times New Roman" w:hAnsi="Times New Roman" w:cs="Times New Roman"/>
          <w:sz w:val="24"/>
        </w:rPr>
        <w:t xml:space="preserve"> </w:t>
      </w:r>
    </w:p>
    <w:p w:rsidR="007F77D3" w:rsidRDefault="007F77D3" w:rsidP="00987CEF">
      <w:pPr>
        <w:pStyle w:val="NoSpacing"/>
        <w:rPr>
          <w:rFonts w:ascii="Times New Roman" w:hAnsi="Times New Roman" w:cs="Times New Roman"/>
          <w:sz w:val="24"/>
        </w:rPr>
      </w:pPr>
    </w:p>
    <w:p w:rsidR="007F77D3" w:rsidRDefault="007F77D3" w:rsidP="00987CEF">
      <w:pPr>
        <w:pStyle w:val="NoSpacing"/>
        <w:rPr>
          <w:rFonts w:ascii="Times New Roman" w:hAnsi="Times New Roman" w:cs="Times New Roman"/>
          <w:sz w:val="24"/>
        </w:rPr>
      </w:pPr>
      <w:r>
        <w:rPr>
          <w:rFonts w:ascii="Times New Roman" w:hAnsi="Times New Roman" w:cs="Times New Roman"/>
          <w:sz w:val="24"/>
        </w:rPr>
        <w:t xml:space="preserve">Thirdly, the variability with which “Statewide” was used from year to year in the SPLC database raises serious questions about the consistency in the definition used. </w:t>
      </w:r>
      <w:r w:rsidR="00AB0C08">
        <w:rPr>
          <w:rFonts w:ascii="Times New Roman" w:hAnsi="Times New Roman" w:cs="Times New Roman"/>
          <w:sz w:val="24"/>
        </w:rPr>
        <w:t>As the Table 2 shows, the term was not used until the 2009 year, and saw a rare drop in the 2014 year. Unless we are able to obtain information from the SPLC clarifying what the usage of this term is intended to imply, this inconsistency of usage seems to suggest that the term itself is rather meaningless to the SPLC as a whole.</w:t>
      </w:r>
      <w:r w:rsidR="00AB0C08">
        <w:rPr>
          <w:rStyle w:val="FootnoteReference"/>
          <w:rFonts w:ascii="Times New Roman" w:hAnsi="Times New Roman" w:cs="Times New Roman"/>
          <w:sz w:val="24"/>
        </w:rPr>
        <w:footnoteReference w:id="10"/>
      </w:r>
    </w:p>
    <w:p w:rsidR="007F77D3" w:rsidRDefault="007F77D3" w:rsidP="00987CEF">
      <w:pPr>
        <w:pStyle w:val="NoSpacing"/>
        <w:rPr>
          <w:rFonts w:ascii="Times New Roman" w:hAnsi="Times New Roman" w:cs="Times New Roman"/>
          <w:sz w:val="24"/>
        </w:rPr>
      </w:pPr>
    </w:p>
    <w:p w:rsidR="007F77D3" w:rsidRPr="007F77D3" w:rsidRDefault="007F77D3" w:rsidP="007F77D3">
      <w:pPr>
        <w:pStyle w:val="NoSpacing"/>
        <w:jc w:val="center"/>
        <w:rPr>
          <w:rFonts w:ascii="Times New Roman" w:hAnsi="Times New Roman" w:cs="Times New Roman"/>
          <w:b/>
          <w:sz w:val="24"/>
        </w:rPr>
      </w:pPr>
      <w:r>
        <w:rPr>
          <w:rFonts w:ascii="Times New Roman" w:hAnsi="Times New Roman" w:cs="Times New Roman"/>
          <w:b/>
          <w:sz w:val="24"/>
        </w:rPr>
        <w:t>Table 2: Comparison of states that contain records with location listed as “Statewide”, by Year</w:t>
      </w:r>
    </w:p>
    <w:p w:rsidR="007F77D3" w:rsidRDefault="007F77D3" w:rsidP="00987CEF">
      <w:pPr>
        <w:pStyle w:val="NoSpacing"/>
        <w:rPr>
          <w:rFonts w:ascii="Times New Roman" w:hAnsi="Times New Roman" w:cs="Times New Roman"/>
          <w:sz w:val="24"/>
        </w:rPr>
      </w:pPr>
    </w:p>
    <w:tbl>
      <w:tblPr>
        <w:tblW w:w="7640" w:type="dxa"/>
        <w:jc w:val="center"/>
        <w:tblCellMar>
          <w:top w:w="15" w:type="dxa"/>
          <w:bottom w:w="15" w:type="dxa"/>
        </w:tblCellMar>
        <w:tblLook w:val="04A0" w:firstRow="1" w:lastRow="0" w:firstColumn="1" w:lastColumn="0" w:noHBand="0" w:noVBand="1"/>
      </w:tblPr>
      <w:tblGrid>
        <w:gridCol w:w="960"/>
        <w:gridCol w:w="3340"/>
        <w:gridCol w:w="3340"/>
      </w:tblGrid>
      <w:tr w:rsidR="00AB0C08" w:rsidRPr="00AB0C08" w:rsidTr="00AB0C08">
        <w:trPr>
          <w:trHeight w:val="686"/>
          <w:jc w:val="center"/>
        </w:trPr>
        <w:tc>
          <w:tcPr>
            <w:tcW w:w="960" w:type="dxa"/>
            <w:tcBorders>
              <w:top w:val="single" w:sz="4" w:space="0" w:color="auto"/>
              <w:left w:val="single" w:sz="4" w:space="0" w:color="auto"/>
              <w:bottom w:val="single" w:sz="4" w:space="0" w:color="auto"/>
              <w:right w:val="single" w:sz="4" w:space="0" w:color="auto"/>
            </w:tcBorders>
            <w:noWrap/>
            <w:vAlign w:val="center"/>
            <w:hideMark/>
          </w:tcPr>
          <w:p w:rsidR="00AB0C08" w:rsidRPr="00AB0C08" w:rsidRDefault="00AB0C08" w:rsidP="00AB0C08">
            <w:pPr>
              <w:spacing w:after="0" w:line="240" w:lineRule="auto"/>
              <w:jc w:val="center"/>
              <w:rPr>
                <w:rFonts w:ascii="Times New Roman" w:eastAsia="Times New Roman" w:hAnsi="Times New Roman" w:cs="Times New Roman"/>
                <w:b/>
                <w:bCs/>
                <w:color w:val="000000"/>
              </w:rPr>
            </w:pPr>
            <w:r w:rsidRPr="00AB0C08">
              <w:rPr>
                <w:rFonts w:ascii="Times New Roman" w:eastAsia="Times New Roman" w:hAnsi="Times New Roman" w:cs="Times New Roman"/>
                <w:b/>
                <w:bCs/>
                <w:color w:val="000000"/>
              </w:rPr>
              <w:t>Year</w:t>
            </w:r>
          </w:p>
        </w:tc>
        <w:tc>
          <w:tcPr>
            <w:tcW w:w="3340" w:type="dxa"/>
            <w:tcBorders>
              <w:top w:val="single" w:sz="4" w:space="0" w:color="auto"/>
              <w:left w:val="single" w:sz="4" w:space="0" w:color="auto"/>
              <w:bottom w:val="single" w:sz="4" w:space="0" w:color="auto"/>
              <w:right w:val="single" w:sz="4" w:space="0" w:color="auto"/>
            </w:tcBorders>
            <w:vAlign w:val="center"/>
            <w:hideMark/>
          </w:tcPr>
          <w:p w:rsidR="00AB0C08" w:rsidRPr="00AB0C08" w:rsidRDefault="00AB0C08" w:rsidP="00AB0C08">
            <w:pPr>
              <w:spacing w:after="0" w:line="240" w:lineRule="auto"/>
              <w:jc w:val="center"/>
              <w:rPr>
                <w:rFonts w:ascii="Times New Roman" w:eastAsia="Times New Roman" w:hAnsi="Times New Roman" w:cs="Times New Roman"/>
                <w:b/>
                <w:bCs/>
                <w:color w:val="000000"/>
              </w:rPr>
            </w:pPr>
            <w:r w:rsidRPr="00AB0C08">
              <w:rPr>
                <w:rFonts w:ascii="Times New Roman" w:eastAsia="Times New Roman" w:hAnsi="Times New Roman" w:cs="Times New Roman"/>
                <w:b/>
                <w:bCs/>
                <w:color w:val="000000"/>
              </w:rPr>
              <w:t>Count of unique states with "Statewide" location field</w:t>
            </w:r>
          </w:p>
        </w:tc>
        <w:tc>
          <w:tcPr>
            <w:tcW w:w="3340" w:type="dxa"/>
            <w:tcBorders>
              <w:top w:val="single" w:sz="4" w:space="0" w:color="auto"/>
              <w:left w:val="single" w:sz="4" w:space="0" w:color="auto"/>
              <w:bottom w:val="single" w:sz="4" w:space="0" w:color="auto"/>
              <w:right w:val="single" w:sz="4" w:space="0" w:color="auto"/>
            </w:tcBorders>
            <w:vAlign w:val="center"/>
            <w:hideMark/>
          </w:tcPr>
          <w:p w:rsidR="00AB0C08" w:rsidRPr="00AB0C08" w:rsidRDefault="00AB0C08" w:rsidP="00AB0C08">
            <w:pPr>
              <w:spacing w:after="0" w:line="240" w:lineRule="auto"/>
              <w:jc w:val="center"/>
              <w:rPr>
                <w:rFonts w:ascii="Times New Roman" w:eastAsia="Times New Roman" w:hAnsi="Times New Roman" w:cs="Times New Roman"/>
                <w:b/>
                <w:bCs/>
                <w:color w:val="000000"/>
              </w:rPr>
            </w:pPr>
            <w:r w:rsidRPr="00AB0C08">
              <w:rPr>
                <w:rFonts w:ascii="Times New Roman" w:eastAsia="Times New Roman" w:hAnsi="Times New Roman" w:cs="Times New Roman"/>
                <w:b/>
                <w:bCs/>
                <w:color w:val="000000"/>
              </w:rPr>
              <w:t>Count of records with "Statewide" location field</w:t>
            </w:r>
          </w:p>
        </w:tc>
      </w:tr>
      <w:tr w:rsidR="00AB0C08" w:rsidRPr="00AB0C08" w:rsidTr="00AB0C08">
        <w:trPr>
          <w:trHeight w:val="300"/>
          <w:jc w:val="center"/>
        </w:trPr>
        <w:tc>
          <w:tcPr>
            <w:tcW w:w="960" w:type="dxa"/>
            <w:tcBorders>
              <w:top w:val="single" w:sz="4" w:space="0" w:color="auto"/>
              <w:left w:val="single" w:sz="4" w:space="0" w:color="auto"/>
              <w:bottom w:val="single" w:sz="4" w:space="0" w:color="auto"/>
              <w:right w:val="single" w:sz="4" w:space="0" w:color="auto"/>
            </w:tcBorders>
            <w:noWrap/>
            <w:vAlign w:val="center"/>
            <w:hideMark/>
          </w:tcPr>
          <w:p w:rsidR="00AB0C08" w:rsidRPr="00AB0C08" w:rsidRDefault="00AB0C08" w:rsidP="00AB0C08">
            <w:pPr>
              <w:spacing w:after="0" w:line="240" w:lineRule="auto"/>
              <w:jc w:val="center"/>
              <w:rPr>
                <w:rFonts w:ascii="Times New Roman" w:eastAsia="Times New Roman" w:hAnsi="Times New Roman" w:cs="Times New Roman"/>
                <w:color w:val="000000"/>
              </w:rPr>
            </w:pPr>
            <w:r w:rsidRPr="00AB0C08">
              <w:rPr>
                <w:rFonts w:ascii="Times New Roman" w:eastAsia="Times New Roman" w:hAnsi="Times New Roman" w:cs="Times New Roman"/>
                <w:color w:val="000000"/>
              </w:rPr>
              <w:t>2016</w:t>
            </w:r>
          </w:p>
        </w:tc>
        <w:tc>
          <w:tcPr>
            <w:tcW w:w="3340" w:type="dxa"/>
            <w:tcBorders>
              <w:top w:val="single" w:sz="4" w:space="0" w:color="auto"/>
              <w:left w:val="single" w:sz="4" w:space="0" w:color="auto"/>
              <w:bottom w:val="single" w:sz="4" w:space="0" w:color="auto"/>
              <w:right w:val="single" w:sz="4" w:space="0" w:color="auto"/>
            </w:tcBorders>
            <w:noWrap/>
            <w:vAlign w:val="center"/>
            <w:hideMark/>
          </w:tcPr>
          <w:p w:rsidR="00AB0C08" w:rsidRPr="00AB0C08" w:rsidRDefault="00AB0C08" w:rsidP="00AB0C08">
            <w:pPr>
              <w:spacing w:after="0" w:line="240" w:lineRule="auto"/>
              <w:jc w:val="center"/>
              <w:rPr>
                <w:rFonts w:ascii="Times New Roman" w:eastAsia="Times New Roman" w:hAnsi="Times New Roman" w:cs="Times New Roman"/>
                <w:color w:val="000000"/>
              </w:rPr>
            </w:pPr>
            <w:r w:rsidRPr="00AB0C08">
              <w:rPr>
                <w:rFonts w:ascii="Times New Roman" w:eastAsia="Times New Roman" w:hAnsi="Times New Roman" w:cs="Times New Roman"/>
                <w:color w:val="000000"/>
              </w:rPr>
              <w:t>50</w:t>
            </w:r>
          </w:p>
        </w:tc>
        <w:tc>
          <w:tcPr>
            <w:tcW w:w="3340" w:type="dxa"/>
            <w:tcBorders>
              <w:top w:val="single" w:sz="4" w:space="0" w:color="auto"/>
              <w:left w:val="single" w:sz="4" w:space="0" w:color="auto"/>
              <w:bottom w:val="single" w:sz="4" w:space="0" w:color="auto"/>
              <w:right w:val="single" w:sz="4" w:space="0" w:color="auto"/>
            </w:tcBorders>
            <w:noWrap/>
            <w:vAlign w:val="center"/>
            <w:hideMark/>
          </w:tcPr>
          <w:p w:rsidR="00AB0C08" w:rsidRPr="00AB0C08" w:rsidRDefault="00AB0C08" w:rsidP="00AB0C08">
            <w:pPr>
              <w:spacing w:after="0" w:line="240" w:lineRule="auto"/>
              <w:jc w:val="center"/>
              <w:rPr>
                <w:rFonts w:ascii="Times New Roman" w:eastAsia="Times New Roman" w:hAnsi="Times New Roman" w:cs="Times New Roman"/>
                <w:color w:val="000000"/>
              </w:rPr>
            </w:pPr>
            <w:r w:rsidRPr="00AB0C08">
              <w:rPr>
                <w:rFonts w:ascii="Times New Roman" w:eastAsia="Times New Roman" w:hAnsi="Times New Roman" w:cs="Times New Roman"/>
                <w:color w:val="000000"/>
              </w:rPr>
              <w:t>155</w:t>
            </w:r>
          </w:p>
        </w:tc>
      </w:tr>
      <w:tr w:rsidR="00AB0C08" w:rsidRPr="00AB0C08" w:rsidTr="00AB0C08">
        <w:trPr>
          <w:trHeight w:val="300"/>
          <w:jc w:val="center"/>
        </w:trPr>
        <w:tc>
          <w:tcPr>
            <w:tcW w:w="960" w:type="dxa"/>
            <w:tcBorders>
              <w:top w:val="single" w:sz="4" w:space="0" w:color="auto"/>
              <w:left w:val="single" w:sz="4" w:space="0" w:color="auto"/>
              <w:bottom w:val="single" w:sz="4" w:space="0" w:color="auto"/>
              <w:right w:val="single" w:sz="4" w:space="0" w:color="auto"/>
            </w:tcBorders>
            <w:noWrap/>
            <w:vAlign w:val="center"/>
            <w:hideMark/>
          </w:tcPr>
          <w:p w:rsidR="00AB0C08" w:rsidRPr="00AB0C08" w:rsidRDefault="00AB0C08" w:rsidP="00AB0C08">
            <w:pPr>
              <w:spacing w:after="0" w:line="240" w:lineRule="auto"/>
              <w:jc w:val="center"/>
              <w:rPr>
                <w:rFonts w:ascii="Times New Roman" w:eastAsia="Times New Roman" w:hAnsi="Times New Roman" w:cs="Times New Roman"/>
                <w:color w:val="000000"/>
              </w:rPr>
            </w:pPr>
            <w:r w:rsidRPr="00AB0C08">
              <w:rPr>
                <w:rFonts w:ascii="Times New Roman" w:eastAsia="Times New Roman" w:hAnsi="Times New Roman" w:cs="Times New Roman"/>
                <w:color w:val="000000"/>
              </w:rPr>
              <w:t>2015</w:t>
            </w:r>
          </w:p>
        </w:tc>
        <w:tc>
          <w:tcPr>
            <w:tcW w:w="3340" w:type="dxa"/>
            <w:tcBorders>
              <w:top w:val="single" w:sz="4" w:space="0" w:color="auto"/>
              <w:left w:val="single" w:sz="4" w:space="0" w:color="auto"/>
              <w:bottom w:val="single" w:sz="4" w:space="0" w:color="auto"/>
              <w:right w:val="single" w:sz="4" w:space="0" w:color="auto"/>
            </w:tcBorders>
            <w:noWrap/>
            <w:vAlign w:val="center"/>
            <w:hideMark/>
          </w:tcPr>
          <w:p w:rsidR="00AB0C08" w:rsidRPr="00AB0C08" w:rsidRDefault="00AB0C08" w:rsidP="00AB0C08">
            <w:pPr>
              <w:spacing w:after="0" w:line="240" w:lineRule="auto"/>
              <w:jc w:val="center"/>
              <w:rPr>
                <w:rFonts w:ascii="Times New Roman" w:eastAsia="Times New Roman" w:hAnsi="Times New Roman" w:cs="Times New Roman"/>
                <w:color w:val="000000"/>
              </w:rPr>
            </w:pPr>
            <w:r w:rsidRPr="00AB0C08">
              <w:rPr>
                <w:rFonts w:ascii="Times New Roman" w:eastAsia="Times New Roman" w:hAnsi="Times New Roman" w:cs="Times New Roman"/>
                <w:color w:val="000000"/>
              </w:rPr>
              <w:t>48</w:t>
            </w:r>
          </w:p>
        </w:tc>
        <w:tc>
          <w:tcPr>
            <w:tcW w:w="3340" w:type="dxa"/>
            <w:tcBorders>
              <w:top w:val="single" w:sz="4" w:space="0" w:color="auto"/>
              <w:left w:val="single" w:sz="4" w:space="0" w:color="auto"/>
              <w:bottom w:val="single" w:sz="4" w:space="0" w:color="auto"/>
              <w:right w:val="single" w:sz="4" w:space="0" w:color="auto"/>
            </w:tcBorders>
            <w:noWrap/>
            <w:vAlign w:val="center"/>
            <w:hideMark/>
          </w:tcPr>
          <w:p w:rsidR="00AB0C08" w:rsidRPr="00AB0C08" w:rsidRDefault="00AB0C08" w:rsidP="00AB0C08">
            <w:pPr>
              <w:spacing w:after="0" w:line="240" w:lineRule="auto"/>
              <w:jc w:val="center"/>
              <w:rPr>
                <w:rFonts w:ascii="Times New Roman" w:eastAsia="Times New Roman" w:hAnsi="Times New Roman" w:cs="Times New Roman"/>
                <w:color w:val="000000"/>
              </w:rPr>
            </w:pPr>
            <w:r w:rsidRPr="00AB0C08">
              <w:rPr>
                <w:rFonts w:ascii="Times New Roman" w:eastAsia="Times New Roman" w:hAnsi="Times New Roman" w:cs="Times New Roman"/>
                <w:color w:val="000000"/>
              </w:rPr>
              <w:t>102</w:t>
            </w:r>
          </w:p>
        </w:tc>
      </w:tr>
      <w:tr w:rsidR="00AB0C08" w:rsidRPr="00AB0C08" w:rsidTr="00AB0C08">
        <w:trPr>
          <w:trHeight w:val="300"/>
          <w:jc w:val="center"/>
        </w:trPr>
        <w:tc>
          <w:tcPr>
            <w:tcW w:w="960" w:type="dxa"/>
            <w:tcBorders>
              <w:top w:val="single" w:sz="4" w:space="0" w:color="auto"/>
              <w:left w:val="single" w:sz="4" w:space="0" w:color="auto"/>
              <w:bottom w:val="single" w:sz="4" w:space="0" w:color="auto"/>
              <w:right w:val="single" w:sz="4" w:space="0" w:color="auto"/>
            </w:tcBorders>
            <w:noWrap/>
            <w:vAlign w:val="center"/>
            <w:hideMark/>
          </w:tcPr>
          <w:p w:rsidR="00AB0C08" w:rsidRPr="00AB0C08" w:rsidRDefault="00AB0C08" w:rsidP="00AB0C08">
            <w:pPr>
              <w:spacing w:after="0" w:line="240" w:lineRule="auto"/>
              <w:jc w:val="center"/>
              <w:rPr>
                <w:rFonts w:ascii="Times New Roman" w:eastAsia="Times New Roman" w:hAnsi="Times New Roman" w:cs="Times New Roman"/>
                <w:color w:val="000000"/>
              </w:rPr>
            </w:pPr>
            <w:r w:rsidRPr="00AB0C08">
              <w:rPr>
                <w:rFonts w:ascii="Times New Roman" w:eastAsia="Times New Roman" w:hAnsi="Times New Roman" w:cs="Times New Roman"/>
                <w:color w:val="000000"/>
              </w:rPr>
              <w:t>2014</w:t>
            </w:r>
          </w:p>
        </w:tc>
        <w:tc>
          <w:tcPr>
            <w:tcW w:w="3340" w:type="dxa"/>
            <w:tcBorders>
              <w:top w:val="single" w:sz="4" w:space="0" w:color="auto"/>
              <w:left w:val="single" w:sz="4" w:space="0" w:color="auto"/>
              <w:bottom w:val="single" w:sz="4" w:space="0" w:color="auto"/>
              <w:right w:val="single" w:sz="4" w:space="0" w:color="auto"/>
            </w:tcBorders>
            <w:noWrap/>
            <w:vAlign w:val="center"/>
            <w:hideMark/>
          </w:tcPr>
          <w:p w:rsidR="00AB0C08" w:rsidRPr="00AB0C08" w:rsidRDefault="00AB0C08" w:rsidP="00AB0C08">
            <w:pPr>
              <w:spacing w:after="0" w:line="240" w:lineRule="auto"/>
              <w:jc w:val="center"/>
              <w:rPr>
                <w:rFonts w:ascii="Times New Roman" w:eastAsia="Times New Roman" w:hAnsi="Times New Roman" w:cs="Times New Roman"/>
                <w:color w:val="000000"/>
              </w:rPr>
            </w:pPr>
            <w:r w:rsidRPr="00AB0C08">
              <w:rPr>
                <w:rFonts w:ascii="Times New Roman" w:eastAsia="Times New Roman" w:hAnsi="Times New Roman" w:cs="Times New Roman"/>
                <w:color w:val="000000"/>
              </w:rPr>
              <w:t>17</w:t>
            </w:r>
          </w:p>
        </w:tc>
        <w:tc>
          <w:tcPr>
            <w:tcW w:w="3340" w:type="dxa"/>
            <w:tcBorders>
              <w:top w:val="single" w:sz="4" w:space="0" w:color="auto"/>
              <w:left w:val="single" w:sz="4" w:space="0" w:color="auto"/>
              <w:bottom w:val="single" w:sz="4" w:space="0" w:color="auto"/>
              <w:right w:val="single" w:sz="4" w:space="0" w:color="auto"/>
            </w:tcBorders>
            <w:noWrap/>
            <w:vAlign w:val="center"/>
            <w:hideMark/>
          </w:tcPr>
          <w:p w:rsidR="00AB0C08" w:rsidRPr="00AB0C08" w:rsidRDefault="00AB0C08" w:rsidP="00AB0C08">
            <w:pPr>
              <w:spacing w:after="0" w:line="240" w:lineRule="auto"/>
              <w:jc w:val="center"/>
              <w:rPr>
                <w:rFonts w:ascii="Times New Roman" w:eastAsia="Times New Roman" w:hAnsi="Times New Roman" w:cs="Times New Roman"/>
                <w:color w:val="000000"/>
              </w:rPr>
            </w:pPr>
            <w:r w:rsidRPr="00AB0C08">
              <w:rPr>
                <w:rFonts w:ascii="Times New Roman" w:eastAsia="Times New Roman" w:hAnsi="Times New Roman" w:cs="Times New Roman"/>
                <w:color w:val="000000"/>
              </w:rPr>
              <w:t>21</w:t>
            </w:r>
          </w:p>
        </w:tc>
      </w:tr>
      <w:tr w:rsidR="00AB0C08" w:rsidRPr="00AB0C08" w:rsidTr="00AB0C08">
        <w:trPr>
          <w:trHeight w:val="300"/>
          <w:jc w:val="center"/>
        </w:trPr>
        <w:tc>
          <w:tcPr>
            <w:tcW w:w="960" w:type="dxa"/>
            <w:tcBorders>
              <w:top w:val="single" w:sz="4" w:space="0" w:color="auto"/>
              <w:left w:val="single" w:sz="4" w:space="0" w:color="auto"/>
              <w:bottom w:val="single" w:sz="4" w:space="0" w:color="auto"/>
              <w:right w:val="single" w:sz="4" w:space="0" w:color="auto"/>
            </w:tcBorders>
            <w:noWrap/>
            <w:vAlign w:val="center"/>
            <w:hideMark/>
          </w:tcPr>
          <w:p w:rsidR="00AB0C08" w:rsidRPr="00AB0C08" w:rsidRDefault="00AB0C08" w:rsidP="00AB0C08">
            <w:pPr>
              <w:spacing w:after="0" w:line="240" w:lineRule="auto"/>
              <w:jc w:val="center"/>
              <w:rPr>
                <w:rFonts w:ascii="Times New Roman" w:eastAsia="Times New Roman" w:hAnsi="Times New Roman" w:cs="Times New Roman"/>
                <w:color w:val="000000"/>
              </w:rPr>
            </w:pPr>
            <w:r w:rsidRPr="00AB0C08">
              <w:rPr>
                <w:rFonts w:ascii="Times New Roman" w:eastAsia="Times New Roman" w:hAnsi="Times New Roman" w:cs="Times New Roman"/>
                <w:color w:val="000000"/>
              </w:rPr>
              <w:t>2013</w:t>
            </w:r>
          </w:p>
        </w:tc>
        <w:tc>
          <w:tcPr>
            <w:tcW w:w="3340" w:type="dxa"/>
            <w:tcBorders>
              <w:top w:val="single" w:sz="4" w:space="0" w:color="auto"/>
              <w:left w:val="single" w:sz="4" w:space="0" w:color="auto"/>
              <w:bottom w:val="single" w:sz="4" w:space="0" w:color="auto"/>
              <w:right w:val="single" w:sz="4" w:space="0" w:color="auto"/>
            </w:tcBorders>
            <w:noWrap/>
            <w:vAlign w:val="center"/>
            <w:hideMark/>
          </w:tcPr>
          <w:p w:rsidR="00AB0C08" w:rsidRPr="00AB0C08" w:rsidRDefault="00AB0C08" w:rsidP="00AB0C08">
            <w:pPr>
              <w:spacing w:after="0" w:line="240" w:lineRule="auto"/>
              <w:jc w:val="center"/>
              <w:rPr>
                <w:rFonts w:ascii="Times New Roman" w:eastAsia="Times New Roman" w:hAnsi="Times New Roman" w:cs="Times New Roman"/>
                <w:color w:val="000000"/>
              </w:rPr>
            </w:pPr>
            <w:r w:rsidRPr="00AB0C08">
              <w:rPr>
                <w:rFonts w:ascii="Times New Roman" w:eastAsia="Times New Roman" w:hAnsi="Times New Roman" w:cs="Times New Roman"/>
                <w:color w:val="000000"/>
              </w:rPr>
              <w:t>50</w:t>
            </w:r>
          </w:p>
        </w:tc>
        <w:tc>
          <w:tcPr>
            <w:tcW w:w="3340" w:type="dxa"/>
            <w:tcBorders>
              <w:top w:val="single" w:sz="4" w:space="0" w:color="auto"/>
              <w:left w:val="single" w:sz="4" w:space="0" w:color="auto"/>
              <w:bottom w:val="single" w:sz="4" w:space="0" w:color="auto"/>
              <w:right w:val="single" w:sz="4" w:space="0" w:color="auto"/>
            </w:tcBorders>
            <w:noWrap/>
            <w:vAlign w:val="center"/>
            <w:hideMark/>
          </w:tcPr>
          <w:p w:rsidR="00AB0C08" w:rsidRPr="00AB0C08" w:rsidRDefault="00AB0C08" w:rsidP="00AB0C08">
            <w:pPr>
              <w:spacing w:after="0" w:line="240" w:lineRule="auto"/>
              <w:jc w:val="center"/>
              <w:rPr>
                <w:rFonts w:ascii="Times New Roman" w:eastAsia="Times New Roman" w:hAnsi="Times New Roman" w:cs="Times New Roman"/>
                <w:color w:val="000000"/>
              </w:rPr>
            </w:pPr>
            <w:r w:rsidRPr="00AB0C08">
              <w:rPr>
                <w:rFonts w:ascii="Times New Roman" w:eastAsia="Times New Roman" w:hAnsi="Times New Roman" w:cs="Times New Roman"/>
                <w:color w:val="000000"/>
              </w:rPr>
              <w:t>351</w:t>
            </w:r>
          </w:p>
        </w:tc>
      </w:tr>
      <w:tr w:rsidR="00AB0C08" w:rsidRPr="00AB0C08" w:rsidTr="00AB0C08">
        <w:trPr>
          <w:trHeight w:val="300"/>
          <w:jc w:val="center"/>
        </w:trPr>
        <w:tc>
          <w:tcPr>
            <w:tcW w:w="960" w:type="dxa"/>
            <w:tcBorders>
              <w:top w:val="single" w:sz="4" w:space="0" w:color="auto"/>
              <w:left w:val="single" w:sz="4" w:space="0" w:color="auto"/>
              <w:bottom w:val="single" w:sz="4" w:space="0" w:color="auto"/>
              <w:right w:val="single" w:sz="4" w:space="0" w:color="auto"/>
            </w:tcBorders>
            <w:noWrap/>
            <w:vAlign w:val="center"/>
            <w:hideMark/>
          </w:tcPr>
          <w:p w:rsidR="00AB0C08" w:rsidRPr="00AB0C08" w:rsidRDefault="00AB0C08" w:rsidP="00AB0C08">
            <w:pPr>
              <w:spacing w:after="0" w:line="240" w:lineRule="auto"/>
              <w:jc w:val="center"/>
              <w:rPr>
                <w:rFonts w:ascii="Times New Roman" w:eastAsia="Times New Roman" w:hAnsi="Times New Roman" w:cs="Times New Roman"/>
                <w:color w:val="000000"/>
              </w:rPr>
            </w:pPr>
            <w:r w:rsidRPr="00AB0C08">
              <w:rPr>
                <w:rFonts w:ascii="Times New Roman" w:eastAsia="Times New Roman" w:hAnsi="Times New Roman" w:cs="Times New Roman"/>
                <w:color w:val="000000"/>
              </w:rPr>
              <w:t>2012</w:t>
            </w:r>
          </w:p>
        </w:tc>
        <w:tc>
          <w:tcPr>
            <w:tcW w:w="3340" w:type="dxa"/>
            <w:tcBorders>
              <w:top w:val="single" w:sz="4" w:space="0" w:color="auto"/>
              <w:left w:val="single" w:sz="4" w:space="0" w:color="auto"/>
              <w:bottom w:val="single" w:sz="4" w:space="0" w:color="auto"/>
              <w:right w:val="single" w:sz="4" w:space="0" w:color="auto"/>
            </w:tcBorders>
            <w:noWrap/>
            <w:vAlign w:val="center"/>
            <w:hideMark/>
          </w:tcPr>
          <w:p w:rsidR="00AB0C08" w:rsidRPr="00AB0C08" w:rsidRDefault="00AB0C08" w:rsidP="00AB0C08">
            <w:pPr>
              <w:spacing w:after="0" w:line="240" w:lineRule="auto"/>
              <w:jc w:val="center"/>
              <w:rPr>
                <w:rFonts w:ascii="Times New Roman" w:eastAsia="Times New Roman" w:hAnsi="Times New Roman" w:cs="Times New Roman"/>
                <w:color w:val="000000"/>
              </w:rPr>
            </w:pPr>
            <w:r w:rsidRPr="00AB0C08">
              <w:rPr>
                <w:rFonts w:ascii="Times New Roman" w:eastAsia="Times New Roman" w:hAnsi="Times New Roman" w:cs="Times New Roman"/>
                <w:color w:val="000000"/>
              </w:rPr>
              <w:t>50</w:t>
            </w:r>
          </w:p>
        </w:tc>
        <w:tc>
          <w:tcPr>
            <w:tcW w:w="3340" w:type="dxa"/>
            <w:tcBorders>
              <w:top w:val="single" w:sz="4" w:space="0" w:color="auto"/>
              <w:left w:val="single" w:sz="4" w:space="0" w:color="auto"/>
              <w:bottom w:val="single" w:sz="4" w:space="0" w:color="auto"/>
              <w:right w:val="single" w:sz="4" w:space="0" w:color="auto"/>
            </w:tcBorders>
            <w:noWrap/>
            <w:vAlign w:val="center"/>
            <w:hideMark/>
          </w:tcPr>
          <w:p w:rsidR="00AB0C08" w:rsidRPr="00AB0C08" w:rsidRDefault="00AB0C08" w:rsidP="00AB0C08">
            <w:pPr>
              <w:spacing w:after="0" w:line="240" w:lineRule="auto"/>
              <w:jc w:val="center"/>
              <w:rPr>
                <w:rFonts w:ascii="Times New Roman" w:eastAsia="Times New Roman" w:hAnsi="Times New Roman" w:cs="Times New Roman"/>
                <w:color w:val="000000"/>
              </w:rPr>
            </w:pPr>
            <w:r w:rsidRPr="00AB0C08">
              <w:rPr>
                <w:rFonts w:ascii="Times New Roman" w:eastAsia="Times New Roman" w:hAnsi="Times New Roman" w:cs="Times New Roman"/>
                <w:color w:val="000000"/>
              </w:rPr>
              <w:t>330</w:t>
            </w:r>
          </w:p>
        </w:tc>
      </w:tr>
      <w:tr w:rsidR="00AB0C08" w:rsidRPr="00AB0C08" w:rsidTr="00AB0C08">
        <w:trPr>
          <w:trHeight w:val="300"/>
          <w:jc w:val="center"/>
        </w:trPr>
        <w:tc>
          <w:tcPr>
            <w:tcW w:w="960" w:type="dxa"/>
            <w:tcBorders>
              <w:top w:val="single" w:sz="4" w:space="0" w:color="auto"/>
              <w:left w:val="single" w:sz="4" w:space="0" w:color="auto"/>
              <w:bottom w:val="single" w:sz="4" w:space="0" w:color="auto"/>
              <w:right w:val="single" w:sz="4" w:space="0" w:color="auto"/>
            </w:tcBorders>
            <w:noWrap/>
            <w:vAlign w:val="center"/>
            <w:hideMark/>
          </w:tcPr>
          <w:p w:rsidR="00AB0C08" w:rsidRPr="00AB0C08" w:rsidRDefault="00AB0C08" w:rsidP="00AB0C08">
            <w:pPr>
              <w:spacing w:after="0" w:line="240" w:lineRule="auto"/>
              <w:jc w:val="center"/>
              <w:rPr>
                <w:rFonts w:ascii="Times New Roman" w:eastAsia="Times New Roman" w:hAnsi="Times New Roman" w:cs="Times New Roman"/>
                <w:color w:val="000000"/>
              </w:rPr>
            </w:pPr>
            <w:r w:rsidRPr="00AB0C08">
              <w:rPr>
                <w:rFonts w:ascii="Times New Roman" w:eastAsia="Times New Roman" w:hAnsi="Times New Roman" w:cs="Times New Roman"/>
                <w:color w:val="000000"/>
              </w:rPr>
              <w:t>2011</w:t>
            </w:r>
          </w:p>
        </w:tc>
        <w:tc>
          <w:tcPr>
            <w:tcW w:w="3340" w:type="dxa"/>
            <w:tcBorders>
              <w:top w:val="single" w:sz="4" w:space="0" w:color="auto"/>
              <w:left w:val="single" w:sz="4" w:space="0" w:color="auto"/>
              <w:bottom w:val="single" w:sz="4" w:space="0" w:color="auto"/>
              <w:right w:val="single" w:sz="4" w:space="0" w:color="auto"/>
            </w:tcBorders>
            <w:noWrap/>
            <w:vAlign w:val="center"/>
            <w:hideMark/>
          </w:tcPr>
          <w:p w:rsidR="00AB0C08" w:rsidRPr="00AB0C08" w:rsidRDefault="00AB0C08" w:rsidP="00AB0C08">
            <w:pPr>
              <w:spacing w:after="0" w:line="240" w:lineRule="auto"/>
              <w:jc w:val="center"/>
              <w:rPr>
                <w:rFonts w:ascii="Times New Roman" w:eastAsia="Times New Roman" w:hAnsi="Times New Roman" w:cs="Times New Roman"/>
                <w:color w:val="000000"/>
              </w:rPr>
            </w:pPr>
            <w:r w:rsidRPr="00AB0C08">
              <w:rPr>
                <w:rFonts w:ascii="Times New Roman" w:eastAsia="Times New Roman" w:hAnsi="Times New Roman" w:cs="Times New Roman"/>
                <w:color w:val="000000"/>
              </w:rPr>
              <w:t>50</w:t>
            </w:r>
          </w:p>
        </w:tc>
        <w:tc>
          <w:tcPr>
            <w:tcW w:w="3340" w:type="dxa"/>
            <w:tcBorders>
              <w:top w:val="single" w:sz="4" w:space="0" w:color="auto"/>
              <w:left w:val="single" w:sz="4" w:space="0" w:color="auto"/>
              <w:bottom w:val="single" w:sz="4" w:space="0" w:color="auto"/>
              <w:right w:val="single" w:sz="4" w:space="0" w:color="auto"/>
            </w:tcBorders>
            <w:noWrap/>
            <w:vAlign w:val="center"/>
            <w:hideMark/>
          </w:tcPr>
          <w:p w:rsidR="00AB0C08" w:rsidRPr="00AB0C08" w:rsidRDefault="00AB0C08" w:rsidP="00AB0C08">
            <w:pPr>
              <w:spacing w:after="0" w:line="240" w:lineRule="auto"/>
              <w:jc w:val="center"/>
              <w:rPr>
                <w:rFonts w:ascii="Times New Roman" w:eastAsia="Times New Roman" w:hAnsi="Times New Roman" w:cs="Times New Roman"/>
                <w:color w:val="000000"/>
              </w:rPr>
            </w:pPr>
            <w:r w:rsidRPr="00AB0C08">
              <w:rPr>
                <w:rFonts w:ascii="Times New Roman" w:eastAsia="Times New Roman" w:hAnsi="Times New Roman" w:cs="Times New Roman"/>
                <w:color w:val="000000"/>
              </w:rPr>
              <w:t>349</w:t>
            </w:r>
          </w:p>
        </w:tc>
      </w:tr>
      <w:tr w:rsidR="00AB0C08" w:rsidRPr="00AB0C08" w:rsidTr="00AB0C08">
        <w:trPr>
          <w:trHeight w:val="300"/>
          <w:jc w:val="center"/>
        </w:trPr>
        <w:tc>
          <w:tcPr>
            <w:tcW w:w="960" w:type="dxa"/>
            <w:tcBorders>
              <w:top w:val="single" w:sz="4" w:space="0" w:color="auto"/>
              <w:left w:val="single" w:sz="4" w:space="0" w:color="auto"/>
              <w:bottom w:val="single" w:sz="4" w:space="0" w:color="auto"/>
              <w:right w:val="single" w:sz="4" w:space="0" w:color="auto"/>
            </w:tcBorders>
            <w:noWrap/>
            <w:vAlign w:val="center"/>
            <w:hideMark/>
          </w:tcPr>
          <w:p w:rsidR="00AB0C08" w:rsidRPr="00AB0C08" w:rsidRDefault="00AB0C08" w:rsidP="00AB0C08">
            <w:pPr>
              <w:spacing w:after="0" w:line="240" w:lineRule="auto"/>
              <w:jc w:val="center"/>
              <w:rPr>
                <w:rFonts w:ascii="Times New Roman" w:eastAsia="Times New Roman" w:hAnsi="Times New Roman" w:cs="Times New Roman"/>
                <w:color w:val="000000"/>
              </w:rPr>
            </w:pPr>
            <w:r w:rsidRPr="00AB0C08">
              <w:rPr>
                <w:rFonts w:ascii="Times New Roman" w:eastAsia="Times New Roman" w:hAnsi="Times New Roman" w:cs="Times New Roman"/>
                <w:color w:val="000000"/>
              </w:rPr>
              <w:t>2010</w:t>
            </w:r>
          </w:p>
        </w:tc>
        <w:tc>
          <w:tcPr>
            <w:tcW w:w="3340" w:type="dxa"/>
            <w:tcBorders>
              <w:top w:val="single" w:sz="4" w:space="0" w:color="auto"/>
              <w:left w:val="single" w:sz="4" w:space="0" w:color="auto"/>
              <w:bottom w:val="single" w:sz="4" w:space="0" w:color="auto"/>
              <w:right w:val="single" w:sz="4" w:space="0" w:color="auto"/>
            </w:tcBorders>
            <w:noWrap/>
            <w:vAlign w:val="center"/>
            <w:hideMark/>
          </w:tcPr>
          <w:p w:rsidR="00AB0C08" w:rsidRPr="00AB0C08" w:rsidRDefault="00AB0C08" w:rsidP="00AB0C08">
            <w:pPr>
              <w:spacing w:after="0" w:line="240" w:lineRule="auto"/>
              <w:jc w:val="center"/>
              <w:rPr>
                <w:rFonts w:ascii="Times New Roman" w:eastAsia="Times New Roman" w:hAnsi="Times New Roman" w:cs="Times New Roman"/>
                <w:color w:val="000000"/>
              </w:rPr>
            </w:pPr>
            <w:r w:rsidRPr="00AB0C08">
              <w:rPr>
                <w:rFonts w:ascii="Times New Roman" w:eastAsia="Times New Roman" w:hAnsi="Times New Roman" w:cs="Times New Roman"/>
                <w:color w:val="000000"/>
              </w:rPr>
              <w:t>50</w:t>
            </w:r>
          </w:p>
        </w:tc>
        <w:tc>
          <w:tcPr>
            <w:tcW w:w="3340" w:type="dxa"/>
            <w:tcBorders>
              <w:top w:val="single" w:sz="4" w:space="0" w:color="auto"/>
              <w:left w:val="single" w:sz="4" w:space="0" w:color="auto"/>
              <w:bottom w:val="single" w:sz="4" w:space="0" w:color="auto"/>
              <w:right w:val="single" w:sz="4" w:space="0" w:color="auto"/>
            </w:tcBorders>
            <w:noWrap/>
            <w:vAlign w:val="center"/>
            <w:hideMark/>
          </w:tcPr>
          <w:p w:rsidR="00AB0C08" w:rsidRPr="00AB0C08" w:rsidRDefault="00AB0C08" w:rsidP="00AB0C08">
            <w:pPr>
              <w:spacing w:after="0" w:line="240" w:lineRule="auto"/>
              <w:jc w:val="center"/>
              <w:rPr>
                <w:rFonts w:ascii="Times New Roman" w:eastAsia="Times New Roman" w:hAnsi="Times New Roman" w:cs="Times New Roman"/>
                <w:color w:val="000000"/>
              </w:rPr>
            </w:pPr>
            <w:r w:rsidRPr="00AB0C08">
              <w:rPr>
                <w:rFonts w:ascii="Times New Roman" w:eastAsia="Times New Roman" w:hAnsi="Times New Roman" w:cs="Times New Roman"/>
                <w:color w:val="000000"/>
              </w:rPr>
              <w:t>182</w:t>
            </w:r>
          </w:p>
        </w:tc>
      </w:tr>
      <w:tr w:rsidR="00AB0C08" w:rsidRPr="00AB0C08" w:rsidTr="00AB0C08">
        <w:trPr>
          <w:trHeight w:val="300"/>
          <w:jc w:val="center"/>
        </w:trPr>
        <w:tc>
          <w:tcPr>
            <w:tcW w:w="960" w:type="dxa"/>
            <w:tcBorders>
              <w:top w:val="single" w:sz="4" w:space="0" w:color="auto"/>
              <w:left w:val="single" w:sz="4" w:space="0" w:color="auto"/>
              <w:bottom w:val="single" w:sz="4" w:space="0" w:color="auto"/>
              <w:right w:val="single" w:sz="4" w:space="0" w:color="auto"/>
            </w:tcBorders>
            <w:noWrap/>
            <w:vAlign w:val="center"/>
            <w:hideMark/>
          </w:tcPr>
          <w:p w:rsidR="00AB0C08" w:rsidRPr="00AB0C08" w:rsidRDefault="00AB0C08" w:rsidP="00AB0C08">
            <w:pPr>
              <w:spacing w:after="0" w:line="240" w:lineRule="auto"/>
              <w:jc w:val="center"/>
              <w:rPr>
                <w:rFonts w:ascii="Times New Roman" w:eastAsia="Times New Roman" w:hAnsi="Times New Roman" w:cs="Times New Roman"/>
                <w:color w:val="000000"/>
              </w:rPr>
            </w:pPr>
            <w:r w:rsidRPr="00AB0C08">
              <w:rPr>
                <w:rFonts w:ascii="Times New Roman" w:eastAsia="Times New Roman" w:hAnsi="Times New Roman" w:cs="Times New Roman"/>
                <w:color w:val="000000"/>
              </w:rPr>
              <w:t>2009</w:t>
            </w:r>
          </w:p>
        </w:tc>
        <w:tc>
          <w:tcPr>
            <w:tcW w:w="3340" w:type="dxa"/>
            <w:tcBorders>
              <w:top w:val="single" w:sz="4" w:space="0" w:color="auto"/>
              <w:left w:val="single" w:sz="4" w:space="0" w:color="auto"/>
              <w:bottom w:val="single" w:sz="4" w:space="0" w:color="auto"/>
              <w:right w:val="single" w:sz="4" w:space="0" w:color="auto"/>
            </w:tcBorders>
            <w:noWrap/>
            <w:vAlign w:val="center"/>
            <w:hideMark/>
          </w:tcPr>
          <w:p w:rsidR="00AB0C08" w:rsidRPr="00AB0C08" w:rsidRDefault="00AB0C08" w:rsidP="00AB0C08">
            <w:pPr>
              <w:spacing w:after="0" w:line="240" w:lineRule="auto"/>
              <w:jc w:val="center"/>
              <w:rPr>
                <w:rFonts w:ascii="Times New Roman" w:eastAsia="Times New Roman" w:hAnsi="Times New Roman" w:cs="Times New Roman"/>
                <w:color w:val="000000"/>
              </w:rPr>
            </w:pPr>
            <w:r w:rsidRPr="00AB0C08">
              <w:rPr>
                <w:rFonts w:ascii="Times New Roman" w:eastAsia="Times New Roman" w:hAnsi="Times New Roman" w:cs="Times New Roman"/>
                <w:color w:val="000000"/>
              </w:rPr>
              <w:t>49</w:t>
            </w:r>
          </w:p>
        </w:tc>
        <w:tc>
          <w:tcPr>
            <w:tcW w:w="3340" w:type="dxa"/>
            <w:tcBorders>
              <w:top w:val="single" w:sz="4" w:space="0" w:color="auto"/>
              <w:left w:val="single" w:sz="4" w:space="0" w:color="auto"/>
              <w:bottom w:val="single" w:sz="4" w:space="0" w:color="auto"/>
              <w:right w:val="single" w:sz="4" w:space="0" w:color="auto"/>
            </w:tcBorders>
            <w:noWrap/>
            <w:vAlign w:val="center"/>
            <w:hideMark/>
          </w:tcPr>
          <w:p w:rsidR="00AB0C08" w:rsidRPr="00AB0C08" w:rsidRDefault="00AB0C08" w:rsidP="00AB0C08">
            <w:pPr>
              <w:spacing w:after="0" w:line="240" w:lineRule="auto"/>
              <w:jc w:val="center"/>
              <w:rPr>
                <w:rFonts w:ascii="Times New Roman" w:eastAsia="Times New Roman" w:hAnsi="Times New Roman" w:cs="Times New Roman"/>
                <w:color w:val="000000"/>
              </w:rPr>
            </w:pPr>
            <w:r w:rsidRPr="00AB0C08">
              <w:rPr>
                <w:rFonts w:ascii="Times New Roman" w:eastAsia="Times New Roman" w:hAnsi="Times New Roman" w:cs="Times New Roman"/>
                <w:color w:val="000000"/>
              </w:rPr>
              <w:t>135</w:t>
            </w:r>
          </w:p>
        </w:tc>
      </w:tr>
      <w:tr w:rsidR="00AB0C08" w:rsidRPr="00AB0C08" w:rsidTr="00AB0C08">
        <w:trPr>
          <w:trHeight w:val="300"/>
          <w:jc w:val="center"/>
        </w:trPr>
        <w:tc>
          <w:tcPr>
            <w:tcW w:w="960" w:type="dxa"/>
            <w:tcBorders>
              <w:top w:val="single" w:sz="4" w:space="0" w:color="auto"/>
              <w:left w:val="single" w:sz="4" w:space="0" w:color="auto"/>
              <w:bottom w:val="single" w:sz="4" w:space="0" w:color="auto"/>
              <w:right w:val="single" w:sz="4" w:space="0" w:color="auto"/>
            </w:tcBorders>
            <w:noWrap/>
            <w:vAlign w:val="center"/>
            <w:hideMark/>
          </w:tcPr>
          <w:p w:rsidR="00AB0C08" w:rsidRPr="00AB0C08" w:rsidRDefault="00AB0C08" w:rsidP="00AB0C08">
            <w:pPr>
              <w:spacing w:after="0" w:line="240" w:lineRule="auto"/>
              <w:jc w:val="center"/>
              <w:rPr>
                <w:rFonts w:ascii="Times New Roman" w:eastAsia="Times New Roman" w:hAnsi="Times New Roman" w:cs="Times New Roman"/>
                <w:color w:val="000000"/>
              </w:rPr>
            </w:pPr>
            <w:r w:rsidRPr="00AB0C08">
              <w:rPr>
                <w:rFonts w:ascii="Times New Roman" w:eastAsia="Times New Roman" w:hAnsi="Times New Roman" w:cs="Times New Roman"/>
                <w:color w:val="000000"/>
              </w:rPr>
              <w:t>2008</w:t>
            </w:r>
          </w:p>
        </w:tc>
        <w:tc>
          <w:tcPr>
            <w:tcW w:w="3340" w:type="dxa"/>
            <w:tcBorders>
              <w:top w:val="single" w:sz="4" w:space="0" w:color="auto"/>
              <w:left w:val="single" w:sz="4" w:space="0" w:color="auto"/>
              <w:bottom w:val="single" w:sz="4" w:space="0" w:color="auto"/>
              <w:right w:val="single" w:sz="4" w:space="0" w:color="auto"/>
            </w:tcBorders>
            <w:noWrap/>
            <w:vAlign w:val="center"/>
            <w:hideMark/>
          </w:tcPr>
          <w:p w:rsidR="00AB0C08" w:rsidRPr="00AB0C08" w:rsidRDefault="00AB0C08" w:rsidP="00AB0C08">
            <w:pPr>
              <w:spacing w:after="0" w:line="240" w:lineRule="auto"/>
              <w:jc w:val="center"/>
              <w:rPr>
                <w:rFonts w:ascii="Times New Roman" w:eastAsia="Times New Roman" w:hAnsi="Times New Roman" w:cs="Times New Roman"/>
                <w:color w:val="000000"/>
              </w:rPr>
            </w:pPr>
            <w:r w:rsidRPr="00AB0C08">
              <w:rPr>
                <w:rFonts w:ascii="Times New Roman" w:eastAsia="Times New Roman" w:hAnsi="Times New Roman" w:cs="Times New Roman"/>
                <w:color w:val="000000"/>
              </w:rPr>
              <w:t>0</w:t>
            </w:r>
          </w:p>
        </w:tc>
        <w:tc>
          <w:tcPr>
            <w:tcW w:w="3340" w:type="dxa"/>
            <w:tcBorders>
              <w:top w:val="single" w:sz="4" w:space="0" w:color="auto"/>
              <w:left w:val="single" w:sz="4" w:space="0" w:color="auto"/>
              <w:bottom w:val="single" w:sz="4" w:space="0" w:color="auto"/>
              <w:right w:val="single" w:sz="4" w:space="0" w:color="auto"/>
            </w:tcBorders>
            <w:noWrap/>
            <w:vAlign w:val="center"/>
            <w:hideMark/>
          </w:tcPr>
          <w:p w:rsidR="00AB0C08" w:rsidRPr="00AB0C08" w:rsidRDefault="00AB0C08" w:rsidP="00AB0C08">
            <w:pPr>
              <w:spacing w:after="0" w:line="240" w:lineRule="auto"/>
              <w:jc w:val="center"/>
              <w:rPr>
                <w:rFonts w:ascii="Times New Roman" w:eastAsia="Times New Roman" w:hAnsi="Times New Roman" w:cs="Times New Roman"/>
                <w:color w:val="000000"/>
              </w:rPr>
            </w:pPr>
            <w:r w:rsidRPr="00AB0C08">
              <w:rPr>
                <w:rFonts w:ascii="Times New Roman" w:eastAsia="Times New Roman" w:hAnsi="Times New Roman" w:cs="Times New Roman"/>
                <w:color w:val="000000"/>
              </w:rPr>
              <w:t>0</w:t>
            </w:r>
          </w:p>
        </w:tc>
      </w:tr>
      <w:tr w:rsidR="00AB0C08" w:rsidRPr="00AB0C08" w:rsidTr="00AB0C08">
        <w:trPr>
          <w:trHeight w:val="300"/>
          <w:jc w:val="center"/>
        </w:trPr>
        <w:tc>
          <w:tcPr>
            <w:tcW w:w="960" w:type="dxa"/>
            <w:tcBorders>
              <w:top w:val="single" w:sz="4" w:space="0" w:color="auto"/>
              <w:left w:val="single" w:sz="4" w:space="0" w:color="auto"/>
              <w:bottom w:val="single" w:sz="4" w:space="0" w:color="auto"/>
              <w:right w:val="single" w:sz="4" w:space="0" w:color="auto"/>
            </w:tcBorders>
            <w:noWrap/>
            <w:vAlign w:val="center"/>
            <w:hideMark/>
          </w:tcPr>
          <w:p w:rsidR="00AB0C08" w:rsidRPr="00AB0C08" w:rsidRDefault="00AB0C08" w:rsidP="00AB0C08">
            <w:pPr>
              <w:spacing w:after="0" w:line="240" w:lineRule="auto"/>
              <w:jc w:val="center"/>
              <w:rPr>
                <w:rFonts w:ascii="Times New Roman" w:eastAsia="Times New Roman" w:hAnsi="Times New Roman" w:cs="Times New Roman"/>
                <w:color w:val="000000"/>
              </w:rPr>
            </w:pPr>
            <w:r w:rsidRPr="00AB0C08">
              <w:rPr>
                <w:rFonts w:ascii="Times New Roman" w:eastAsia="Times New Roman" w:hAnsi="Times New Roman" w:cs="Times New Roman"/>
                <w:color w:val="000000"/>
              </w:rPr>
              <w:t>2007</w:t>
            </w:r>
          </w:p>
        </w:tc>
        <w:tc>
          <w:tcPr>
            <w:tcW w:w="3340" w:type="dxa"/>
            <w:tcBorders>
              <w:top w:val="single" w:sz="4" w:space="0" w:color="auto"/>
              <w:left w:val="single" w:sz="4" w:space="0" w:color="auto"/>
              <w:bottom w:val="single" w:sz="4" w:space="0" w:color="auto"/>
              <w:right w:val="single" w:sz="4" w:space="0" w:color="auto"/>
            </w:tcBorders>
            <w:noWrap/>
            <w:vAlign w:val="center"/>
            <w:hideMark/>
          </w:tcPr>
          <w:p w:rsidR="00AB0C08" w:rsidRPr="00AB0C08" w:rsidRDefault="00AB0C08" w:rsidP="00AB0C08">
            <w:pPr>
              <w:spacing w:after="0" w:line="240" w:lineRule="auto"/>
              <w:jc w:val="center"/>
              <w:rPr>
                <w:rFonts w:ascii="Times New Roman" w:eastAsia="Times New Roman" w:hAnsi="Times New Roman" w:cs="Times New Roman"/>
                <w:color w:val="000000"/>
              </w:rPr>
            </w:pPr>
            <w:r w:rsidRPr="00AB0C08">
              <w:rPr>
                <w:rFonts w:ascii="Times New Roman" w:eastAsia="Times New Roman" w:hAnsi="Times New Roman" w:cs="Times New Roman"/>
                <w:color w:val="000000"/>
              </w:rPr>
              <w:t>0</w:t>
            </w:r>
          </w:p>
        </w:tc>
        <w:tc>
          <w:tcPr>
            <w:tcW w:w="3340" w:type="dxa"/>
            <w:tcBorders>
              <w:top w:val="single" w:sz="4" w:space="0" w:color="auto"/>
              <w:left w:val="single" w:sz="4" w:space="0" w:color="auto"/>
              <w:bottom w:val="single" w:sz="4" w:space="0" w:color="auto"/>
              <w:right w:val="single" w:sz="4" w:space="0" w:color="auto"/>
            </w:tcBorders>
            <w:noWrap/>
            <w:vAlign w:val="center"/>
            <w:hideMark/>
          </w:tcPr>
          <w:p w:rsidR="00AB0C08" w:rsidRPr="00AB0C08" w:rsidRDefault="00AB0C08" w:rsidP="00AB0C08">
            <w:pPr>
              <w:spacing w:after="0" w:line="240" w:lineRule="auto"/>
              <w:jc w:val="center"/>
              <w:rPr>
                <w:rFonts w:ascii="Times New Roman" w:eastAsia="Times New Roman" w:hAnsi="Times New Roman" w:cs="Times New Roman"/>
                <w:color w:val="000000"/>
              </w:rPr>
            </w:pPr>
            <w:r w:rsidRPr="00AB0C08">
              <w:rPr>
                <w:rFonts w:ascii="Times New Roman" w:eastAsia="Times New Roman" w:hAnsi="Times New Roman" w:cs="Times New Roman"/>
                <w:color w:val="000000"/>
              </w:rPr>
              <w:t>0</w:t>
            </w:r>
          </w:p>
        </w:tc>
      </w:tr>
    </w:tbl>
    <w:p w:rsidR="007F77D3" w:rsidRDefault="007F77D3" w:rsidP="00987CEF">
      <w:pPr>
        <w:pStyle w:val="NoSpacing"/>
        <w:rPr>
          <w:rFonts w:ascii="Times New Roman" w:hAnsi="Times New Roman" w:cs="Times New Roman"/>
          <w:sz w:val="24"/>
        </w:rPr>
      </w:pPr>
    </w:p>
    <w:p w:rsidR="00855814" w:rsidRDefault="00BD0EA4" w:rsidP="00987CEF">
      <w:pPr>
        <w:pStyle w:val="NoSpacing"/>
        <w:rPr>
          <w:rFonts w:ascii="Times New Roman" w:hAnsi="Times New Roman" w:cs="Times New Roman"/>
          <w:sz w:val="24"/>
        </w:rPr>
      </w:pPr>
      <w:r>
        <w:rPr>
          <w:rFonts w:ascii="Times New Roman" w:hAnsi="Times New Roman" w:cs="Times New Roman"/>
          <w:sz w:val="24"/>
        </w:rPr>
        <w:lastRenderedPageBreak/>
        <w:t>Ultimately, b</w:t>
      </w:r>
      <w:r>
        <w:rPr>
          <w:rFonts w:ascii="Times New Roman" w:hAnsi="Times New Roman" w:cs="Times New Roman"/>
          <w:sz w:val="24"/>
        </w:rPr>
        <w:t xml:space="preserve">ecause we are interested in </w:t>
      </w:r>
      <w:r>
        <w:rPr>
          <w:rFonts w:ascii="Times New Roman" w:hAnsi="Times New Roman" w:cs="Times New Roman"/>
          <w:sz w:val="24"/>
        </w:rPr>
        <w:t xml:space="preserve">county-level </w:t>
      </w:r>
      <w:r>
        <w:rPr>
          <w:rFonts w:ascii="Times New Roman" w:hAnsi="Times New Roman" w:cs="Times New Roman"/>
          <w:sz w:val="24"/>
        </w:rPr>
        <w:t>demographic and economic</w:t>
      </w:r>
      <w:r>
        <w:rPr>
          <w:rFonts w:ascii="Times New Roman" w:hAnsi="Times New Roman" w:cs="Times New Roman"/>
          <w:sz w:val="24"/>
        </w:rPr>
        <w:t xml:space="preserve"> </w:t>
      </w:r>
      <w:r>
        <w:rPr>
          <w:rFonts w:ascii="Times New Roman" w:hAnsi="Times New Roman" w:cs="Times New Roman"/>
          <w:sz w:val="24"/>
        </w:rPr>
        <w:t xml:space="preserve">factors and their effects on antigovernment group mobilization, our analysis is probably best suited to observe </w:t>
      </w:r>
      <w:r>
        <w:rPr>
          <w:rFonts w:ascii="Times New Roman" w:hAnsi="Times New Roman" w:cs="Times New Roman"/>
          <w:sz w:val="24"/>
        </w:rPr>
        <w:t xml:space="preserve">only </w:t>
      </w:r>
      <w:r>
        <w:rPr>
          <w:rFonts w:ascii="Times New Roman" w:hAnsi="Times New Roman" w:cs="Times New Roman"/>
          <w:sz w:val="24"/>
        </w:rPr>
        <w:t xml:space="preserve">those groups that have some semblance of </w:t>
      </w:r>
      <w:r>
        <w:rPr>
          <w:rFonts w:ascii="Times New Roman" w:hAnsi="Times New Roman" w:cs="Times New Roman"/>
          <w:sz w:val="24"/>
        </w:rPr>
        <w:t xml:space="preserve">physical </w:t>
      </w:r>
      <w:r>
        <w:rPr>
          <w:rFonts w:ascii="Times New Roman" w:hAnsi="Times New Roman" w:cs="Times New Roman"/>
          <w:sz w:val="24"/>
        </w:rPr>
        <w:t>rootedness within the physical community</w:t>
      </w:r>
      <w:r>
        <w:rPr>
          <w:rFonts w:ascii="Times New Roman" w:hAnsi="Times New Roman" w:cs="Times New Roman"/>
          <w:sz w:val="24"/>
        </w:rPr>
        <w:t>, those that are more likely to be affected by its existence within the specific county in question</w:t>
      </w:r>
      <w:r>
        <w:rPr>
          <w:rFonts w:ascii="Times New Roman" w:hAnsi="Times New Roman" w:cs="Times New Roman"/>
          <w:sz w:val="24"/>
        </w:rPr>
        <w:t>.</w:t>
      </w:r>
      <w:r>
        <w:rPr>
          <w:rFonts w:ascii="Times New Roman" w:hAnsi="Times New Roman" w:cs="Times New Roman"/>
          <w:sz w:val="24"/>
        </w:rPr>
        <w:t xml:space="preserve"> </w:t>
      </w:r>
      <w:r w:rsidR="00855814">
        <w:rPr>
          <w:rFonts w:ascii="Times New Roman" w:hAnsi="Times New Roman" w:cs="Times New Roman"/>
          <w:sz w:val="24"/>
        </w:rPr>
        <w:t>Broadly speaking, it is not unreasonable to assume that the ability to detect physical foci of activity indicates a greater level of “establishment” for an organization within a community.</w:t>
      </w:r>
      <w:r>
        <w:rPr>
          <w:rFonts w:ascii="Times New Roman" w:hAnsi="Times New Roman" w:cs="Times New Roman"/>
          <w:sz w:val="24"/>
        </w:rPr>
        <w:t xml:space="preserve"> The establishment of a physical presence reflects </w:t>
      </w:r>
      <w:r w:rsidR="00855814">
        <w:rPr>
          <w:rFonts w:ascii="Times New Roman" w:hAnsi="Times New Roman" w:cs="Times New Roman"/>
          <w:sz w:val="24"/>
        </w:rPr>
        <w:t>the willingness of an organization to be seen</w:t>
      </w:r>
      <w:r>
        <w:rPr>
          <w:rFonts w:ascii="Times New Roman" w:hAnsi="Times New Roman" w:cs="Times New Roman"/>
          <w:sz w:val="24"/>
        </w:rPr>
        <w:t xml:space="preserve"> by its community</w:t>
      </w:r>
      <w:r w:rsidR="00855814">
        <w:rPr>
          <w:rFonts w:ascii="Times New Roman" w:hAnsi="Times New Roman" w:cs="Times New Roman"/>
          <w:sz w:val="24"/>
        </w:rPr>
        <w:t xml:space="preserve">, and </w:t>
      </w:r>
      <w:r>
        <w:rPr>
          <w:rFonts w:ascii="Times New Roman" w:hAnsi="Times New Roman" w:cs="Times New Roman"/>
          <w:sz w:val="24"/>
        </w:rPr>
        <w:t xml:space="preserve">in turn, mirrors </w:t>
      </w:r>
      <w:r w:rsidR="00855814">
        <w:rPr>
          <w:rFonts w:ascii="Times New Roman" w:hAnsi="Times New Roman" w:cs="Times New Roman"/>
          <w:sz w:val="24"/>
        </w:rPr>
        <w:t xml:space="preserve">the relative willingness of the community to accommodate </w:t>
      </w:r>
      <w:r>
        <w:rPr>
          <w:rFonts w:ascii="Times New Roman" w:hAnsi="Times New Roman" w:cs="Times New Roman"/>
          <w:sz w:val="24"/>
        </w:rPr>
        <w:t xml:space="preserve">the organization’s activities. Given these reasons, </w:t>
      </w:r>
      <w:r w:rsidR="007F77D3">
        <w:rPr>
          <w:rFonts w:ascii="Times New Roman" w:hAnsi="Times New Roman" w:cs="Times New Roman"/>
          <w:sz w:val="24"/>
        </w:rPr>
        <w:t xml:space="preserve">at present, I have concluded </w:t>
      </w:r>
      <w:r>
        <w:rPr>
          <w:rFonts w:ascii="Times New Roman" w:hAnsi="Times New Roman" w:cs="Times New Roman"/>
          <w:sz w:val="24"/>
        </w:rPr>
        <w:t xml:space="preserve">that the analysis would be best served if the “Statewide” or unlisted location records </w:t>
      </w:r>
      <w:r w:rsidR="007F77D3">
        <w:rPr>
          <w:rFonts w:ascii="Times New Roman" w:hAnsi="Times New Roman" w:cs="Times New Roman"/>
          <w:sz w:val="24"/>
        </w:rPr>
        <w:t xml:space="preserve">are omitted </w:t>
      </w:r>
      <w:r>
        <w:rPr>
          <w:rFonts w:ascii="Times New Roman" w:hAnsi="Times New Roman" w:cs="Times New Roman"/>
          <w:sz w:val="24"/>
        </w:rPr>
        <w:t>from the</w:t>
      </w:r>
      <w:r w:rsidR="007F77D3">
        <w:rPr>
          <w:rFonts w:ascii="Times New Roman" w:hAnsi="Times New Roman" w:cs="Times New Roman"/>
          <w:sz w:val="24"/>
        </w:rPr>
        <w:t xml:space="preserve"> final</w:t>
      </w:r>
      <w:r>
        <w:rPr>
          <w:rFonts w:ascii="Times New Roman" w:hAnsi="Times New Roman" w:cs="Times New Roman"/>
          <w:sz w:val="24"/>
        </w:rPr>
        <w:t xml:space="preserve"> SPLC antigovernment dataset. </w:t>
      </w:r>
      <w:r w:rsidR="007F77D3">
        <w:rPr>
          <w:rFonts w:ascii="Times New Roman" w:hAnsi="Times New Roman" w:cs="Times New Roman"/>
          <w:sz w:val="24"/>
        </w:rPr>
        <w:t>Naturally, t</w:t>
      </w:r>
      <w:r w:rsidR="0055262D">
        <w:rPr>
          <w:rFonts w:ascii="Times New Roman" w:hAnsi="Times New Roman" w:cs="Times New Roman"/>
          <w:sz w:val="24"/>
        </w:rPr>
        <w:t xml:space="preserve">his alters the parameters of the analysis slightly. Models will account for only </w:t>
      </w:r>
      <w:r>
        <w:rPr>
          <w:rFonts w:ascii="Times New Roman" w:hAnsi="Times New Roman" w:cs="Times New Roman"/>
          <w:sz w:val="24"/>
        </w:rPr>
        <w:t xml:space="preserve">those antigovernment </w:t>
      </w:r>
      <w:r w:rsidR="0055262D">
        <w:rPr>
          <w:rFonts w:ascii="Times New Roman" w:hAnsi="Times New Roman" w:cs="Times New Roman"/>
          <w:sz w:val="24"/>
        </w:rPr>
        <w:t>groups who have distinguishable physical foci of activities.</w:t>
      </w:r>
    </w:p>
    <w:p w:rsidR="0055262D" w:rsidRDefault="0055262D" w:rsidP="00987CEF">
      <w:pPr>
        <w:pStyle w:val="NoSpacing"/>
        <w:rPr>
          <w:rFonts w:ascii="Times New Roman" w:hAnsi="Times New Roman" w:cs="Times New Roman"/>
          <w:sz w:val="24"/>
        </w:rPr>
      </w:pPr>
    </w:p>
    <w:p w:rsidR="00535DA9" w:rsidRDefault="0055262D" w:rsidP="00987CEF">
      <w:pPr>
        <w:pStyle w:val="NoSpacing"/>
        <w:rPr>
          <w:rFonts w:ascii="Times New Roman" w:hAnsi="Times New Roman" w:cs="Times New Roman"/>
          <w:sz w:val="24"/>
        </w:rPr>
      </w:pPr>
      <w:r>
        <w:rPr>
          <w:rFonts w:ascii="Times New Roman" w:hAnsi="Times New Roman" w:cs="Times New Roman"/>
          <w:sz w:val="24"/>
        </w:rPr>
        <w:t>Lastly, w</w:t>
      </w:r>
      <w:r w:rsidR="00855814">
        <w:rPr>
          <w:rFonts w:ascii="Times New Roman" w:hAnsi="Times New Roman" w:cs="Times New Roman"/>
          <w:sz w:val="24"/>
        </w:rPr>
        <w:t xml:space="preserve">e </w:t>
      </w:r>
      <w:r>
        <w:rPr>
          <w:rFonts w:ascii="Times New Roman" w:hAnsi="Times New Roman" w:cs="Times New Roman"/>
          <w:sz w:val="24"/>
        </w:rPr>
        <w:t xml:space="preserve">must also </w:t>
      </w:r>
      <w:r w:rsidR="00855814">
        <w:rPr>
          <w:rFonts w:ascii="Times New Roman" w:hAnsi="Times New Roman" w:cs="Times New Roman"/>
          <w:sz w:val="24"/>
        </w:rPr>
        <w:t>extend</w:t>
      </w:r>
      <w:r w:rsidR="005D71B0">
        <w:rPr>
          <w:rFonts w:ascii="Times New Roman" w:hAnsi="Times New Roman" w:cs="Times New Roman"/>
          <w:sz w:val="24"/>
        </w:rPr>
        <w:t xml:space="preserve"> </w:t>
      </w:r>
      <w:r w:rsidR="00987CEF">
        <w:rPr>
          <w:rFonts w:ascii="Times New Roman" w:hAnsi="Times New Roman" w:cs="Times New Roman"/>
          <w:sz w:val="24"/>
        </w:rPr>
        <w:t xml:space="preserve">this discussion to those records </w:t>
      </w:r>
      <w:r w:rsidR="005D71B0">
        <w:rPr>
          <w:rFonts w:ascii="Times New Roman" w:hAnsi="Times New Roman" w:cs="Times New Roman"/>
          <w:sz w:val="24"/>
        </w:rPr>
        <w:t xml:space="preserve">which list a general region (ex. “Northeast”) </w:t>
      </w:r>
      <w:r w:rsidR="00855814">
        <w:rPr>
          <w:rFonts w:ascii="Times New Roman" w:hAnsi="Times New Roman" w:cs="Times New Roman"/>
          <w:sz w:val="24"/>
        </w:rPr>
        <w:t>instead</w:t>
      </w:r>
      <w:r>
        <w:rPr>
          <w:rFonts w:ascii="Times New Roman" w:hAnsi="Times New Roman" w:cs="Times New Roman"/>
          <w:sz w:val="24"/>
        </w:rPr>
        <w:t xml:space="preserve"> of a specific city or county</w:t>
      </w:r>
      <w:r w:rsidR="00855814">
        <w:rPr>
          <w:rFonts w:ascii="Times New Roman" w:hAnsi="Times New Roman" w:cs="Times New Roman"/>
          <w:sz w:val="24"/>
        </w:rPr>
        <w:t>.</w:t>
      </w:r>
      <w:r w:rsidR="008B6798">
        <w:rPr>
          <w:rFonts w:ascii="Times New Roman" w:hAnsi="Times New Roman" w:cs="Times New Roman"/>
          <w:sz w:val="24"/>
        </w:rPr>
        <w:t xml:space="preserve"> T</w:t>
      </w:r>
      <w:r w:rsidR="00855814">
        <w:rPr>
          <w:rFonts w:ascii="Times New Roman" w:hAnsi="Times New Roman" w:cs="Times New Roman"/>
          <w:sz w:val="24"/>
        </w:rPr>
        <w:t xml:space="preserve">he added specificity of these regional location assignments </w:t>
      </w:r>
      <w:r w:rsidR="008B6798">
        <w:rPr>
          <w:rFonts w:ascii="Times New Roman" w:hAnsi="Times New Roman" w:cs="Times New Roman"/>
          <w:sz w:val="24"/>
        </w:rPr>
        <w:t xml:space="preserve">seems to indicate a strong physical regionality of the groups; however, </w:t>
      </w:r>
      <w:r w:rsidR="007F77D3">
        <w:rPr>
          <w:rFonts w:ascii="Times New Roman" w:hAnsi="Times New Roman" w:cs="Times New Roman"/>
          <w:sz w:val="24"/>
        </w:rPr>
        <w:t xml:space="preserve">without more information, it is still impossible to design a reasonable and consistent way to assign each record to an applicable county or counties. Present options lead us to believe it would be best to simply omit these records from the final analysis as well. However, a final decision on this will not be made until a more thorough investigation of these organizations (using Google search) is completed. </w:t>
      </w:r>
    </w:p>
    <w:p w:rsidR="00535DA9" w:rsidRDefault="00535DA9" w:rsidP="0045135C">
      <w:pPr>
        <w:pStyle w:val="NoSpacing"/>
        <w:rPr>
          <w:rFonts w:ascii="Times New Roman" w:hAnsi="Times New Roman" w:cs="Times New Roman"/>
          <w:sz w:val="24"/>
        </w:rPr>
      </w:pPr>
    </w:p>
    <w:p w:rsidR="00535DA9" w:rsidRDefault="00535DA9" w:rsidP="0045135C">
      <w:pPr>
        <w:pStyle w:val="NoSpacing"/>
        <w:rPr>
          <w:rFonts w:ascii="Times New Roman" w:hAnsi="Times New Roman" w:cs="Times New Roman"/>
          <w:b/>
          <w:sz w:val="24"/>
        </w:rPr>
      </w:pPr>
      <w:r>
        <w:rPr>
          <w:rFonts w:ascii="Times New Roman" w:hAnsi="Times New Roman" w:cs="Times New Roman"/>
          <w:b/>
          <w:sz w:val="24"/>
        </w:rPr>
        <w:t>METHOD</w:t>
      </w:r>
    </w:p>
    <w:p w:rsidR="00DE5B53" w:rsidRDefault="007F77D3" w:rsidP="0045135C">
      <w:pPr>
        <w:pStyle w:val="NoSpacing"/>
        <w:rPr>
          <w:rFonts w:ascii="Times New Roman" w:hAnsi="Times New Roman" w:cs="Times New Roman"/>
          <w:sz w:val="24"/>
        </w:rPr>
      </w:pPr>
      <w:r>
        <w:rPr>
          <w:rFonts w:ascii="Times New Roman" w:hAnsi="Times New Roman" w:cs="Times New Roman"/>
          <w:sz w:val="24"/>
        </w:rPr>
        <w:t xml:space="preserve">Difficulties with the data collection and cleaning process have delayed </w:t>
      </w:r>
      <w:r w:rsidR="003B4440">
        <w:rPr>
          <w:rFonts w:ascii="Times New Roman" w:hAnsi="Times New Roman" w:cs="Times New Roman"/>
          <w:sz w:val="24"/>
        </w:rPr>
        <w:t xml:space="preserve">any </w:t>
      </w:r>
      <w:r>
        <w:rPr>
          <w:rFonts w:ascii="Times New Roman" w:hAnsi="Times New Roman" w:cs="Times New Roman"/>
          <w:sz w:val="24"/>
        </w:rPr>
        <w:t xml:space="preserve">methodological exploration </w:t>
      </w:r>
      <w:r w:rsidR="003B4440">
        <w:rPr>
          <w:rFonts w:ascii="Times New Roman" w:hAnsi="Times New Roman" w:cs="Times New Roman"/>
          <w:sz w:val="24"/>
        </w:rPr>
        <w:t>of the SPLC data in conjunction with the U.S. Census Bureau’s demographic and economic data. However, g</w:t>
      </w:r>
      <w:r>
        <w:rPr>
          <w:rFonts w:ascii="Times New Roman" w:hAnsi="Times New Roman" w:cs="Times New Roman"/>
          <w:sz w:val="24"/>
        </w:rPr>
        <w:t xml:space="preserve">iven current knowledge about SPLC </w:t>
      </w:r>
      <w:r w:rsidR="003B4440">
        <w:rPr>
          <w:rFonts w:ascii="Times New Roman" w:hAnsi="Times New Roman" w:cs="Times New Roman"/>
          <w:sz w:val="24"/>
        </w:rPr>
        <w:t xml:space="preserve">data quality, I have determined that the analysis may generally proceed along two paths. </w:t>
      </w:r>
    </w:p>
    <w:p w:rsidR="00DE5B53" w:rsidRDefault="00DE5B53" w:rsidP="0045135C">
      <w:pPr>
        <w:pStyle w:val="NoSpacing"/>
        <w:rPr>
          <w:rFonts w:ascii="Times New Roman" w:hAnsi="Times New Roman" w:cs="Times New Roman"/>
          <w:sz w:val="24"/>
        </w:rPr>
      </w:pPr>
    </w:p>
    <w:p w:rsidR="003B4440" w:rsidRDefault="003B4440" w:rsidP="0045135C">
      <w:pPr>
        <w:pStyle w:val="NoSpacing"/>
        <w:rPr>
          <w:rFonts w:ascii="Times New Roman" w:hAnsi="Times New Roman" w:cs="Times New Roman"/>
          <w:sz w:val="24"/>
        </w:rPr>
      </w:pPr>
      <w:r>
        <w:rPr>
          <w:rFonts w:ascii="Times New Roman" w:hAnsi="Times New Roman" w:cs="Times New Roman"/>
          <w:sz w:val="24"/>
        </w:rPr>
        <w:t xml:space="preserve">One option is to use classification </w:t>
      </w:r>
      <w:r w:rsidR="00DE5B53">
        <w:rPr>
          <w:rFonts w:ascii="Times New Roman" w:hAnsi="Times New Roman" w:cs="Times New Roman"/>
          <w:sz w:val="24"/>
        </w:rPr>
        <w:t xml:space="preserve">models. </w:t>
      </w:r>
      <w:r w:rsidR="00DE5B53">
        <w:rPr>
          <w:rFonts w:ascii="Times New Roman" w:hAnsi="Times New Roman" w:cs="Times New Roman"/>
          <w:sz w:val="24"/>
        </w:rPr>
        <w:t>I will attempt to use a logistic regression model, decision trees and machine learning approaches to see which method offers to most robust and meaningful classification</w:t>
      </w:r>
      <w:r w:rsidR="00DE5B53">
        <w:rPr>
          <w:rFonts w:ascii="Times New Roman" w:hAnsi="Times New Roman" w:cs="Times New Roman"/>
          <w:sz w:val="24"/>
        </w:rPr>
        <w:t>.</w:t>
      </w:r>
      <w:r w:rsidR="00DE5B53">
        <w:rPr>
          <w:rFonts w:ascii="Times New Roman" w:hAnsi="Times New Roman" w:cs="Times New Roman"/>
          <w:sz w:val="24"/>
        </w:rPr>
        <w:t xml:space="preserve"> </w:t>
      </w:r>
      <w:r w:rsidR="00DE5B53">
        <w:rPr>
          <w:rFonts w:ascii="Times New Roman" w:hAnsi="Times New Roman" w:cs="Times New Roman"/>
          <w:sz w:val="24"/>
        </w:rPr>
        <w:t>As planned, the records with the term “Statewide” will be omitted from the classification, all counties in the United States will be classified as having A) no antigovernment group(s), B) having non-militant antigovernment group(s), and C) having militant antigovernment group(s).</w:t>
      </w:r>
      <w:r w:rsidR="00DE5B53">
        <w:rPr>
          <w:rStyle w:val="FootnoteReference"/>
          <w:rFonts w:ascii="Times New Roman" w:hAnsi="Times New Roman" w:cs="Times New Roman"/>
          <w:sz w:val="24"/>
        </w:rPr>
        <w:footnoteReference w:id="11"/>
      </w:r>
      <w:r w:rsidR="00DE5B53">
        <w:rPr>
          <w:rFonts w:ascii="Times New Roman" w:hAnsi="Times New Roman" w:cs="Times New Roman"/>
          <w:sz w:val="24"/>
        </w:rPr>
        <w:t xml:space="preserve"> There is an alternate classification model that will also be explored; this will use all SPLC records (including those with “Statewide” in the location field), but will instead classify counties as have either A) militant antigovernment groups or B) having no militant antigovernment group. </w:t>
      </w:r>
    </w:p>
    <w:p w:rsidR="00DE5B53" w:rsidRDefault="00DE5B53" w:rsidP="0045135C">
      <w:pPr>
        <w:pStyle w:val="NoSpacing"/>
        <w:rPr>
          <w:rFonts w:ascii="Times New Roman" w:hAnsi="Times New Roman" w:cs="Times New Roman"/>
          <w:sz w:val="24"/>
        </w:rPr>
      </w:pPr>
    </w:p>
    <w:p w:rsidR="00A94D6A" w:rsidRDefault="00DE5B53">
      <w:pPr>
        <w:rPr>
          <w:rFonts w:ascii="Times New Roman" w:hAnsi="Times New Roman" w:cs="Times New Roman"/>
          <w:sz w:val="24"/>
        </w:rPr>
      </w:pPr>
      <w:r>
        <w:rPr>
          <w:rFonts w:ascii="Times New Roman" w:hAnsi="Times New Roman" w:cs="Times New Roman"/>
          <w:sz w:val="24"/>
        </w:rPr>
        <w:t xml:space="preserve">The second options is to use regression models. In this approach, we will revert to the state-level analysis, allowing us to reintroduce the records with the “Statewide” label as an indicator of “disperse” mobilization activity. In this formulation, we predict the number of </w:t>
      </w:r>
      <w:r w:rsidR="00A94D6A">
        <w:rPr>
          <w:rFonts w:ascii="Times New Roman" w:hAnsi="Times New Roman" w:cs="Times New Roman"/>
          <w:sz w:val="24"/>
        </w:rPr>
        <w:t xml:space="preserve">militant </w:t>
      </w:r>
      <w:r>
        <w:rPr>
          <w:rFonts w:ascii="Times New Roman" w:hAnsi="Times New Roman" w:cs="Times New Roman"/>
          <w:sz w:val="24"/>
        </w:rPr>
        <w:t>antigovernment groups</w:t>
      </w:r>
      <w:r w:rsidR="00A94D6A">
        <w:rPr>
          <w:rFonts w:ascii="Times New Roman" w:hAnsi="Times New Roman" w:cs="Times New Roman"/>
          <w:sz w:val="24"/>
        </w:rPr>
        <w:t xml:space="preserve"> within a state, giving records with a </w:t>
      </w:r>
      <w:r>
        <w:rPr>
          <w:rFonts w:ascii="Times New Roman" w:hAnsi="Times New Roman" w:cs="Times New Roman"/>
          <w:sz w:val="24"/>
        </w:rPr>
        <w:t>“Statewide”</w:t>
      </w:r>
      <w:r w:rsidR="00A94D6A">
        <w:rPr>
          <w:rFonts w:ascii="Times New Roman" w:hAnsi="Times New Roman" w:cs="Times New Roman"/>
          <w:sz w:val="24"/>
        </w:rPr>
        <w:t xml:space="preserve"> location field only half </w:t>
      </w:r>
      <w:r w:rsidR="00A94D6A">
        <w:rPr>
          <w:rFonts w:ascii="Times New Roman" w:hAnsi="Times New Roman" w:cs="Times New Roman"/>
          <w:sz w:val="24"/>
        </w:rPr>
        <w:lastRenderedPageBreak/>
        <w:t>the count weight (0.5) of those records that list a specific city or county. This option is not preferred, given small number of available observations by year.</w:t>
      </w:r>
    </w:p>
    <w:p w:rsidR="00A94D6A" w:rsidRDefault="00A94D6A">
      <w:pPr>
        <w:rPr>
          <w:rFonts w:ascii="Times New Roman" w:hAnsi="Times New Roman" w:cs="Times New Roman"/>
          <w:sz w:val="24"/>
        </w:rPr>
      </w:pPr>
      <w:r>
        <w:rPr>
          <w:rFonts w:ascii="Times New Roman" w:hAnsi="Times New Roman" w:cs="Times New Roman"/>
          <w:sz w:val="24"/>
        </w:rPr>
        <w:t>The final set of demographic and economic variables from the American Community Survey have not yet been selected for the final analysis. Preliminary analysis will look at the following variables:</w:t>
      </w:r>
    </w:p>
    <w:p w:rsidR="00A94D6A" w:rsidRPr="00A94D6A" w:rsidRDefault="00A94D6A" w:rsidP="00A94D6A">
      <w:pPr>
        <w:pStyle w:val="ListParagraph"/>
        <w:numPr>
          <w:ilvl w:val="0"/>
          <w:numId w:val="1"/>
        </w:numPr>
        <w:rPr>
          <w:rFonts w:ascii="Times New Roman" w:hAnsi="Times New Roman" w:cs="Times New Roman"/>
          <w:sz w:val="32"/>
          <w:szCs w:val="24"/>
        </w:rPr>
      </w:pPr>
      <w:r w:rsidRPr="00A94D6A">
        <w:rPr>
          <w:rFonts w:ascii="Times New Roman" w:hAnsi="Times New Roman" w:cs="Times New Roman"/>
          <w:sz w:val="24"/>
        </w:rPr>
        <w:t>Veteran status (exploring theories that Veterans from the Gulf War – the first fully “volunteer army” war – were more dissatisfied by their service experience and possess the training to organize militant groups)</w:t>
      </w:r>
    </w:p>
    <w:p w:rsidR="00A94D6A" w:rsidRPr="00A94D6A" w:rsidRDefault="00A94D6A" w:rsidP="00A94D6A">
      <w:pPr>
        <w:pStyle w:val="ListParagraph"/>
        <w:numPr>
          <w:ilvl w:val="0"/>
          <w:numId w:val="1"/>
        </w:numPr>
        <w:rPr>
          <w:rFonts w:ascii="Times New Roman" w:hAnsi="Times New Roman" w:cs="Times New Roman"/>
          <w:sz w:val="32"/>
          <w:szCs w:val="24"/>
        </w:rPr>
      </w:pPr>
      <w:r>
        <w:rPr>
          <w:rFonts w:ascii="Times New Roman" w:hAnsi="Times New Roman" w:cs="Times New Roman"/>
          <w:sz w:val="24"/>
        </w:rPr>
        <w:t>H</w:t>
      </w:r>
      <w:r w:rsidRPr="00A94D6A">
        <w:rPr>
          <w:rFonts w:ascii="Times New Roman" w:hAnsi="Times New Roman" w:cs="Times New Roman"/>
          <w:sz w:val="24"/>
        </w:rPr>
        <w:t xml:space="preserve">ousehold income, </w:t>
      </w:r>
      <w:r>
        <w:rPr>
          <w:rFonts w:ascii="Times New Roman" w:hAnsi="Times New Roman" w:cs="Times New Roman"/>
          <w:sz w:val="24"/>
        </w:rPr>
        <w:t>Percent Rural (exploring theories about economic power and status and their impact on antigovernment mobilization)</w:t>
      </w:r>
    </w:p>
    <w:p w:rsidR="00712266" w:rsidRPr="00712266" w:rsidRDefault="00712266" w:rsidP="00712266">
      <w:pPr>
        <w:pStyle w:val="ListParagraph"/>
        <w:numPr>
          <w:ilvl w:val="0"/>
          <w:numId w:val="1"/>
        </w:numPr>
        <w:rPr>
          <w:rFonts w:ascii="Times New Roman" w:hAnsi="Times New Roman" w:cs="Times New Roman"/>
          <w:b/>
          <w:sz w:val="32"/>
          <w:szCs w:val="24"/>
        </w:rPr>
      </w:pPr>
      <w:r>
        <w:rPr>
          <w:rFonts w:ascii="Times New Roman" w:hAnsi="Times New Roman" w:cs="Times New Roman"/>
          <w:sz w:val="24"/>
        </w:rPr>
        <w:t>P</w:t>
      </w:r>
      <w:r w:rsidR="00A94D6A" w:rsidRPr="00A94D6A">
        <w:rPr>
          <w:rFonts w:ascii="Times New Roman" w:hAnsi="Times New Roman" w:cs="Times New Roman"/>
          <w:sz w:val="24"/>
        </w:rPr>
        <w:t xml:space="preserve">opulation age, </w:t>
      </w:r>
      <w:r>
        <w:rPr>
          <w:rFonts w:ascii="Times New Roman" w:hAnsi="Times New Roman" w:cs="Times New Roman"/>
          <w:sz w:val="24"/>
        </w:rPr>
        <w:t>R</w:t>
      </w:r>
      <w:r w:rsidR="00A94D6A" w:rsidRPr="00A94D6A">
        <w:rPr>
          <w:rFonts w:ascii="Times New Roman" w:hAnsi="Times New Roman" w:cs="Times New Roman"/>
          <w:sz w:val="24"/>
        </w:rPr>
        <w:t xml:space="preserve">ace, </w:t>
      </w:r>
      <w:r>
        <w:rPr>
          <w:rFonts w:ascii="Times New Roman" w:hAnsi="Times New Roman" w:cs="Times New Roman"/>
          <w:sz w:val="24"/>
        </w:rPr>
        <w:t>Number of F</w:t>
      </w:r>
      <w:r w:rsidR="00A94D6A" w:rsidRPr="00A94D6A">
        <w:rPr>
          <w:rFonts w:ascii="Times New Roman" w:hAnsi="Times New Roman" w:cs="Times New Roman"/>
          <w:sz w:val="24"/>
        </w:rPr>
        <w:t>oreign/</w:t>
      </w:r>
      <w:r>
        <w:rPr>
          <w:rFonts w:ascii="Times New Roman" w:hAnsi="Times New Roman" w:cs="Times New Roman"/>
          <w:sz w:val="24"/>
        </w:rPr>
        <w:t>Native/I</w:t>
      </w:r>
      <w:r w:rsidR="00A94D6A" w:rsidRPr="00A94D6A">
        <w:rPr>
          <w:rFonts w:ascii="Times New Roman" w:hAnsi="Times New Roman" w:cs="Times New Roman"/>
          <w:sz w:val="24"/>
        </w:rPr>
        <w:t xml:space="preserve">mmigrant </w:t>
      </w:r>
      <w:r>
        <w:rPr>
          <w:rFonts w:ascii="Times New Roman" w:hAnsi="Times New Roman" w:cs="Times New Roman"/>
          <w:sz w:val="24"/>
        </w:rPr>
        <w:t>S</w:t>
      </w:r>
      <w:r w:rsidR="00A94D6A" w:rsidRPr="00A94D6A">
        <w:rPr>
          <w:rFonts w:ascii="Times New Roman" w:hAnsi="Times New Roman" w:cs="Times New Roman"/>
          <w:sz w:val="24"/>
        </w:rPr>
        <w:t xml:space="preserve">tatus </w:t>
      </w:r>
      <w:r>
        <w:rPr>
          <w:rFonts w:ascii="Times New Roman" w:hAnsi="Times New Roman" w:cs="Times New Roman"/>
          <w:sz w:val="24"/>
        </w:rPr>
        <w:t>(engaging theories about the social pressures caused by demographic transformations)</w:t>
      </w:r>
    </w:p>
    <w:p w:rsidR="00712266" w:rsidRDefault="00712266">
      <w:pPr>
        <w:rPr>
          <w:rFonts w:ascii="Times New Roman" w:hAnsi="Times New Roman" w:cs="Times New Roman"/>
          <w:b/>
          <w:sz w:val="32"/>
          <w:szCs w:val="24"/>
        </w:rPr>
      </w:pPr>
      <w:r>
        <w:rPr>
          <w:rFonts w:ascii="Times New Roman" w:hAnsi="Times New Roman" w:cs="Times New Roman"/>
          <w:b/>
          <w:sz w:val="32"/>
          <w:szCs w:val="24"/>
        </w:rPr>
        <w:br w:type="page"/>
      </w:r>
    </w:p>
    <w:p w:rsidR="00C553B4" w:rsidRPr="00712266" w:rsidRDefault="009E62D6" w:rsidP="00712266">
      <w:pPr>
        <w:rPr>
          <w:rFonts w:ascii="Times New Roman" w:hAnsi="Times New Roman" w:cs="Times New Roman"/>
          <w:b/>
          <w:sz w:val="32"/>
          <w:szCs w:val="24"/>
        </w:rPr>
      </w:pPr>
      <w:r w:rsidRPr="00712266">
        <w:rPr>
          <w:rFonts w:ascii="Times New Roman" w:hAnsi="Times New Roman" w:cs="Times New Roman"/>
          <w:b/>
          <w:sz w:val="32"/>
          <w:szCs w:val="24"/>
        </w:rPr>
        <w:lastRenderedPageBreak/>
        <w:t>Appendix I</w:t>
      </w:r>
    </w:p>
    <w:p w:rsidR="009E62D6" w:rsidRPr="0015288D" w:rsidRDefault="009E62D6" w:rsidP="00A43045">
      <w:pPr>
        <w:pStyle w:val="NoSpacing"/>
        <w:rPr>
          <w:rFonts w:ascii="Times New Roman" w:hAnsi="Times New Roman" w:cs="Times New Roman"/>
          <w:sz w:val="24"/>
          <w:szCs w:val="24"/>
        </w:rPr>
      </w:pPr>
      <w:r w:rsidRPr="0015288D">
        <w:rPr>
          <w:rFonts w:ascii="Times New Roman" w:hAnsi="Times New Roman" w:cs="Times New Roman"/>
          <w:i/>
          <w:sz w:val="24"/>
          <w:szCs w:val="24"/>
        </w:rPr>
        <w:t>Intelligence Report</w:t>
      </w:r>
      <w:r w:rsidRPr="0015288D">
        <w:rPr>
          <w:rFonts w:ascii="Times New Roman" w:hAnsi="Times New Roman" w:cs="Times New Roman"/>
          <w:sz w:val="24"/>
          <w:szCs w:val="24"/>
        </w:rPr>
        <w:t xml:space="preserve"> articles containing antigovernment group data, years 2005-2016</w:t>
      </w:r>
    </w:p>
    <w:p w:rsidR="009E62D6" w:rsidRDefault="009E62D6" w:rsidP="00A43045">
      <w:pPr>
        <w:pStyle w:val="NoSpacing"/>
        <w:rPr>
          <w:rFonts w:ascii="Times New Roman" w:hAnsi="Times New Roman" w:cs="Times New Roman"/>
          <w:sz w:val="24"/>
          <w:szCs w:val="24"/>
        </w:rPr>
      </w:pPr>
    </w:p>
    <w:p w:rsidR="009E62D6" w:rsidRDefault="009E62D6" w:rsidP="009E62D6">
      <w:pPr>
        <w:pStyle w:val="NoSpacing"/>
        <w:rPr>
          <w:rFonts w:ascii="Times New Roman" w:hAnsi="Times New Roman" w:cs="Times New Roman"/>
          <w:sz w:val="24"/>
          <w:szCs w:val="24"/>
        </w:rPr>
      </w:pPr>
      <w:r w:rsidRPr="009E62D6">
        <w:rPr>
          <w:rFonts w:ascii="Times New Roman" w:hAnsi="Times New Roman" w:cs="Times New Roman"/>
          <w:sz w:val="24"/>
          <w:szCs w:val="24"/>
        </w:rPr>
        <w:t>2016</w:t>
      </w:r>
    </w:p>
    <w:p w:rsidR="009E62D6" w:rsidRPr="009E62D6" w:rsidRDefault="009E62D6" w:rsidP="009E62D6">
      <w:pPr>
        <w:pStyle w:val="NoSpacing"/>
        <w:rPr>
          <w:rFonts w:ascii="Times New Roman" w:hAnsi="Times New Roman" w:cs="Times New Roman"/>
          <w:b/>
          <w:bCs/>
          <w:sz w:val="24"/>
          <w:szCs w:val="24"/>
        </w:rPr>
      </w:pPr>
      <w:r>
        <w:rPr>
          <w:rFonts w:ascii="Times New Roman" w:hAnsi="Times New Roman" w:cs="Times New Roman"/>
          <w:sz w:val="24"/>
          <w:szCs w:val="24"/>
        </w:rPr>
        <w:t xml:space="preserve">Southern Poverty Law Center. </w:t>
      </w:r>
      <w:r w:rsidRPr="009E62D6">
        <w:rPr>
          <w:rFonts w:ascii="Times New Roman" w:hAnsi="Times New Roman" w:cs="Times New Roman"/>
          <w:bCs/>
          <w:i/>
          <w:sz w:val="24"/>
          <w:szCs w:val="24"/>
        </w:rPr>
        <w:t>Active Patriot Groups in the US in 2016</w:t>
      </w:r>
      <w:r>
        <w:rPr>
          <w:rFonts w:ascii="Times New Roman" w:hAnsi="Times New Roman" w:cs="Times New Roman"/>
          <w:bCs/>
          <w:i/>
          <w:sz w:val="24"/>
          <w:szCs w:val="24"/>
        </w:rPr>
        <w:t>.</w:t>
      </w:r>
      <w:r>
        <w:rPr>
          <w:rFonts w:ascii="Times New Roman" w:hAnsi="Times New Roman" w:cs="Times New Roman"/>
          <w:bCs/>
          <w:sz w:val="24"/>
          <w:szCs w:val="24"/>
        </w:rPr>
        <w:t xml:space="preserve"> Retrieved from</w:t>
      </w:r>
    </w:p>
    <w:p w:rsidR="009E62D6" w:rsidRPr="009E62D6" w:rsidRDefault="009E62D6" w:rsidP="009E62D6">
      <w:pPr>
        <w:pStyle w:val="NoSpacing"/>
        <w:rPr>
          <w:rFonts w:ascii="Times New Roman" w:hAnsi="Times New Roman" w:cs="Times New Roman"/>
          <w:sz w:val="24"/>
          <w:szCs w:val="24"/>
        </w:rPr>
      </w:pPr>
      <w:hyperlink r:id="rId8" w:history="1">
        <w:r w:rsidRPr="009E62D6">
          <w:rPr>
            <w:rStyle w:val="Hyperlink"/>
            <w:rFonts w:ascii="Times New Roman" w:hAnsi="Times New Roman" w:cs="Times New Roman"/>
            <w:sz w:val="24"/>
            <w:szCs w:val="24"/>
          </w:rPr>
          <w:t>https://www.splcenter.org/fighting-hate/intelligence-report/201</w:t>
        </w:r>
        <w:r w:rsidRPr="009E62D6">
          <w:rPr>
            <w:rStyle w:val="Hyperlink"/>
            <w:rFonts w:ascii="Times New Roman" w:hAnsi="Times New Roman" w:cs="Times New Roman"/>
            <w:sz w:val="24"/>
            <w:szCs w:val="24"/>
          </w:rPr>
          <w:t>7</w:t>
        </w:r>
        <w:r w:rsidRPr="009E62D6">
          <w:rPr>
            <w:rStyle w:val="Hyperlink"/>
            <w:rFonts w:ascii="Times New Roman" w:hAnsi="Times New Roman" w:cs="Times New Roman"/>
            <w:sz w:val="24"/>
            <w:szCs w:val="24"/>
          </w:rPr>
          <w:t>/active-patriot-groups-us-2016</w:t>
        </w:r>
      </w:hyperlink>
      <w:r>
        <w:rPr>
          <w:rFonts w:ascii="Times New Roman" w:hAnsi="Times New Roman" w:cs="Times New Roman"/>
          <w:sz w:val="24"/>
          <w:szCs w:val="24"/>
        </w:rPr>
        <w:t>.</w:t>
      </w:r>
    </w:p>
    <w:p w:rsidR="009E62D6" w:rsidRPr="009E62D6" w:rsidRDefault="009E62D6" w:rsidP="009E62D6">
      <w:pPr>
        <w:pStyle w:val="NoSpacing"/>
        <w:rPr>
          <w:rFonts w:ascii="Times New Roman" w:hAnsi="Times New Roman" w:cs="Times New Roman"/>
          <w:sz w:val="24"/>
          <w:szCs w:val="24"/>
        </w:rPr>
      </w:pPr>
      <w:r w:rsidRPr="009E62D6">
        <w:rPr>
          <w:rFonts w:ascii="Times New Roman" w:hAnsi="Times New Roman" w:cs="Times New Roman"/>
          <w:sz w:val="24"/>
          <w:szCs w:val="24"/>
        </w:rPr>
        <w:t> </w:t>
      </w:r>
    </w:p>
    <w:p w:rsidR="009E62D6" w:rsidRDefault="009E62D6" w:rsidP="009E62D6">
      <w:pPr>
        <w:pStyle w:val="NoSpacing"/>
        <w:rPr>
          <w:rFonts w:ascii="Times New Roman" w:hAnsi="Times New Roman" w:cs="Times New Roman"/>
          <w:sz w:val="24"/>
          <w:szCs w:val="24"/>
        </w:rPr>
      </w:pPr>
      <w:r w:rsidRPr="009E62D6">
        <w:rPr>
          <w:rFonts w:ascii="Times New Roman" w:hAnsi="Times New Roman" w:cs="Times New Roman"/>
          <w:sz w:val="24"/>
          <w:szCs w:val="24"/>
        </w:rPr>
        <w:t>2015</w:t>
      </w:r>
    </w:p>
    <w:p w:rsidR="009E62D6" w:rsidRPr="009E62D6" w:rsidRDefault="009E62D6" w:rsidP="009E62D6">
      <w:pPr>
        <w:pStyle w:val="NoSpacing"/>
        <w:rPr>
          <w:rFonts w:ascii="Times New Roman" w:hAnsi="Times New Roman" w:cs="Times New Roman"/>
          <w:sz w:val="24"/>
          <w:szCs w:val="24"/>
        </w:rPr>
      </w:pPr>
      <w:r>
        <w:rPr>
          <w:rFonts w:ascii="Times New Roman" w:hAnsi="Times New Roman" w:cs="Times New Roman"/>
          <w:sz w:val="24"/>
          <w:szCs w:val="24"/>
        </w:rPr>
        <w:t xml:space="preserve">Southern Poverty Law Center. </w:t>
      </w:r>
      <w:r w:rsidRPr="009E62D6">
        <w:rPr>
          <w:rFonts w:ascii="Times New Roman" w:hAnsi="Times New Roman" w:cs="Times New Roman"/>
          <w:bCs/>
          <w:i/>
          <w:sz w:val="24"/>
          <w:szCs w:val="24"/>
        </w:rPr>
        <w:t xml:space="preserve">Active </w:t>
      </w:r>
      <w:r>
        <w:rPr>
          <w:rFonts w:ascii="Times New Roman" w:hAnsi="Times New Roman" w:cs="Times New Roman"/>
          <w:bCs/>
          <w:i/>
          <w:sz w:val="24"/>
          <w:szCs w:val="24"/>
        </w:rPr>
        <w:t>Antigovernment Groups in the United States.</w:t>
      </w:r>
      <w:r>
        <w:rPr>
          <w:rFonts w:ascii="Times New Roman" w:hAnsi="Times New Roman" w:cs="Times New Roman"/>
          <w:bCs/>
          <w:sz w:val="24"/>
          <w:szCs w:val="24"/>
        </w:rPr>
        <w:t xml:space="preserve"> Retrieved from </w:t>
      </w:r>
      <w:hyperlink r:id="rId9" w:history="1">
        <w:r w:rsidRPr="009E62D6">
          <w:rPr>
            <w:rStyle w:val="Hyperlink"/>
            <w:rFonts w:ascii="Times New Roman" w:hAnsi="Times New Roman" w:cs="Times New Roman"/>
            <w:sz w:val="24"/>
            <w:szCs w:val="24"/>
          </w:rPr>
          <w:t>https://www.splcenter.org/ac</w:t>
        </w:r>
        <w:r w:rsidRPr="009E62D6">
          <w:rPr>
            <w:rStyle w:val="Hyperlink"/>
            <w:rFonts w:ascii="Times New Roman" w:hAnsi="Times New Roman" w:cs="Times New Roman"/>
            <w:sz w:val="24"/>
            <w:szCs w:val="24"/>
          </w:rPr>
          <w:t>t</w:t>
        </w:r>
        <w:r w:rsidRPr="009E62D6">
          <w:rPr>
            <w:rStyle w:val="Hyperlink"/>
            <w:rFonts w:ascii="Times New Roman" w:hAnsi="Times New Roman" w:cs="Times New Roman"/>
            <w:sz w:val="24"/>
            <w:szCs w:val="24"/>
          </w:rPr>
          <w:t>ive-antigovernment-groups-united-states</w:t>
        </w:r>
      </w:hyperlink>
      <w:r>
        <w:rPr>
          <w:rFonts w:ascii="Times New Roman" w:hAnsi="Times New Roman" w:cs="Times New Roman"/>
          <w:sz w:val="24"/>
          <w:szCs w:val="24"/>
        </w:rPr>
        <w:t>.</w:t>
      </w:r>
    </w:p>
    <w:p w:rsidR="009E62D6" w:rsidRPr="009E62D6" w:rsidRDefault="009E62D6" w:rsidP="009E62D6">
      <w:pPr>
        <w:pStyle w:val="NoSpacing"/>
        <w:rPr>
          <w:rFonts w:ascii="Times New Roman" w:hAnsi="Times New Roman" w:cs="Times New Roman"/>
          <w:sz w:val="24"/>
          <w:szCs w:val="24"/>
        </w:rPr>
      </w:pPr>
      <w:r w:rsidRPr="009E62D6">
        <w:rPr>
          <w:rFonts w:ascii="Times New Roman" w:hAnsi="Times New Roman" w:cs="Times New Roman"/>
          <w:sz w:val="24"/>
          <w:szCs w:val="24"/>
        </w:rPr>
        <w:t> </w:t>
      </w:r>
    </w:p>
    <w:p w:rsidR="009E62D6" w:rsidRDefault="009E62D6" w:rsidP="009E62D6">
      <w:pPr>
        <w:pStyle w:val="NoSpacing"/>
        <w:rPr>
          <w:rFonts w:ascii="Times New Roman" w:hAnsi="Times New Roman" w:cs="Times New Roman"/>
          <w:sz w:val="24"/>
          <w:szCs w:val="24"/>
        </w:rPr>
      </w:pPr>
      <w:r w:rsidRPr="009E62D6">
        <w:rPr>
          <w:rFonts w:ascii="Times New Roman" w:hAnsi="Times New Roman" w:cs="Times New Roman"/>
          <w:sz w:val="24"/>
          <w:szCs w:val="24"/>
        </w:rPr>
        <w:t>2014</w:t>
      </w:r>
    </w:p>
    <w:p w:rsidR="009E62D6" w:rsidRPr="009E62D6" w:rsidRDefault="009E62D6" w:rsidP="009E62D6">
      <w:pPr>
        <w:pStyle w:val="NoSpacing"/>
        <w:rPr>
          <w:rFonts w:ascii="Times New Roman" w:hAnsi="Times New Roman" w:cs="Times New Roman"/>
          <w:sz w:val="24"/>
          <w:szCs w:val="24"/>
        </w:rPr>
      </w:pPr>
      <w:r>
        <w:rPr>
          <w:rFonts w:ascii="Times New Roman" w:hAnsi="Times New Roman" w:cs="Times New Roman"/>
          <w:sz w:val="24"/>
          <w:szCs w:val="24"/>
        </w:rPr>
        <w:t xml:space="preserve">Southern Poverty Law Center. </w:t>
      </w:r>
      <w:r w:rsidRPr="009E62D6">
        <w:rPr>
          <w:rFonts w:ascii="Times New Roman" w:hAnsi="Times New Roman" w:cs="Times New Roman"/>
          <w:bCs/>
          <w:i/>
          <w:sz w:val="24"/>
          <w:szCs w:val="24"/>
        </w:rPr>
        <w:t xml:space="preserve">Active </w:t>
      </w:r>
      <w:r>
        <w:rPr>
          <w:rFonts w:ascii="Times New Roman" w:hAnsi="Times New Roman" w:cs="Times New Roman"/>
          <w:bCs/>
          <w:i/>
          <w:sz w:val="24"/>
          <w:szCs w:val="24"/>
        </w:rPr>
        <w:t>Antigovernment Groups in the United States Since 2014.</w:t>
      </w:r>
      <w:r>
        <w:rPr>
          <w:rFonts w:ascii="Times New Roman" w:hAnsi="Times New Roman" w:cs="Times New Roman"/>
          <w:bCs/>
          <w:sz w:val="24"/>
          <w:szCs w:val="24"/>
        </w:rPr>
        <w:t xml:space="preserve"> Retrieved from </w:t>
      </w:r>
      <w:hyperlink r:id="rId10" w:history="1">
        <w:r w:rsidRPr="009E62D6">
          <w:rPr>
            <w:rStyle w:val="Hyperlink"/>
            <w:rFonts w:ascii="Times New Roman" w:hAnsi="Times New Roman" w:cs="Times New Roman"/>
            <w:sz w:val="24"/>
            <w:szCs w:val="24"/>
          </w:rPr>
          <w:t>https://www.</w:t>
        </w:r>
        <w:r w:rsidRPr="009E62D6">
          <w:rPr>
            <w:rStyle w:val="Hyperlink"/>
            <w:rFonts w:ascii="Times New Roman" w:hAnsi="Times New Roman" w:cs="Times New Roman"/>
            <w:sz w:val="24"/>
            <w:szCs w:val="24"/>
          </w:rPr>
          <w:t>s</w:t>
        </w:r>
        <w:r w:rsidRPr="009E62D6">
          <w:rPr>
            <w:rStyle w:val="Hyperlink"/>
            <w:rFonts w:ascii="Times New Roman" w:hAnsi="Times New Roman" w:cs="Times New Roman"/>
            <w:sz w:val="24"/>
            <w:szCs w:val="24"/>
          </w:rPr>
          <w:t>plcenter.org/sites/default/files/antigovernment-groups-2014_splc.pdf</w:t>
        </w:r>
      </w:hyperlink>
      <w:r>
        <w:rPr>
          <w:rFonts w:ascii="Times New Roman" w:hAnsi="Times New Roman" w:cs="Times New Roman"/>
          <w:sz w:val="24"/>
          <w:szCs w:val="24"/>
        </w:rPr>
        <w:t>.</w:t>
      </w:r>
    </w:p>
    <w:p w:rsidR="009E62D6" w:rsidRPr="009E62D6" w:rsidRDefault="009E62D6" w:rsidP="009E62D6">
      <w:pPr>
        <w:pStyle w:val="NoSpacing"/>
        <w:rPr>
          <w:rFonts w:ascii="Times New Roman" w:hAnsi="Times New Roman" w:cs="Times New Roman"/>
          <w:sz w:val="24"/>
          <w:szCs w:val="24"/>
        </w:rPr>
      </w:pPr>
      <w:r w:rsidRPr="009E62D6">
        <w:rPr>
          <w:rFonts w:ascii="Times New Roman" w:hAnsi="Times New Roman" w:cs="Times New Roman"/>
          <w:sz w:val="24"/>
          <w:szCs w:val="24"/>
        </w:rPr>
        <w:t> </w:t>
      </w:r>
    </w:p>
    <w:p w:rsidR="009E62D6" w:rsidRDefault="009E62D6" w:rsidP="009E62D6">
      <w:pPr>
        <w:pStyle w:val="NoSpacing"/>
        <w:rPr>
          <w:rFonts w:ascii="Times New Roman" w:hAnsi="Times New Roman" w:cs="Times New Roman"/>
          <w:sz w:val="24"/>
          <w:szCs w:val="24"/>
        </w:rPr>
      </w:pPr>
      <w:r w:rsidRPr="009E62D6">
        <w:rPr>
          <w:rFonts w:ascii="Times New Roman" w:hAnsi="Times New Roman" w:cs="Times New Roman"/>
          <w:sz w:val="24"/>
          <w:szCs w:val="24"/>
        </w:rPr>
        <w:t>2013</w:t>
      </w:r>
    </w:p>
    <w:p w:rsidR="009E62D6" w:rsidRPr="009E62D6" w:rsidRDefault="009E62D6" w:rsidP="009E62D6">
      <w:pPr>
        <w:pStyle w:val="NoSpacing"/>
        <w:rPr>
          <w:rFonts w:ascii="Times New Roman" w:hAnsi="Times New Roman" w:cs="Times New Roman"/>
          <w:sz w:val="24"/>
          <w:szCs w:val="24"/>
        </w:rPr>
      </w:pPr>
      <w:r>
        <w:rPr>
          <w:rFonts w:ascii="Times New Roman" w:hAnsi="Times New Roman" w:cs="Times New Roman"/>
          <w:sz w:val="24"/>
          <w:szCs w:val="24"/>
        </w:rPr>
        <w:t xml:space="preserve">Southern Poverty Law Center. </w:t>
      </w:r>
      <w:r w:rsidRPr="009E62D6">
        <w:rPr>
          <w:rFonts w:ascii="Times New Roman" w:hAnsi="Times New Roman" w:cs="Times New Roman"/>
          <w:bCs/>
          <w:i/>
          <w:sz w:val="24"/>
          <w:szCs w:val="24"/>
        </w:rPr>
        <w:t xml:space="preserve">Active </w:t>
      </w:r>
      <w:r>
        <w:rPr>
          <w:rFonts w:ascii="Times New Roman" w:hAnsi="Times New Roman" w:cs="Times New Roman"/>
          <w:bCs/>
          <w:i/>
          <w:sz w:val="24"/>
          <w:szCs w:val="24"/>
        </w:rPr>
        <w:t>‘Patriot’ Groups in the United States in 2013.</w:t>
      </w:r>
      <w:r>
        <w:rPr>
          <w:rFonts w:ascii="Times New Roman" w:hAnsi="Times New Roman" w:cs="Times New Roman"/>
          <w:bCs/>
          <w:sz w:val="24"/>
          <w:szCs w:val="24"/>
        </w:rPr>
        <w:t xml:space="preserve"> Retrieved from </w:t>
      </w:r>
      <w:hyperlink r:id="rId11" w:history="1">
        <w:r w:rsidRPr="009E62D6">
          <w:rPr>
            <w:rStyle w:val="Hyperlink"/>
            <w:rFonts w:ascii="Times New Roman" w:hAnsi="Times New Roman" w:cs="Times New Roman"/>
            <w:sz w:val="24"/>
            <w:szCs w:val="24"/>
          </w:rPr>
          <w:t>https://www.splcenter.org/sites/default/files/d6_legacy_files/active_patriot_groups.pdf</w:t>
        </w:r>
      </w:hyperlink>
      <w:r>
        <w:rPr>
          <w:rFonts w:ascii="Times New Roman" w:hAnsi="Times New Roman" w:cs="Times New Roman"/>
          <w:sz w:val="24"/>
          <w:szCs w:val="24"/>
        </w:rPr>
        <w:t>.</w:t>
      </w:r>
    </w:p>
    <w:p w:rsidR="009E62D6" w:rsidRPr="009E62D6" w:rsidRDefault="009E62D6" w:rsidP="009E62D6">
      <w:pPr>
        <w:pStyle w:val="NoSpacing"/>
        <w:rPr>
          <w:rFonts w:ascii="Times New Roman" w:hAnsi="Times New Roman" w:cs="Times New Roman"/>
          <w:sz w:val="24"/>
          <w:szCs w:val="24"/>
        </w:rPr>
      </w:pPr>
      <w:r w:rsidRPr="009E62D6">
        <w:rPr>
          <w:rFonts w:ascii="Times New Roman" w:hAnsi="Times New Roman" w:cs="Times New Roman"/>
          <w:sz w:val="24"/>
          <w:szCs w:val="24"/>
        </w:rPr>
        <w:t> </w:t>
      </w:r>
    </w:p>
    <w:p w:rsidR="009E62D6" w:rsidRPr="009E62D6" w:rsidRDefault="009E62D6" w:rsidP="009E62D6">
      <w:pPr>
        <w:pStyle w:val="NoSpacing"/>
        <w:rPr>
          <w:rFonts w:ascii="Times New Roman" w:hAnsi="Times New Roman" w:cs="Times New Roman"/>
          <w:sz w:val="24"/>
          <w:szCs w:val="24"/>
        </w:rPr>
      </w:pPr>
      <w:r w:rsidRPr="009E62D6">
        <w:rPr>
          <w:rFonts w:ascii="Times New Roman" w:hAnsi="Times New Roman" w:cs="Times New Roman"/>
          <w:sz w:val="24"/>
          <w:szCs w:val="24"/>
        </w:rPr>
        <w:t>2012</w:t>
      </w:r>
    </w:p>
    <w:p w:rsidR="009E62D6" w:rsidRPr="009E62D6" w:rsidRDefault="009E62D6" w:rsidP="009E62D6">
      <w:pPr>
        <w:pStyle w:val="NoSpacing"/>
        <w:rPr>
          <w:rFonts w:ascii="Times New Roman" w:hAnsi="Times New Roman" w:cs="Times New Roman"/>
          <w:sz w:val="24"/>
          <w:szCs w:val="24"/>
        </w:rPr>
      </w:pPr>
      <w:r>
        <w:rPr>
          <w:rFonts w:ascii="Times New Roman" w:hAnsi="Times New Roman" w:cs="Times New Roman"/>
          <w:sz w:val="24"/>
          <w:szCs w:val="24"/>
        </w:rPr>
        <w:t xml:space="preserve">Southern Poverty Law Center. </w:t>
      </w:r>
      <w:r w:rsidRPr="009E62D6">
        <w:rPr>
          <w:rFonts w:ascii="Times New Roman" w:hAnsi="Times New Roman" w:cs="Times New Roman"/>
          <w:bCs/>
          <w:i/>
          <w:sz w:val="24"/>
          <w:szCs w:val="24"/>
        </w:rPr>
        <w:t xml:space="preserve">Active </w:t>
      </w:r>
      <w:r>
        <w:rPr>
          <w:rFonts w:ascii="Times New Roman" w:hAnsi="Times New Roman" w:cs="Times New Roman"/>
          <w:bCs/>
          <w:i/>
          <w:sz w:val="24"/>
          <w:szCs w:val="24"/>
        </w:rPr>
        <w:t>‘Patriot’ Groups in the United States in 2012.</w:t>
      </w:r>
      <w:r>
        <w:rPr>
          <w:rFonts w:ascii="Times New Roman" w:hAnsi="Times New Roman" w:cs="Times New Roman"/>
          <w:bCs/>
          <w:sz w:val="24"/>
          <w:szCs w:val="24"/>
        </w:rPr>
        <w:t xml:space="preserve"> Retrieved from </w:t>
      </w:r>
      <w:hyperlink r:id="rId12" w:history="1">
        <w:r w:rsidRPr="009E62D6">
          <w:rPr>
            <w:rStyle w:val="Hyperlink"/>
            <w:rFonts w:ascii="Times New Roman" w:hAnsi="Times New Roman" w:cs="Times New Roman"/>
            <w:sz w:val="24"/>
            <w:szCs w:val="24"/>
          </w:rPr>
          <w:t>https://www.splcenter.org/fighting-hate/intelligence-report/2013/active-%E2%80</w:t>
        </w:r>
        <w:r w:rsidRPr="009E62D6">
          <w:rPr>
            <w:rStyle w:val="Hyperlink"/>
            <w:rFonts w:ascii="Times New Roman" w:hAnsi="Times New Roman" w:cs="Times New Roman"/>
            <w:sz w:val="24"/>
            <w:szCs w:val="24"/>
          </w:rPr>
          <w:t>%</w:t>
        </w:r>
        <w:r w:rsidRPr="009E62D6">
          <w:rPr>
            <w:rStyle w:val="Hyperlink"/>
            <w:rFonts w:ascii="Times New Roman" w:hAnsi="Times New Roman" w:cs="Times New Roman"/>
            <w:sz w:val="24"/>
            <w:szCs w:val="24"/>
          </w:rPr>
          <w:t>98patriot%E2%80%99-groups-united-states-2012</w:t>
        </w:r>
      </w:hyperlink>
      <w:r>
        <w:rPr>
          <w:rFonts w:ascii="Times New Roman" w:hAnsi="Times New Roman" w:cs="Times New Roman"/>
          <w:sz w:val="24"/>
          <w:szCs w:val="24"/>
        </w:rPr>
        <w:t>.</w:t>
      </w:r>
    </w:p>
    <w:p w:rsidR="009E62D6" w:rsidRPr="009E62D6" w:rsidRDefault="009E62D6" w:rsidP="009E62D6">
      <w:pPr>
        <w:pStyle w:val="NoSpacing"/>
        <w:rPr>
          <w:rFonts w:ascii="Times New Roman" w:hAnsi="Times New Roman" w:cs="Times New Roman"/>
          <w:sz w:val="24"/>
          <w:szCs w:val="24"/>
        </w:rPr>
      </w:pPr>
      <w:r w:rsidRPr="009E62D6">
        <w:rPr>
          <w:rFonts w:ascii="Times New Roman" w:hAnsi="Times New Roman" w:cs="Times New Roman"/>
          <w:sz w:val="24"/>
          <w:szCs w:val="24"/>
        </w:rPr>
        <w:t> </w:t>
      </w:r>
    </w:p>
    <w:p w:rsidR="009E62D6" w:rsidRPr="009E62D6" w:rsidRDefault="009E62D6" w:rsidP="009E62D6">
      <w:pPr>
        <w:pStyle w:val="NoSpacing"/>
        <w:rPr>
          <w:rFonts w:ascii="Times New Roman" w:hAnsi="Times New Roman" w:cs="Times New Roman"/>
          <w:sz w:val="24"/>
          <w:szCs w:val="24"/>
        </w:rPr>
      </w:pPr>
      <w:r w:rsidRPr="009E62D6">
        <w:rPr>
          <w:rFonts w:ascii="Times New Roman" w:hAnsi="Times New Roman" w:cs="Times New Roman"/>
          <w:sz w:val="24"/>
          <w:szCs w:val="24"/>
        </w:rPr>
        <w:t>2011</w:t>
      </w:r>
    </w:p>
    <w:p w:rsidR="009E62D6" w:rsidRPr="009E62D6" w:rsidRDefault="009E62D6" w:rsidP="009E62D6">
      <w:pPr>
        <w:pStyle w:val="NoSpacing"/>
        <w:rPr>
          <w:rFonts w:ascii="Times New Roman" w:hAnsi="Times New Roman" w:cs="Times New Roman"/>
          <w:sz w:val="24"/>
          <w:szCs w:val="24"/>
        </w:rPr>
      </w:pPr>
      <w:r>
        <w:rPr>
          <w:rFonts w:ascii="Times New Roman" w:hAnsi="Times New Roman" w:cs="Times New Roman"/>
          <w:sz w:val="24"/>
          <w:szCs w:val="24"/>
        </w:rPr>
        <w:t xml:space="preserve">Southern Poverty Law Center. </w:t>
      </w:r>
      <w:r w:rsidRPr="009E62D6">
        <w:rPr>
          <w:rFonts w:ascii="Times New Roman" w:hAnsi="Times New Roman" w:cs="Times New Roman"/>
          <w:bCs/>
          <w:i/>
          <w:sz w:val="24"/>
          <w:szCs w:val="24"/>
        </w:rPr>
        <w:t xml:space="preserve">Active </w:t>
      </w:r>
      <w:r>
        <w:rPr>
          <w:rFonts w:ascii="Times New Roman" w:hAnsi="Times New Roman" w:cs="Times New Roman"/>
          <w:bCs/>
          <w:i/>
          <w:sz w:val="24"/>
          <w:szCs w:val="24"/>
        </w:rPr>
        <w:t>‘Patriot’ Groups in the United States in 2011.</w:t>
      </w:r>
      <w:r>
        <w:rPr>
          <w:rFonts w:ascii="Times New Roman" w:hAnsi="Times New Roman" w:cs="Times New Roman"/>
          <w:bCs/>
          <w:sz w:val="24"/>
          <w:szCs w:val="24"/>
        </w:rPr>
        <w:t xml:space="preserve"> Retrieved from </w:t>
      </w:r>
      <w:hyperlink r:id="rId13" w:history="1">
        <w:r w:rsidRPr="009E62D6">
          <w:rPr>
            <w:rStyle w:val="Hyperlink"/>
            <w:rFonts w:ascii="Times New Roman" w:hAnsi="Times New Roman" w:cs="Times New Roman"/>
            <w:sz w:val="24"/>
            <w:szCs w:val="24"/>
          </w:rPr>
          <w:t>https://www.splcenter.org/fighting-hate/int</w:t>
        </w:r>
        <w:r w:rsidRPr="009E62D6">
          <w:rPr>
            <w:rStyle w:val="Hyperlink"/>
            <w:rFonts w:ascii="Times New Roman" w:hAnsi="Times New Roman" w:cs="Times New Roman"/>
            <w:sz w:val="24"/>
            <w:szCs w:val="24"/>
          </w:rPr>
          <w:t>e</w:t>
        </w:r>
        <w:r w:rsidRPr="009E62D6">
          <w:rPr>
            <w:rStyle w:val="Hyperlink"/>
            <w:rFonts w:ascii="Times New Roman" w:hAnsi="Times New Roman" w:cs="Times New Roman"/>
            <w:sz w:val="24"/>
            <w:szCs w:val="24"/>
          </w:rPr>
          <w:t>lligence-report/2012/active-%E2%80%98patriot%E2%80%99-groups-united-states-2011</w:t>
        </w:r>
      </w:hyperlink>
      <w:r>
        <w:rPr>
          <w:rFonts w:ascii="Times New Roman" w:hAnsi="Times New Roman" w:cs="Times New Roman"/>
          <w:sz w:val="24"/>
          <w:szCs w:val="24"/>
        </w:rPr>
        <w:t>.</w:t>
      </w:r>
    </w:p>
    <w:p w:rsidR="009E62D6" w:rsidRPr="009E62D6" w:rsidRDefault="009E62D6" w:rsidP="009E62D6">
      <w:pPr>
        <w:pStyle w:val="NoSpacing"/>
        <w:rPr>
          <w:rFonts w:ascii="Times New Roman" w:hAnsi="Times New Roman" w:cs="Times New Roman"/>
          <w:sz w:val="24"/>
          <w:szCs w:val="24"/>
        </w:rPr>
      </w:pPr>
      <w:r w:rsidRPr="009E62D6">
        <w:rPr>
          <w:rFonts w:ascii="Times New Roman" w:hAnsi="Times New Roman" w:cs="Times New Roman"/>
          <w:sz w:val="24"/>
          <w:szCs w:val="24"/>
        </w:rPr>
        <w:t> </w:t>
      </w:r>
    </w:p>
    <w:p w:rsidR="009E62D6" w:rsidRPr="009E62D6" w:rsidRDefault="009E62D6" w:rsidP="009E62D6">
      <w:pPr>
        <w:pStyle w:val="NoSpacing"/>
        <w:rPr>
          <w:rFonts w:ascii="Times New Roman" w:hAnsi="Times New Roman" w:cs="Times New Roman"/>
          <w:sz w:val="24"/>
          <w:szCs w:val="24"/>
        </w:rPr>
      </w:pPr>
      <w:r w:rsidRPr="009E62D6">
        <w:rPr>
          <w:rFonts w:ascii="Times New Roman" w:hAnsi="Times New Roman" w:cs="Times New Roman"/>
          <w:sz w:val="24"/>
          <w:szCs w:val="24"/>
        </w:rPr>
        <w:t>2010</w:t>
      </w:r>
    </w:p>
    <w:p w:rsidR="009E62D6" w:rsidRPr="009E62D6" w:rsidRDefault="009E62D6" w:rsidP="009E62D6">
      <w:pPr>
        <w:pStyle w:val="NoSpacing"/>
        <w:rPr>
          <w:rFonts w:ascii="Times New Roman" w:hAnsi="Times New Roman" w:cs="Times New Roman"/>
          <w:sz w:val="24"/>
          <w:szCs w:val="24"/>
        </w:rPr>
      </w:pPr>
      <w:r>
        <w:rPr>
          <w:rFonts w:ascii="Times New Roman" w:hAnsi="Times New Roman" w:cs="Times New Roman"/>
          <w:sz w:val="24"/>
          <w:szCs w:val="24"/>
        </w:rPr>
        <w:t xml:space="preserve">Southern Poverty Law Center. </w:t>
      </w:r>
      <w:r w:rsidRPr="009E62D6">
        <w:rPr>
          <w:rFonts w:ascii="Times New Roman" w:hAnsi="Times New Roman" w:cs="Times New Roman"/>
          <w:bCs/>
          <w:i/>
          <w:sz w:val="24"/>
          <w:szCs w:val="24"/>
        </w:rPr>
        <w:t xml:space="preserve">Active </w:t>
      </w:r>
      <w:r>
        <w:rPr>
          <w:rFonts w:ascii="Times New Roman" w:hAnsi="Times New Roman" w:cs="Times New Roman"/>
          <w:bCs/>
          <w:i/>
          <w:sz w:val="24"/>
          <w:szCs w:val="24"/>
        </w:rPr>
        <w:t>‘Patriot’ Groups in the United States in 2010.</w:t>
      </w:r>
      <w:r>
        <w:rPr>
          <w:rFonts w:ascii="Times New Roman" w:hAnsi="Times New Roman" w:cs="Times New Roman"/>
          <w:bCs/>
          <w:sz w:val="24"/>
          <w:szCs w:val="24"/>
        </w:rPr>
        <w:t xml:space="preserve"> Retrieved from </w:t>
      </w:r>
      <w:hyperlink r:id="rId14" w:history="1">
        <w:r w:rsidRPr="009E62D6">
          <w:rPr>
            <w:rStyle w:val="Hyperlink"/>
            <w:rFonts w:ascii="Times New Roman" w:hAnsi="Times New Roman" w:cs="Times New Roman"/>
            <w:sz w:val="24"/>
            <w:szCs w:val="24"/>
          </w:rPr>
          <w:t>https://www.splcenter.org/fighting-hate/intelligence-report/2011/active-%E2%80%98patriot%E2%80%99</w:t>
        </w:r>
        <w:r w:rsidRPr="009E62D6">
          <w:rPr>
            <w:rStyle w:val="Hyperlink"/>
            <w:rFonts w:ascii="Times New Roman" w:hAnsi="Times New Roman" w:cs="Times New Roman"/>
            <w:sz w:val="24"/>
            <w:szCs w:val="24"/>
          </w:rPr>
          <w:t>-</w:t>
        </w:r>
        <w:r w:rsidRPr="009E62D6">
          <w:rPr>
            <w:rStyle w:val="Hyperlink"/>
            <w:rFonts w:ascii="Times New Roman" w:hAnsi="Times New Roman" w:cs="Times New Roman"/>
            <w:sz w:val="24"/>
            <w:szCs w:val="24"/>
          </w:rPr>
          <w:t>groups-united-states-2010</w:t>
        </w:r>
      </w:hyperlink>
      <w:r>
        <w:rPr>
          <w:rFonts w:ascii="Times New Roman" w:hAnsi="Times New Roman" w:cs="Times New Roman"/>
          <w:sz w:val="24"/>
          <w:szCs w:val="24"/>
        </w:rPr>
        <w:t>.</w:t>
      </w:r>
    </w:p>
    <w:p w:rsidR="009E62D6" w:rsidRPr="009E62D6" w:rsidRDefault="009E62D6" w:rsidP="009E62D6">
      <w:pPr>
        <w:pStyle w:val="NoSpacing"/>
        <w:rPr>
          <w:rFonts w:ascii="Times New Roman" w:hAnsi="Times New Roman" w:cs="Times New Roman"/>
          <w:sz w:val="24"/>
          <w:szCs w:val="24"/>
        </w:rPr>
      </w:pPr>
      <w:r w:rsidRPr="009E62D6">
        <w:rPr>
          <w:rFonts w:ascii="Times New Roman" w:hAnsi="Times New Roman" w:cs="Times New Roman"/>
          <w:sz w:val="24"/>
          <w:szCs w:val="24"/>
        </w:rPr>
        <w:t> </w:t>
      </w:r>
    </w:p>
    <w:p w:rsidR="009E62D6" w:rsidRPr="009E62D6" w:rsidRDefault="009E62D6" w:rsidP="009E62D6">
      <w:pPr>
        <w:pStyle w:val="NoSpacing"/>
        <w:rPr>
          <w:rFonts w:ascii="Times New Roman" w:hAnsi="Times New Roman" w:cs="Times New Roman"/>
          <w:sz w:val="24"/>
          <w:szCs w:val="24"/>
        </w:rPr>
      </w:pPr>
      <w:r w:rsidRPr="009E62D6">
        <w:rPr>
          <w:rFonts w:ascii="Times New Roman" w:hAnsi="Times New Roman" w:cs="Times New Roman"/>
          <w:sz w:val="24"/>
          <w:szCs w:val="24"/>
        </w:rPr>
        <w:t>2009</w:t>
      </w:r>
    </w:p>
    <w:p w:rsidR="009E62D6" w:rsidRPr="009E62D6" w:rsidRDefault="009E62D6" w:rsidP="009E62D6">
      <w:pPr>
        <w:pStyle w:val="NoSpacing"/>
        <w:rPr>
          <w:rFonts w:ascii="Times New Roman" w:hAnsi="Times New Roman" w:cs="Times New Roman"/>
          <w:sz w:val="24"/>
          <w:szCs w:val="24"/>
        </w:rPr>
      </w:pPr>
      <w:r>
        <w:rPr>
          <w:rFonts w:ascii="Times New Roman" w:hAnsi="Times New Roman" w:cs="Times New Roman"/>
          <w:sz w:val="24"/>
          <w:szCs w:val="24"/>
        </w:rPr>
        <w:t xml:space="preserve">Southern Poverty Law Center. </w:t>
      </w:r>
      <w:r w:rsidRPr="009E62D6">
        <w:rPr>
          <w:rFonts w:ascii="Times New Roman" w:hAnsi="Times New Roman" w:cs="Times New Roman"/>
          <w:bCs/>
          <w:i/>
          <w:sz w:val="24"/>
          <w:szCs w:val="24"/>
        </w:rPr>
        <w:t xml:space="preserve">Active </w:t>
      </w:r>
      <w:r>
        <w:rPr>
          <w:rFonts w:ascii="Times New Roman" w:hAnsi="Times New Roman" w:cs="Times New Roman"/>
          <w:bCs/>
          <w:i/>
          <w:sz w:val="24"/>
          <w:szCs w:val="24"/>
        </w:rPr>
        <w:t>‘Patriot’ Groups in the United States in 2009.</w:t>
      </w:r>
      <w:r>
        <w:rPr>
          <w:rFonts w:ascii="Times New Roman" w:hAnsi="Times New Roman" w:cs="Times New Roman"/>
          <w:bCs/>
          <w:sz w:val="24"/>
          <w:szCs w:val="24"/>
        </w:rPr>
        <w:t xml:space="preserve"> Retrieved from </w:t>
      </w:r>
      <w:hyperlink r:id="rId15" w:history="1">
        <w:r w:rsidRPr="009E62D6">
          <w:rPr>
            <w:rStyle w:val="Hyperlink"/>
            <w:rFonts w:ascii="Times New Roman" w:hAnsi="Times New Roman" w:cs="Times New Roman"/>
            <w:sz w:val="24"/>
            <w:szCs w:val="24"/>
          </w:rPr>
          <w:t>https://www.splcenter.org/fighting-hate/intell</w:t>
        </w:r>
        <w:r w:rsidRPr="009E62D6">
          <w:rPr>
            <w:rStyle w:val="Hyperlink"/>
            <w:rFonts w:ascii="Times New Roman" w:hAnsi="Times New Roman" w:cs="Times New Roman"/>
            <w:sz w:val="24"/>
            <w:szCs w:val="24"/>
          </w:rPr>
          <w:t>i</w:t>
        </w:r>
        <w:r w:rsidRPr="009E62D6">
          <w:rPr>
            <w:rStyle w:val="Hyperlink"/>
            <w:rFonts w:ascii="Times New Roman" w:hAnsi="Times New Roman" w:cs="Times New Roman"/>
            <w:sz w:val="24"/>
            <w:szCs w:val="24"/>
          </w:rPr>
          <w:t>gence-report/2010/active-patriot-groups-united-states-2009</w:t>
        </w:r>
      </w:hyperlink>
      <w:r>
        <w:rPr>
          <w:rFonts w:ascii="Times New Roman" w:hAnsi="Times New Roman" w:cs="Times New Roman"/>
          <w:sz w:val="24"/>
          <w:szCs w:val="24"/>
        </w:rPr>
        <w:t>.</w:t>
      </w:r>
    </w:p>
    <w:p w:rsidR="009E62D6" w:rsidRPr="009E62D6" w:rsidRDefault="009E62D6" w:rsidP="009E62D6">
      <w:pPr>
        <w:pStyle w:val="NoSpacing"/>
        <w:rPr>
          <w:rFonts w:ascii="Times New Roman" w:hAnsi="Times New Roman" w:cs="Times New Roman"/>
          <w:sz w:val="24"/>
          <w:szCs w:val="24"/>
        </w:rPr>
      </w:pPr>
      <w:r w:rsidRPr="009E62D6">
        <w:rPr>
          <w:rFonts w:ascii="Times New Roman" w:hAnsi="Times New Roman" w:cs="Times New Roman"/>
          <w:sz w:val="24"/>
          <w:szCs w:val="24"/>
        </w:rPr>
        <w:t> </w:t>
      </w:r>
    </w:p>
    <w:p w:rsidR="009E62D6" w:rsidRPr="009E62D6" w:rsidRDefault="009E62D6" w:rsidP="009E62D6">
      <w:pPr>
        <w:pStyle w:val="NoSpacing"/>
        <w:rPr>
          <w:rFonts w:ascii="Times New Roman" w:hAnsi="Times New Roman" w:cs="Times New Roman"/>
          <w:sz w:val="24"/>
          <w:szCs w:val="24"/>
        </w:rPr>
      </w:pPr>
      <w:r w:rsidRPr="009E62D6">
        <w:rPr>
          <w:rFonts w:ascii="Times New Roman" w:hAnsi="Times New Roman" w:cs="Times New Roman"/>
          <w:sz w:val="24"/>
          <w:szCs w:val="24"/>
        </w:rPr>
        <w:t>2008</w:t>
      </w:r>
    </w:p>
    <w:p w:rsidR="009E62D6" w:rsidRPr="009E62D6" w:rsidRDefault="009E62D6" w:rsidP="009E62D6">
      <w:pPr>
        <w:pStyle w:val="NoSpacing"/>
        <w:rPr>
          <w:rFonts w:ascii="Times New Roman" w:hAnsi="Times New Roman" w:cs="Times New Roman"/>
          <w:sz w:val="24"/>
          <w:szCs w:val="24"/>
        </w:rPr>
      </w:pPr>
      <w:r>
        <w:rPr>
          <w:rFonts w:ascii="Times New Roman" w:hAnsi="Times New Roman" w:cs="Times New Roman"/>
          <w:sz w:val="24"/>
          <w:szCs w:val="24"/>
        </w:rPr>
        <w:t xml:space="preserve">Southern Poverty Law Center. </w:t>
      </w:r>
      <w:r>
        <w:rPr>
          <w:rFonts w:ascii="Times New Roman" w:hAnsi="Times New Roman" w:cs="Times New Roman"/>
          <w:bCs/>
          <w:i/>
          <w:sz w:val="24"/>
          <w:szCs w:val="24"/>
        </w:rPr>
        <w:t>‘Patriot’ Groups.</w:t>
      </w:r>
      <w:r>
        <w:rPr>
          <w:rFonts w:ascii="Times New Roman" w:hAnsi="Times New Roman" w:cs="Times New Roman"/>
          <w:bCs/>
          <w:sz w:val="24"/>
          <w:szCs w:val="24"/>
        </w:rPr>
        <w:t xml:space="preserve"> Retrieved from </w:t>
      </w:r>
      <w:hyperlink r:id="rId16" w:history="1">
        <w:r w:rsidRPr="009E62D6">
          <w:rPr>
            <w:rStyle w:val="Hyperlink"/>
            <w:rFonts w:ascii="Times New Roman" w:hAnsi="Times New Roman" w:cs="Times New Roman"/>
            <w:sz w:val="24"/>
            <w:szCs w:val="24"/>
          </w:rPr>
          <w:t>https://www.splcenter.org/f</w:t>
        </w:r>
        <w:r w:rsidRPr="009E62D6">
          <w:rPr>
            <w:rStyle w:val="Hyperlink"/>
            <w:rFonts w:ascii="Times New Roman" w:hAnsi="Times New Roman" w:cs="Times New Roman"/>
            <w:sz w:val="24"/>
            <w:szCs w:val="24"/>
          </w:rPr>
          <w:t>i</w:t>
        </w:r>
        <w:r w:rsidRPr="009E62D6">
          <w:rPr>
            <w:rStyle w:val="Hyperlink"/>
            <w:rFonts w:ascii="Times New Roman" w:hAnsi="Times New Roman" w:cs="Times New Roman"/>
            <w:sz w:val="24"/>
            <w:szCs w:val="24"/>
          </w:rPr>
          <w:t>ghting-hate/intelligence-report/2009/patriot-groups</w:t>
        </w:r>
      </w:hyperlink>
      <w:r>
        <w:rPr>
          <w:rFonts w:ascii="Times New Roman" w:hAnsi="Times New Roman" w:cs="Times New Roman"/>
          <w:sz w:val="24"/>
          <w:szCs w:val="24"/>
        </w:rPr>
        <w:t>.</w:t>
      </w:r>
    </w:p>
    <w:p w:rsidR="009E62D6" w:rsidRPr="009E62D6" w:rsidRDefault="009E62D6" w:rsidP="009E62D6">
      <w:pPr>
        <w:pStyle w:val="NoSpacing"/>
        <w:rPr>
          <w:rFonts w:ascii="Times New Roman" w:hAnsi="Times New Roman" w:cs="Times New Roman"/>
          <w:sz w:val="24"/>
          <w:szCs w:val="24"/>
        </w:rPr>
      </w:pPr>
      <w:r w:rsidRPr="009E62D6">
        <w:rPr>
          <w:rFonts w:ascii="Times New Roman" w:hAnsi="Times New Roman" w:cs="Times New Roman"/>
          <w:sz w:val="24"/>
          <w:szCs w:val="24"/>
        </w:rPr>
        <w:t> </w:t>
      </w:r>
    </w:p>
    <w:p w:rsidR="009E62D6" w:rsidRDefault="009E62D6" w:rsidP="009E62D6">
      <w:pPr>
        <w:pStyle w:val="NoSpacing"/>
        <w:rPr>
          <w:rFonts w:ascii="Times New Roman" w:hAnsi="Times New Roman" w:cs="Times New Roman"/>
          <w:sz w:val="24"/>
          <w:szCs w:val="24"/>
        </w:rPr>
      </w:pPr>
      <w:r w:rsidRPr="009E62D6">
        <w:rPr>
          <w:rFonts w:ascii="Times New Roman" w:hAnsi="Times New Roman" w:cs="Times New Roman"/>
          <w:sz w:val="24"/>
          <w:szCs w:val="24"/>
        </w:rPr>
        <w:t>2007</w:t>
      </w:r>
    </w:p>
    <w:p w:rsidR="009E62D6" w:rsidRPr="009E62D6" w:rsidRDefault="009E62D6" w:rsidP="009E62D6">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Southern Poverty Law Center. </w:t>
      </w:r>
      <w:r>
        <w:rPr>
          <w:rFonts w:ascii="Times New Roman" w:hAnsi="Times New Roman" w:cs="Times New Roman"/>
          <w:bCs/>
          <w:i/>
          <w:sz w:val="24"/>
          <w:szCs w:val="24"/>
        </w:rPr>
        <w:t>‘Patriot’ Groups.</w:t>
      </w:r>
      <w:r>
        <w:rPr>
          <w:rFonts w:ascii="Times New Roman" w:hAnsi="Times New Roman" w:cs="Times New Roman"/>
          <w:bCs/>
          <w:sz w:val="24"/>
          <w:szCs w:val="24"/>
        </w:rPr>
        <w:t xml:space="preserve"> Retrieved from</w:t>
      </w:r>
    </w:p>
    <w:p w:rsidR="009E62D6" w:rsidRPr="009E62D6" w:rsidRDefault="009E62D6" w:rsidP="009E62D6">
      <w:pPr>
        <w:pStyle w:val="NoSpacing"/>
        <w:rPr>
          <w:rFonts w:ascii="Times New Roman" w:hAnsi="Times New Roman" w:cs="Times New Roman"/>
          <w:sz w:val="24"/>
          <w:szCs w:val="24"/>
        </w:rPr>
      </w:pPr>
      <w:hyperlink r:id="rId17" w:history="1">
        <w:r w:rsidRPr="009E62D6">
          <w:rPr>
            <w:rStyle w:val="Hyperlink"/>
            <w:rFonts w:ascii="Times New Roman" w:hAnsi="Times New Roman" w:cs="Times New Roman"/>
            <w:sz w:val="24"/>
            <w:szCs w:val="24"/>
          </w:rPr>
          <w:t>https://www.splcenter.org/fighting</w:t>
        </w:r>
        <w:r w:rsidRPr="009E62D6">
          <w:rPr>
            <w:rStyle w:val="Hyperlink"/>
            <w:rFonts w:ascii="Times New Roman" w:hAnsi="Times New Roman" w:cs="Times New Roman"/>
            <w:sz w:val="24"/>
            <w:szCs w:val="24"/>
          </w:rPr>
          <w:t>-</w:t>
        </w:r>
        <w:r w:rsidRPr="009E62D6">
          <w:rPr>
            <w:rStyle w:val="Hyperlink"/>
            <w:rFonts w:ascii="Times New Roman" w:hAnsi="Times New Roman" w:cs="Times New Roman"/>
            <w:sz w:val="24"/>
            <w:szCs w:val="24"/>
          </w:rPr>
          <w:t>hate/intelligence-report/2008/patriot-groups</w:t>
        </w:r>
      </w:hyperlink>
      <w:r w:rsidR="00E82AC3">
        <w:rPr>
          <w:rFonts w:ascii="Times New Roman" w:hAnsi="Times New Roman" w:cs="Times New Roman"/>
          <w:sz w:val="24"/>
          <w:szCs w:val="24"/>
        </w:rPr>
        <w:t>.</w:t>
      </w:r>
    </w:p>
    <w:p w:rsidR="009E62D6" w:rsidRPr="009E62D6" w:rsidRDefault="009E62D6" w:rsidP="009E62D6">
      <w:pPr>
        <w:pStyle w:val="NoSpacing"/>
        <w:rPr>
          <w:rFonts w:ascii="Times New Roman" w:hAnsi="Times New Roman" w:cs="Times New Roman"/>
          <w:sz w:val="24"/>
          <w:szCs w:val="24"/>
        </w:rPr>
      </w:pPr>
      <w:r w:rsidRPr="009E62D6">
        <w:rPr>
          <w:rFonts w:ascii="Times New Roman" w:hAnsi="Times New Roman" w:cs="Times New Roman"/>
          <w:sz w:val="24"/>
          <w:szCs w:val="24"/>
        </w:rPr>
        <w:t> </w:t>
      </w:r>
    </w:p>
    <w:p w:rsidR="009E62D6" w:rsidRDefault="009E62D6" w:rsidP="009E62D6">
      <w:pPr>
        <w:pStyle w:val="NoSpacing"/>
        <w:rPr>
          <w:rFonts w:ascii="Times New Roman" w:hAnsi="Times New Roman" w:cs="Times New Roman"/>
          <w:sz w:val="24"/>
          <w:szCs w:val="24"/>
        </w:rPr>
      </w:pPr>
      <w:r w:rsidRPr="009E62D6">
        <w:rPr>
          <w:rFonts w:ascii="Times New Roman" w:hAnsi="Times New Roman" w:cs="Times New Roman"/>
          <w:sz w:val="24"/>
          <w:szCs w:val="24"/>
        </w:rPr>
        <w:t>2006</w:t>
      </w:r>
    </w:p>
    <w:p w:rsidR="009E62D6" w:rsidRPr="009E62D6" w:rsidRDefault="009E62D6" w:rsidP="009E62D6">
      <w:pPr>
        <w:pStyle w:val="NoSpacing"/>
        <w:rPr>
          <w:rFonts w:ascii="Times New Roman" w:hAnsi="Times New Roman" w:cs="Times New Roman"/>
          <w:sz w:val="24"/>
          <w:szCs w:val="24"/>
        </w:rPr>
      </w:pPr>
      <w:r>
        <w:rPr>
          <w:rFonts w:ascii="Times New Roman" w:hAnsi="Times New Roman" w:cs="Times New Roman"/>
          <w:sz w:val="24"/>
          <w:szCs w:val="24"/>
        </w:rPr>
        <w:t xml:space="preserve">Southern Poverty Law Center. </w:t>
      </w:r>
      <w:r>
        <w:rPr>
          <w:rFonts w:ascii="Times New Roman" w:hAnsi="Times New Roman" w:cs="Times New Roman"/>
          <w:bCs/>
          <w:i/>
          <w:sz w:val="24"/>
          <w:szCs w:val="24"/>
        </w:rPr>
        <w:t>‘Patriot’ Groups.</w:t>
      </w:r>
      <w:r>
        <w:rPr>
          <w:rFonts w:ascii="Times New Roman" w:hAnsi="Times New Roman" w:cs="Times New Roman"/>
          <w:bCs/>
          <w:sz w:val="24"/>
          <w:szCs w:val="24"/>
        </w:rPr>
        <w:t xml:space="preserve"> Retrieved from</w:t>
      </w:r>
    </w:p>
    <w:p w:rsidR="009E62D6" w:rsidRPr="009E62D6" w:rsidRDefault="009E62D6" w:rsidP="009E62D6">
      <w:pPr>
        <w:pStyle w:val="NoSpacing"/>
        <w:rPr>
          <w:rFonts w:ascii="Times New Roman" w:hAnsi="Times New Roman" w:cs="Times New Roman"/>
          <w:sz w:val="24"/>
          <w:szCs w:val="24"/>
        </w:rPr>
      </w:pPr>
      <w:hyperlink r:id="rId18" w:history="1">
        <w:r w:rsidRPr="009E62D6">
          <w:rPr>
            <w:rStyle w:val="Hyperlink"/>
            <w:rFonts w:ascii="Times New Roman" w:hAnsi="Times New Roman" w:cs="Times New Roman"/>
            <w:sz w:val="24"/>
            <w:szCs w:val="24"/>
          </w:rPr>
          <w:t>https://www.splcenter.org/fighting-hate/intelligence-report/200</w:t>
        </w:r>
        <w:r w:rsidRPr="009E62D6">
          <w:rPr>
            <w:rStyle w:val="Hyperlink"/>
            <w:rFonts w:ascii="Times New Roman" w:hAnsi="Times New Roman" w:cs="Times New Roman"/>
            <w:sz w:val="24"/>
            <w:szCs w:val="24"/>
          </w:rPr>
          <w:t>7</w:t>
        </w:r>
        <w:r w:rsidRPr="009E62D6">
          <w:rPr>
            <w:rStyle w:val="Hyperlink"/>
            <w:rFonts w:ascii="Times New Roman" w:hAnsi="Times New Roman" w:cs="Times New Roman"/>
            <w:sz w:val="24"/>
            <w:szCs w:val="24"/>
          </w:rPr>
          <w:t>/patriot-groups</w:t>
        </w:r>
      </w:hyperlink>
      <w:r w:rsidR="00E82AC3">
        <w:rPr>
          <w:rFonts w:ascii="Times New Roman" w:hAnsi="Times New Roman" w:cs="Times New Roman"/>
          <w:sz w:val="24"/>
          <w:szCs w:val="24"/>
        </w:rPr>
        <w:t>.</w:t>
      </w:r>
    </w:p>
    <w:p w:rsidR="009E62D6" w:rsidRPr="009E62D6" w:rsidRDefault="009E62D6" w:rsidP="009E62D6">
      <w:pPr>
        <w:pStyle w:val="NoSpacing"/>
        <w:rPr>
          <w:rFonts w:ascii="Times New Roman" w:hAnsi="Times New Roman" w:cs="Times New Roman"/>
          <w:sz w:val="24"/>
          <w:szCs w:val="24"/>
        </w:rPr>
      </w:pPr>
      <w:r w:rsidRPr="009E62D6">
        <w:rPr>
          <w:rFonts w:ascii="Times New Roman" w:hAnsi="Times New Roman" w:cs="Times New Roman"/>
          <w:sz w:val="24"/>
          <w:szCs w:val="24"/>
        </w:rPr>
        <w:t> </w:t>
      </w:r>
    </w:p>
    <w:p w:rsidR="009E62D6" w:rsidRDefault="009E62D6" w:rsidP="009E62D6">
      <w:pPr>
        <w:pStyle w:val="NoSpacing"/>
        <w:rPr>
          <w:rFonts w:ascii="Times New Roman" w:hAnsi="Times New Roman" w:cs="Times New Roman"/>
          <w:sz w:val="24"/>
          <w:szCs w:val="24"/>
        </w:rPr>
      </w:pPr>
      <w:r w:rsidRPr="009E62D6">
        <w:rPr>
          <w:rFonts w:ascii="Times New Roman" w:hAnsi="Times New Roman" w:cs="Times New Roman"/>
          <w:sz w:val="24"/>
          <w:szCs w:val="24"/>
        </w:rPr>
        <w:t>2005</w:t>
      </w:r>
    </w:p>
    <w:p w:rsidR="009E62D6" w:rsidRPr="009E62D6" w:rsidRDefault="009E62D6" w:rsidP="009E62D6">
      <w:pPr>
        <w:pStyle w:val="NoSpacing"/>
        <w:rPr>
          <w:rFonts w:ascii="Times New Roman" w:hAnsi="Times New Roman" w:cs="Times New Roman"/>
          <w:sz w:val="24"/>
          <w:szCs w:val="24"/>
        </w:rPr>
      </w:pPr>
      <w:r>
        <w:rPr>
          <w:rFonts w:ascii="Times New Roman" w:hAnsi="Times New Roman" w:cs="Times New Roman"/>
          <w:sz w:val="24"/>
          <w:szCs w:val="24"/>
        </w:rPr>
        <w:t xml:space="preserve">Southern Poverty Law Center. </w:t>
      </w:r>
      <w:r w:rsidRPr="009E62D6">
        <w:rPr>
          <w:rFonts w:ascii="Times New Roman" w:hAnsi="Times New Roman" w:cs="Times New Roman"/>
          <w:i/>
          <w:sz w:val="24"/>
          <w:szCs w:val="24"/>
        </w:rPr>
        <w:t>Active</w:t>
      </w:r>
      <w:r>
        <w:rPr>
          <w:rFonts w:ascii="Times New Roman" w:hAnsi="Times New Roman" w:cs="Times New Roman"/>
          <w:bCs/>
          <w:i/>
          <w:sz w:val="24"/>
          <w:szCs w:val="24"/>
        </w:rPr>
        <w:t xml:space="preserve"> Patriot Groups in 2005.</w:t>
      </w:r>
      <w:r>
        <w:rPr>
          <w:rFonts w:ascii="Times New Roman" w:hAnsi="Times New Roman" w:cs="Times New Roman"/>
          <w:bCs/>
          <w:sz w:val="24"/>
          <w:szCs w:val="24"/>
        </w:rPr>
        <w:t xml:space="preserve"> Retrieved from</w:t>
      </w:r>
    </w:p>
    <w:p w:rsidR="009E62D6" w:rsidRPr="009E62D6" w:rsidRDefault="009E62D6" w:rsidP="009E62D6">
      <w:pPr>
        <w:pStyle w:val="NoSpacing"/>
        <w:rPr>
          <w:rFonts w:ascii="Times New Roman" w:hAnsi="Times New Roman" w:cs="Times New Roman"/>
          <w:sz w:val="24"/>
          <w:szCs w:val="24"/>
        </w:rPr>
      </w:pPr>
      <w:hyperlink r:id="rId19" w:history="1">
        <w:r w:rsidRPr="009E62D6">
          <w:rPr>
            <w:rStyle w:val="Hyperlink"/>
            <w:rFonts w:ascii="Times New Roman" w:hAnsi="Times New Roman" w:cs="Times New Roman"/>
            <w:sz w:val="24"/>
            <w:szCs w:val="24"/>
          </w:rPr>
          <w:t>https://www.splcen</w:t>
        </w:r>
        <w:r w:rsidRPr="009E62D6">
          <w:rPr>
            <w:rStyle w:val="Hyperlink"/>
            <w:rFonts w:ascii="Times New Roman" w:hAnsi="Times New Roman" w:cs="Times New Roman"/>
            <w:sz w:val="24"/>
            <w:szCs w:val="24"/>
          </w:rPr>
          <w:t>t</w:t>
        </w:r>
        <w:r w:rsidRPr="009E62D6">
          <w:rPr>
            <w:rStyle w:val="Hyperlink"/>
            <w:rFonts w:ascii="Times New Roman" w:hAnsi="Times New Roman" w:cs="Times New Roman"/>
            <w:sz w:val="24"/>
            <w:szCs w:val="24"/>
          </w:rPr>
          <w:t>er.org/fighting-hate/intelligence-report/2015/active-patriot-groups-2005</w:t>
        </w:r>
      </w:hyperlink>
      <w:r w:rsidR="00E82AC3">
        <w:rPr>
          <w:rFonts w:ascii="Times New Roman" w:hAnsi="Times New Roman" w:cs="Times New Roman"/>
          <w:sz w:val="24"/>
          <w:szCs w:val="24"/>
        </w:rPr>
        <w:t>.</w:t>
      </w:r>
    </w:p>
    <w:p w:rsidR="009E62D6" w:rsidRPr="009E62D6" w:rsidRDefault="009E62D6" w:rsidP="00A43045">
      <w:pPr>
        <w:pStyle w:val="NoSpacing"/>
        <w:rPr>
          <w:rFonts w:ascii="Times New Roman" w:hAnsi="Times New Roman" w:cs="Times New Roman"/>
          <w:sz w:val="24"/>
          <w:szCs w:val="24"/>
        </w:rPr>
      </w:pPr>
    </w:p>
    <w:sectPr w:rsidR="009E62D6" w:rsidRPr="009E62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80E" w:rsidRDefault="00BD080E" w:rsidP="00C553B4">
      <w:pPr>
        <w:spacing w:after="0" w:line="240" w:lineRule="auto"/>
      </w:pPr>
      <w:r>
        <w:separator/>
      </w:r>
    </w:p>
  </w:endnote>
  <w:endnote w:type="continuationSeparator" w:id="0">
    <w:p w:rsidR="00BD080E" w:rsidRDefault="00BD080E" w:rsidP="00C55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80E" w:rsidRDefault="00BD080E" w:rsidP="00C553B4">
      <w:pPr>
        <w:spacing w:after="0" w:line="240" w:lineRule="auto"/>
      </w:pPr>
      <w:r>
        <w:separator/>
      </w:r>
    </w:p>
  </w:footnote>
  <w:footnote w:type="continuationSeparator" w:id="0">
    <w:p w:rsidR="00BD080E" w:rsidRDefault="00BD080E" w:rsidP="00C553B4">
      <w:pPr>
        <w:spacing w:after="0" w:line="240" w:lineRule="auto"/>
      </w:pPr>
      <w:r>
        <w:continuationSeparator/>
      </w:r>
    </w:p>
  </w:footnote>
  <w:footnote w:id="1">
    <w:p w:rsidR="005D71B0" w:rsidRDefault="005D71B0">
      <w:pPr>
        <w:pStyle w:val="FootnoteText"/>
      </w:pPr>
      <w:r w:rsidRPr="00C553B4">
        <w:rPr>
          <w:rFonts w:ascii="Times New Roman" w:hAnsi="Times New Roman" w:cs="Times New Roman"/>
          <w:vertAlign w:val="superscript"/>
        </w:rPr>
        <w:footnoteRef/>
      </w:r>
      <w:r w:rsidRPr="00C553B4">
        <w:rPr>
          <w:rFonts w:ascii="Times New Roman" w:hAnsi="Times New Roman" w:cs="Times New Roman"/>
        </w:rPr>
        <w:t xml:space="preserve"> It is not uncommon for antigovernment groups to obfuscate membership records for privacy and security reasons, certainly, but also to obscure the magnitude and reach of their activities.</w:t>
      </w:r>
    </w:p>
  </w:footnote>
  <w:footnote w:id="2">
    <w:p w:rsidR="005D71B0" w:rsidRPr="00AB76ED" w:rsidRDefault="005D71B0">
      <w:pPr>
        <w:pStyle w:val="FootnoteText"/>
        <w:rPr>
          <w:rFonts w:ascii="Times New Roman" w:hAnsi="Times New Roman" w:cs="Times New Roman"/>
        </w:rPr>
      </w:pPr>
      <w:r w:rsidRPr="00C553B4">
        <w:rPr>
          <w:rStyle w:val="FootnoteReference"/>
          <w:rFonts w:ascii="Times New Roman" w:hAnsi="Times New Roman" w:cs="Times New Roman"/>
        </w:rPr>
        <w:footnoteRef/>
      </w:r>
      <w:r w:rsidRPr="00C553B4">
        <w:rPr>
          <w:rFonts w:ascii="Times New Roman" w:hAnsi="Times New Roman" w:cs="Times New Roman"/>
        </w:rPr>
        <w:t xml:space="preserve"> </w:t>
      </w:r>
      <w:r>
        <w:rPr>
          <w:rFonts w:ascii="Times New Roman" w:hAnsi="Times New Roman" w:cs="Times New Roman"/>
        </w:rPr>
        <w:t xml:space="preserve">For further discussion about the complications of using SPLC data, please see the Literature Review section of the paper. </w:t>
      </w:r>
      <w:r w:rsidRPr="00921799">
        <w:rPr>
          <w:rFonts w:ascii="Times New Roman" w:hAnsi="Times New Roman" w:cs="Times New Roman"/>
        </w:rPr>
        <w:t>Southern Poverty Law Center</w:t>
      </w:r>
      <w:r>
        <w:rPr>
          <w:rFonts w:ascii="Times New Roman" w:hAnsi="Times New Roman" w:cs="Times New Roman"/>
        </w:rPr>
        <w:t xml:space="preserve">. </w:t>
      </w:r>
      <w:r>
        <w:rPr>
          <w:rFonts w:ascii="Times New Roman" w:hAnsi="Times New Roman" w:cs="Times New Roman"/>
          <w:i/>
        </w:rPr>
        <w:t xml:space="preserve">Active Patriot Groups in the US in 2016. </w:t>
      </w:r>
      <w:r>
        <w:rPr>
          <w:rFonts w:ascii="Times New Roman" w:hAnsi="Times New Roman" w:cs="Times New Roman"/>
        </w:rPr>
        <w:t xml:space="preserve">Retrieved from </w:t>
      </w:r>
      <w:r w:rsidRPr="00921799">
        <w:rPr>
          <w:rFonts w:ascii="Times New Roman" w:hAnsi="Times New Roman" w:cs="Times New Roman"/>
        </w:rPr>
        <w:t xml:space="preserve"> </w:t>
      </w:r>
      <w:hyperlink r:id="rId1" w:history="1">
        <w:r w:rsidRPr="00921799">
          <w:rPr>
            <w:rStyle w:val="Hyperlink"/>
            <w:rFonts w:ascii="Times New Roman" w:hAnsi="Times New Roman" w:cs="Times New Roman"/>
          </w:rPr>
          <w:t>https://www.splcenter.org/fighting-hate/intelligence-report/2017/active-patriot-groups-us-2016</w:t>
        </w:r>
      </w:hyperlink>
      <w:r w:rsidRPr="00921799">
        <w:rPr>
          <w:rFonts w:ascii="Times New Roman" w:hAnsi="Times New Roman" w:cs="Times New Roman"/>
        </w:rPr>
        <w:t xml:space="preserve"> . Accessed April 23, </w:t>
      </w:r>
      <w:r w:rsidRPr="00AB76ED">
        <w:rPr>
          <w:rFonts w:ascii="Times New Roman" w:hAnsi="Times New Roman" w:cs="Times New Roman"/>
        </w:rPr>
        <w:t>2017.</w:t>
      </w:r>
    </w:p>
  </w:footnote>
  <w:footnote w:id="3">
    <w:p w:rsidR="005D71B0" w:rsidRPr="00AB76ED" w:rsidRDefault="005D71B0">
      <w:pPr>
        <w:pStyle w:val="FootnoteText"/>
        <w:rPr>
          <w:rFonts w:ascii="Times New Roman" w:hAnsi="Times New Roman" w:cs="Times New Roman"/>
        </w:rPr>
      </w:pPr>
      <w:r w:rsidRPr="00AB76ED">
        <w:rPr>
          <w:rStyle w:val="FootnoteReference"/>
          <w:rFonts w:ascii="Times New Roman" w:hAnsi="Times New Roman" w:cs="Times New Roman"/>
        </w:rPr>
        <w:footnoteRef/>
      </w:r>
      <w:r w:rsidRPr="00AB76ED">
        <w:rPr>
          <w:rFonts w:ascii="Times New Roman" w:hAnsi="Times New Roman" w:cs="Times New Roman"/>
        </w:rPr>
        <w:t xml:space="preserve"> Attempts to obtain digital records for this data spanning back through 1995 or digital records directly from the SPLC were unsuccessful. Our contact at the SPLC provided SPLC’s digital records for hate groups from 2000-2015, but indicated that the same was not available for militia groups.</w:t>
      </w:r>
      <w:r>
        <w:rPr>
          <w:rFonts w:ascii="Times New Roman" w:hAnsi="Times New Roman" w:cs="Times New Roman"/>
        </w:rPr>
        <w:t xml:space="preserve"> </w:t>
      </w:r>
    </w:p>
  </w:footnote>
  <w:footnote w:id="4">
    <w:p w:rsidR="005D71B0" w:rsidRDefault="005D71B0">
      <w:pPr>
        <w:pStyle w:val="FootnoteText"/>
      </w:pPr>
      <w:r w:rsidRPr="00AB76ED">
        <w:rPr>
          <w:rStyle w:val="FootnoteReference"/>
          <w:rFonts w:ascii="Times New Roman" w:hAnsi="Times New Roman" w:cs="Times New Roman"/>
        </w:rPr>
        <w:footnoteRef/>
      </w:r>
      <w:r w:rsidRPr="00AB76ED">
        <w:rPr>
          <w:rFonts w:ascii="Times New Roman" w:hAnsi="Times New Roman" w:cs="Times New Roman"/>
        </w:rPr>
        <w:t xml:space="preserve"> Options for downloading data can be found through the ACS “Data Tables &amp; Tools” webpage. </w:t>
      </w:r>
      <w:r w:rsidRPr="00AB76ED">
        <w:rPr>
          <w:rFonts w:ascii="Times New Roman" w:hAnsi="Times New Roman" w:cs="Times New Roman"/>
          <w:u w:val="single"/>
        </w:rPr>
        <w:t>https://www.census.gov/acs/www/data/data-tables-and-tools/index.php.</w:t>
      </w:r>
    </w:p>
  </w:footnote>
  <w:footnote w:id="5">
    <w:p w:rsidR="005D71B0" w:rsidRPr="008F782F" w:rsidRDefault="005D71B0">
      <w:pPr>
        <w:pStyle w:val="FootnoteText"/>
        <w:rPr>
          <w:rFonts w:ascii="Times New Roman" w:hAnsi="Times New Roman" w:cs="Times New Roman"/>
        </w:rPr>
      </w:pPr>
      <w:r w:rsidRPr="008F782F">
        <w:rPr>
          <w:rStyle w:val="FootnoteReference"/>
          <w:rFonts w:ascii="Times New Roman" w:hAnsi="Times New Roman" w:cs="Times New Roman"/>
        </w:rPr>
        <w:footnoteRef/>
      </w:r>
      <w:r w:rsidRPr="008F782F">
        <w:rPr>
          <w:rFonts w:ascii="Times New Roman" w:hAnsi="Times New Roman" w:cs="Times New Roman"/>
        </w:rPr>
        <w:t xml:space="preserve"> </w:t>
      </w:r>
      <w:r>
        <w:rPr>
          <w:rFonts w:ascii="Times New Roman" w:hAnsi="Times New Roman" w:cs="Times New Roman"/>
        </w:rPr>
        <w:t xml:space="preserve">Code for this is provided in the “Untitled </w:t>
      </w:r>
      <w:r>
        <w:rPr>
          <w:rFonts w:ascii="Times New Roman" w:hAnsi="Times New Roman" w:cs="Times New Roman"/>
        </w:rPr>
        <w:t xml:space="preserve">1.ipynb” document in the repository. </w:t>
      </w:r>
      <w:r w:rsidRPr="008F782F">
        <w:rPr>
          <w:rFonts w:ascii="Times New Roman" w:hAnsi="Times New Roman" w:cs="Times New Roman"/>
        </w:rPr>
        <w:t xml:space="preserve">U.S. Small Business Administration. “U.S. City &amp; County Web Data API”. Retrieved from </w:t>
      </w:r>
      <w:hyperlink r:id="rId2" w:history="1">
        <w:r w:rsidRPr="000316ED">
          <w:rPr>
            <w:rStyle w:val="Hyperlink"/>
            <w:rFonts w:ascii="Times New Roman" w:hAnsi="Times New Roman" w:cs="Times New Roman"/>
          </w:rPr>
          <w:t>http://api.sba.gov/doc/geodata.html</w:t>
        </w:r>
      </w:hyperlink>
      <w:r w:rsidRPr="008F782F">
        <w:rPr>
          <w:rFonts w:ascii="Times New Roman" w:hAnsi="Times New Roman" w:cs="Times New Roman"/>
          <w:u w:val="single"/>
        </w:rPr>
        <w:t>.</w:t>
      </w:r>
      <w:r>
        <w:rPr>
          <w:rFonts w:ascii="Times New Roman" w:hAnsi="Times New Roman" w:cs="Times New Roman"/>
          <w:u w:val="single"/>
        </w:rPr>
        <w:t xml:space="preserve"> </w:t>
      </w:r>
    </w:p>
  </w:footnote>
  <w:footnote w:id="6">
    <w:p w:rsidR="005D71B0" w:rsidRDefault="005D71B0" w:rsidP="008F782F">
      <w:pPr>
        <w:pStyle w:val="FootnoteText"/>
      </w:pPr>
      <w:r w:rsidRPr="008F782F">
        <w:rPr>
          <w:rStyle w:val="FootnoteReference"/>
          <w:rFonts w:ascii="Times New Roman" w:hAnsi="Times New Roman" w:cs="Times New Roman"/>
        </w:rPr>
        <w:footnoteRef/>
      </w:r>
      <w:r w:rsidRPr="008F782F">
        <w:rPr>
          <w:rFonts w:ascii="Times New Roman" w:hAnsi="Times New Roman" w:cs="Times New Roman"/>
        </w:rPr>
        <w:t xml:space="preserve"> </w:t>
      </w:r>
      <w:proofErr w:type="spellStart"/>
      <w:r w:rsidRPr="008F782F">
        <w:rPr>
          <w:rFonts w:ascii="Times New Roman" w:hAnsi="Times New Roman" w:cs="Times New Roman"/>
        </w:rPr>
        <w:t>Gaslap</w:t>
      </w:r>
      <w:proofErr w:type="spellEnd"/>
      <w:r w:rsidRPr="008F782F">
        <w:rPr>
          <w:rFonts w:ascii="Times New Roman" w:hAnsi="Times New Roman" w:cs="Times New Roman"/>
        </w:rPr>
        <w:t xml:space="preserve"> Media. “</w:t>
      </w:r>
      <w:r w:rsidRPr="008F782F">
        <w:rPr>
          <w:rFonts w:ascii="Times New Roman" w:hAnsi="Times New Roman" w:cs="Times New Roman"/>
          <w:bCs/>
        </w:rPr>
        <w:t xml:space="preserve">DOWNLOAD: ZIP CODE LATITUDE LONGITUDE CITY STATE COUNTY CSV.” Retrieved from </w:t>
      </w:r>
      <w:r w:rsidRPr="008F782F">
        <w:rPr>
          <w:rFonts w:ascii="Times New Roman" w:hAnsi="Times New Roman" w:cs="Times New Roman"/>
          <w:bCs/>
          <w:u w:val="single"/>
        </w:rPr>
        <w:t>https://www.gaslampmedia.com/download-zip-code-latitude-longitude-city-state-county-csv/.</w:t>
      </w:r>
    </w:p>
  </w:footnote>
  <w:footnote w:id="7">
    <w:p w:rsidR="005D71B0" w:rsidRPr="008F782F" w:rsidRDefault="005D71B0">
      <w:pPr>
        <w:pStyle w:val="FootnoteText"/>
        <w:rPr>
          <w:rFonts w:ascii="Times New Roman" w:hAnsi="Times New Roman" w:cs="Times New Roman"/>
        </w:rPr>
      </w:pPr>
      <w:r w:rsidRPr="008F782F">
        <w:rPr>
          <w:rStyle w:val="FootnoteReference"/>
          <w:rFonts w:ascii="Times New Roman" w:hAnsi="Times New Roman" w:cs="Times New Roman"/>
        </w:rPr>
        <w:footnoteRef/>
      </w:r>
      <w:r w:rsidRPr="008F782F">
        <w:rPr>
          <w:rFonts w:ascii="Times New Roman" w:hAnsi="Times New Roman" w:cs="Times New Roman"/>
        </w:rPr>
        <w:t xml:space="preserve"> U.S. Census Bureau. Retrieved from </w:t>
      </w:r>
      <w:r w:rsidRPr="008F782F">
        <w:rPr>
          <w:rFonts w:ascii="Times New Roman" w:hAnsi="Times New Roman" w:cs="Times New Roman"/>
          <w:u w:val="single"/>
        </w:rPr>
        <w:t>https://www2.census.gov/geo/docs/reference/codes/files/national_county.txt.</w:t>
      </w:r>
    </w:p>
  </w:footnote>
  <w:footnote w:id="8">
    <w:p w:rsidR="005D71B0" w:rsidRPr="00CA30A6" w:rsidRDefault="005D71B0">
      <w:pPr>
        <w:pStyle w:val="FootnoteText"/>
        <w:rPr>
          <w:rFonts w:ascii="Times New Roman" w:hAnsi="Times New Roman" w:cs="Times New Roman"/>
        </w:rPr>
      </w:pPr>
      <w:r w:rsidRPr="00CA30A6">
        <w:rPr>
          <w:rStyle w:val="FootnoteReference"/>
          <w:rFonts w:ascii="Times New Roman" w:hAnsi="Times New Roman" w:cs="Times New Roman"/>
        </w:rPr>
        <w:footnoteRef/>
      </w:r>
      <w:r>
        <w:rPr>
          <w:rFonts w:ascii="Times New Roman" w:hAnsi="Times New Roman" w:cs="Times New Roman"/>
        </w:rPr>
        <w:t xml:space="preserve"> For the 2011 year, </w:t>
      </w:r>
      <w:r w:rsidRPr="00CA30A6">
        <w:rPr>
          <w:rFonts w:ascii="Times New Roman" w:hAnsi="Times New Roman" w:cs="Times New Roman"/>
        </w:rPr>
        <w:t xml:space="preserve">both the Constitution Party and Freedom Yell Party in Alabama were counted as chapter locations and erroneously included in the </w:t>
      </w:r>
      <w:r>
        <w:rPr>
          <w:rFonts w:ascii="Times New Roman" w:hAnsi="Times New Roman" w:cs="Times New Roman"/>
        </w:rPr>
        <w:t xml:space="preserve">state and annual </w:t>
      </w:r>
      <w:r w:rsidRPr="00CA30A6">
        <w:rPr>
          <w:rFonts w:ascii="Times New Roman" w:hAnsi="Times New Roman" w:cs="Times New Roman"/>
        </w:rPr>
        <w:t xml:space="preserve">tally. </w:t>
      </w:r>
      <w:r>
        <w:rPr>
          <w:rFonts w:ascii="Times New Roman" w:hAnsi="Times New Roman" w:cs="Times New Roman"/>
        </w:rPr>
        <w:t xml:space="preserve">For the 2015 year, the organizations that were erroneously reported as chapter locations were: </w:t>
      </w:r>
      <w:r w:rsidRPr="00CA30A6">
        <w:rPr>
          <w:rFonts w:ascii="Times New Roman" w:hAnsi="Times New Roman" w:cs="Times New Roman"/>
        </w:rPr>
        <w:t>New Jersey, R.V. Bey Publications; Michigan, We the People, Washington, Washington State Militia</w:t>
      </w:r>
      <w:r>
        <w:rPr>
          <w:rFonts w:ascii="Times New Roman" w:hAnsi="Times New Roman" w:cs="Times New Roman"/>
        </w:rPr>
        <w:t xml:space="preserve">. </w:t>
      </w:r>
    </w:p>
  </w:footnote>
  <w:footnote w:id="9">
    <w:p w:rsidR="00831808" w:rsidRPr="00831808" w:rsidRDefault="00831808">
      <w:pPr>
        <w:pStyle w:val="FootnoteText"/>
        <w:rPr>
          <w:i/>
        </w:rPr>
      </w:pPr>
      <w:r w:rsidRPr="00831808">
        <w:rPr>
          <w:rStyle w:val="FootnoteReference"/>
          <w:rFonts w:ascii="Times New Roman" w:hAnsi="Times New Roman" w:cs="Times New Roman"/>
        </w:rPr>
        <w:footnoteRef/>
      </w:r>
      <w:r w:rsidRPr="00831808">
        <w:rPr>
          <w:rFonts w:ascii="Times New Roman" w:hAnsi="Times New Roman" w:cs="Times New Roman"/>
        </w:rPr>
        <w:t xml:space="preserve"> I conclude this given the fact that </w:t>
      </w:r>
      <w:r w:rsidRPr="00831808">
        <w:rPr>
          <w:rFonts w:ascii="Times New Roman" w:hAnsi="Times New Roman" w:cs="Times New Roman"/>
        </w:rPr>
        <w:t>where there are multiple chapters of an organization within a state, the SPLC has consistently listed each location, every year</w:t>
      </w:r>
      <w:r w:rsidRPr="00831808">
        <w:rPr>
          <w:rFonts w:ascii="Times New Roman" w:hAnsi="Times New Roman" w:cs="Times New Roman"/>
        </w:rPr>
        <w:t xml:space="preserve"> in their </w:t>
      </w:r>
      <w:r w:rsidRPr="00831808">
        <w:rPr>
          <w:rFonts w:ascii="Times New Roman" w:hAnsi="Times New Roman" w:cs="Times New Roman"/>
          <w:i/>
        </w:rPr>
        <w:t>Intelligence Report.</w:t>
      </w:r>
    </w:p>
  </w:footnote>
  <w:footnote w:id="10">
    <w:p w:rsidR="00AB0C08" w:rsidRPr="00B111FF" w:rsidRDefault="00AB0C08">
      <w:pPr>
        <w:pStyle w:val="FootnoteText"/>
        <w:rPr>
          <w:rFonts w:ascii="Times New Roman" w:hAnsi="Times New Roman" w:cs="Times New Roman"/>
        </w:rPr>
      </w:pPr>
      <w:r w:rsidRPr="00B111FF">
        <w:rPr>
          <w:rStyle w:val="FootnoteReference"/>
          <w:rFonts w:ascii="Times New Roman" w:hAnsi="Times New Roman" w:cs="Times New Roman"/>
        </w:rPr>
        <w:footnoteRef/>
      </w:r>
      <w:r w:rsidRPr="00B111FF">
        <w:rPr>
          <w:rFonts w:ascii="Times New Roman" w:hAnsi="Times New Roman" w:cs="Times New Roman"/>
        </w:rPr>
        <w:t xml:space="preserve"> The</w:t>
      </w:r>
      <w:r w:rsidR="00B111FF">
        <w:rPr>
          <w:rFonts w:ascii="Times New Roman" w:hAnsi="Times New Roman" w:cs="Times New Roman"/>
        </w:rPr>
        <w:t xml:space="preserve"> </w:t>
      </w:r>
      <w:r w:rsidRPr="00B111FF">
        <w:rPr>
          <w:rFonts w:ascii="Times New Roman" w:hAnsi="Times New Roman" w:cs="Times New Roman"/>
        </w:rPr>
        <w:t>meaningfulness of the term</w:t>
      </w:r>
      <w:r w:rsidR="00B111FF">
        <w:rPr>
          <w:rFonts w:ascii="Times New Roman" w:hAnsi="Times New Roman" w:cs="Times New Roman"/>
        </w:rPr>
        <w:t xml:space="preserve"> “Statewide”</w:t>
      </w:r>
      <w:r w:rsidRPr="00B111FF">
        <w:rPr>
          <w:rFonts w:ascii="Times New Roman" w:hAnsi="Times New Roman" w:cs="Times New Roman"/>
        </w:rPr>
        <w:t xml:space="preserve"> is highly questionable, especially given the fact that the SPLC reported trends showing a huge spike in antigovernment groups in 2008</w:t>
      </w:r>
      <w:r w:rsidR="00B111FF">
        <w:rPr>
          <w:rFonts w:ascii="Times New Roman" w:hAnsi="Times New Roman" w:cs="Times New Roman"/>
        </w:rPr>
        <w:t>. Indeed, the SPLC and others have made</w:t>
      </w:r>
      <w:r w:rsidRPr="00B111FF">
        <w:rPr>
          <w:rFonts w:ascii="Times New Roman" w:hAnsi="Times New Roman" w:cs="Times New Roman"/>
        </w:rPr>
        <w:t xml:space="preserve"> much hay of this fact. Was this a response to the recent recession? Or perhaps was it related to the social conditions that would bring Barack O</w:t>
      </w:r>
      <w:r w:rsidR="00B111FF">
        <w:rPr>
          <w:rFonts w:ascii="Times New Roman" w:hAnsi="Times New Roman" w:cs="Times New Roman"/>
        </w:rPr>
        <w:t xml:space="preserve">bama to the presidency in 2008? </w:t>
      </w:r>
      <w:r w:rsidR="00B111FF" w:rsidRPr="00B111FF">
        <w:rPr>
          <w:rFonts w:ascii="Times New Roman" w:hAnsi="Times New Roman" w:cs="Times New Roman"/>
        </w:rPr>
        <w:t xml:space="preserve">Because the SPLC is notoriously non-transparent with its data reporting and collecting processes, citing the safety and confidentiality of informants, it is difficult </w:t>
      </w:r>
      <w:r w:rsidR="00B111FF">
        <w:rPr>
          <w:rFonts w:ascii="Times New Roman" w:hAnsi="Times New Roman" w:cs="Times New Roman"/>
        </w:rPr>
        <w:t xml:space="preserve">for us to interrogate what all the parameters of the published data </w:t>
      </w:r>
      <w:r w:rsidR="00B111FF" w:rsidRPr="00B111FF">
        <w:rPr>
          <w:rFonts w:ascii="Times New Roman" w:hAnsi="Times New Roman" w:cs="Times New Roman"/>
        </w:rPr>
        <w:t xml:space="preserve">truly </w:t>
      </w:r>
      <w:r w:rsidR="00B111FF">
        <w:rPr>
          <w:rFonts w:ascii="Times New Roman" w:hAnsi="Times New Roman" w:cs="Times New Roman"/>
        </w:rPr>
        <w:t>are</w:t>
      </w:r>
      <w:r w:rsidR="00B111FF" w:rsidRPr="00B111FF">
        <w:rPr>
          <w:rFonts w:ascii="Times New Roman" w:hAnsi="Times New Roman" w:cs="Times New Roman"/>
        </w:rPr>
        <w:t xml:space="preserve">. However, this </w:t>
      </w:r>
      <w:r w:rsidR="00B111FF">
        <w:rPr>
          <w:rFonts w:ascii="Times New Roman" w:hAnsi="Times New Roman" w:cs="Times New Roman"/>
        </w:rPr>
        <w:t xml:space="preserve">presents an opportunity for leverage: </w:t>
      </w:r>
      <w:r w:rsidR="00B111FF" w:rsidRPr="00B111FF">
        <w:rPr>
          <w:rFonts w:ascii="Times New Roman" w:hAnsi="Times New Roman" w:cs="Times New Roman"/>
        </w:rPr>
        <w:t xml:space="preserve">any </w:t>
      </w:r>
      <w:r w:rsidR="00B111FF" w:rsidRPr="00B111FF">
        <w:rPr>
          <w:rFonts w:ascii="Times New Roman" w:hAnsi="Times New Roman" w:cs="Times New Roman"/>
        </w:rPr>
        <w:t xml:space="preserve">analysis that chooses to </w:t>
      </w:r>
      <w:r w:rsidR="00B111FF">
        <w:rPr>
          <w:rFonts w:ascii="Times New Roman" w:hAnsi="Times New Roman" w:cs="Times New Roman"/>
        </w:rPr>
        <w:t xml:space="preserve">compare the inclusion and exclusion </w:t>
      </w:r>
      <w:r w:rsidR="00B111FF" w:rsidRPr="00B111FF">
        <w:rPr>
          <w:rFonts w:ascii="Times New Roman" w:hAnsi="Times New Roman" w:cs="Times New Roman"/>
        </w:rPr>
        <w:t>of</w:t>
      </w:r>
      <w:r w:rsidR="00B111FF">
        <w:rPr>
          <w:rFonts w:ascii="Times New Roman" w:hAnsi="Times New Roman" w:cs="Times New Roman"/>
          <w:i/>
        </w:rPr>
        <w:t xml:space="preserve"> </w:t>
      </w:r>
      <w:r w:rsidR="00B111FF" w:rsidRPr="00B111FF">
        <w:rPr>
          <w:rFonts w:ascii="Times New Roman" w:hAnsi="Times New Roman" w:cs="Times New Roman"/>
        </w:rPr>
        <w:t>records with the term “Statewide</w:t>
      </w:r>
      <w:r w:rsidR="00B111FF" w:rsidRPr="00B111FF">
        <w:rPr>
          <w:rFonts w:ascii="Times New Roman" w:hAnsi="Times New Roman" w:cs="Times New Roman"/>
        </w:rPr>
        <w:t xml:space="preserve">” might </w:t>
      </w:r>
      <w:r w:rsidR="00B111FF">
        <w:rPr>
          <w:rFonts w:ascii="Times New Roman" w:hAnsi="Times New Roman" w:cs="Times New Roman"/>
        </w:rPr>
        <w:t xml:space="preserve">identify </w:t>
      </w:r>
      <w:r w:rsidR="00B111FF" w:rsidRPr="00B111FF">
        <w:rPr>
          <w:rFonts w:ascii="Times New Roman" w:hAnsi="Times New Roman" w:cs="Times New Roman"/>
        </w:rPr>
        <w:t xml:space="preserve">how outcomes </w:t>
      </w:r>
      <w:r w:rsidR="00B111FF">
        <w:rPr>
          <w:rFonts w:ascii="Times New Roman" w:hAnsi="Times New Roman" w:cs="Times New Roman"/>
        </w:rPr>
        <w:t xml:space="preserve">can </w:t>
      </w:r>
      <w:r w:rsidR="00B111FF" w:rsidRPr="00B111FF">
        <w:rPr>
          <w:rFonts w:ascii="Times New Roman" w:hAnsi="Times New Roman" w:cs="Times New Roman"/>
        </w:rPr>
        <w:t xml:space="preserve">vary </w:t>
      </w:r>
      <w:r w:rsidR="00B111FF">
        <w:rPr>
          <w:rFonts w:ascii="Times New Roman" w:hAnsi="Times New Roman" w:cs="Times New Roman"/>
        </w:rPr>
        <w:t xml:space="preserve">drastically </w:t>
      </w:r>
      <w:r w:rsidR="00B111FF" w:rsidRPr="00B111FF">
        <w:rPr>
          <w:rFonts w:ascii="Times New Roman" w:hAnsi="Times New Roman" w:cs="Times New Roman"/>
        </w:rPr>
        <w:t xml:space="preserve">depending on whether </w:t>
      </w:r>
      <w:r w:rsidR="00B111FF">
        <w:rPr>
          <w:rFonts w:ascii="Times New Roman" w:hAnsi="Times New Roman" w:cs="Times New Roman"/>
        </w:rPr>
        <w:t>these “Statewide” records are omitted from the analysis or not.</w:t>
      </w:r>
    </w:p>
  </w:footnote>
  <w:footnote w:id="11">
    <w:p w:rsidR="00DE5B53" w:rsidRPr="00DE5B53" w:rsidRDefault="00DE5B53">
      <w:pPr>
        <w:pStyle w:val="FootnoteText"/>
        <w:rPr>
          <w:rFonts w:ascii="Times New Roman" w:hAnsi="Times New Roman" w:cs="Times New Roman"/>
        </w:rPr>
      </w:pPr>
      <w:r w:rsidRPr="00DE5B53">
        <w:rPr>
          <w:rStyle w:val="FootnoteReference"/>
          <w:rFonts w:ascii="Times New Roman" w:hAnsi="Times New Roman" w:cs="Times New Roman"/>
        </w:rPr>
        <w:footnoteRef/>
      </w:r>
      <w:r w:rsidRPr="00DE5B53">
        <w:rPr>
          <w:rFonts w:ascii="Times New Roman" w:hAnsi="Times New Roman" w:cs="Times New Roman"/>
        </w:rPr>
        <w:t xml:space="preserve"> As discussed above, antigovernment groups in this model would only be those which specifically have </w:t>
      </w:r>
      <w:r w:rsidRPr="00DE5B53">
        <w:rPr>
          <w:rFonts w:ascii="Times New Roman" w:hAnsi="Times New Roman" w:cs="Times New Roman"/>
        </w:rPr>
        <w:t>a distinguishable physical foci of activity, as evidenced by the SPLC’s ability to pinpoint a city or county location for the organization.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43246"/>
    <w:multiLevelType w:val="hybridMultilevel"/>
    <w:tmpl w:val="A5AC2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045"/>
    <w:rsid w:val="000D23C9"/>
    <w:rsid w:val="001110CF"/>
    <w:rsid w:val="0015288D"/>
    <w:rsid w:val="002B7C77"/>
    <w:rsid w:val="003B4440"/>
    <w:rsid w:val="003E1C3F"/>
    <w:rsid w:val="0045135C"/>
    <w:rsid w:val="004C255F"/>
    <w:rsid w:val="005123DE"/>
    <w:rsid w:val="00535DA9"/>
    <w:rsid w:val="0055262D"/>
    <w:rsid w:val="005D71B0"/>
    <w:rsid w:val="005F2780"/>
    <w:rsid w:val="006842CA"/>
    <w:rsid w:val="00712266"/>
    <w:rsid w:val="0076485F"/>
    <w:rsid w:val="007F4818"/>
    <w:rsid w:val="007F77D3"/>
    <w:rsid w:val="00831808"/>
    <w:rsid w:val="00855814"/>
    <w:rsid w:val="008B6798"/>
    <w:rsid w:val="008F782F"/>
    <w:rsid w:val="00987CEF"/>
    <w:rsid w:val="009E62D6"/>
    <w:rsid w:val="00A05B18"/>
    <w:rsid w:val="00A43045"/>
    <w:rsid w:val="00A94D6A"/>
    <w:rsid w:val="00AB0C08"/>
    <w:rsid w:val="00AB42D0"/>
    <w:rsid w:val="00AB76ED"/>
    <w:rsid w:val="00B02DB6"/>
    <w:rsid w:val="00B111FF"/>
    <w:rsid w:val="00BD080E"/>
    <w:rsid w:val="00BD0EA4"/>
    <w:rsid w:val="00C553B4"/>
    <w:rsid w:val="00C96005"/>
    <w:rsid w:val="00CA30A6"/>
    <w:rsid w:val="00CA5822"/>
    <w:rsid w:val="00CC3B13"/>
    <w:rsid w:val="00DE5B53"/>
    <w:rsid w:val="00E82AC3"/>
    <w:rsid w:val="00E87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CA486"/>
  <w15:chartTrackingRefBased/>
  <w15:docId w15:val="{0E0EDFE6-7A34-4D5D-B562-13862F15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2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3045"/>
    <w:pPr>
      <w:spacing w:after="0" w:line="240" w:lineRule="auto"/>
    </w:pPr>
  </w:style>
  <w:style w:type="paragraph" w:styleId="FootnoteText">
    <w:name w:val="footnote text"/>
    <w:basedOn w:val="Normal"/>
    <w:link w:val="FootnoteTextChar"/>
    <w:uiPriority w:val="99"/>
    <w:semiHidden/>
    <w:unhideWhenUsed/>
    <w:rsid w:val="00C553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53B4"/>
    <w:rPr>
      <w:sz w:val="20"/>
      <w:szCs w:val="20"/>
    </w:rPr>
  </w:style>
  <w:style w:type="character" w:styleId="FootnoteReference">
    <w:name w:val="footnote reference"/>
    <w:basedOn w:val="DefaultParagraphFont"/>
    <w:uiPriority w:val="99"/>
    <w:semiHidden/>
    <w:unhideWhenUsed/>
    <w:rsid w:val="00C553B4"/>
    <w:rPr>
      <w:vertAlign w:val="superscript"/>
    </w:rPr>
  </w:style>
  <w:style w:type="character" w:styleId="Hyperlink">
    <w:name w:val="Hyperlink"/>
    <w:basedOn w:val="DefaultParagraphFont"/>
    <w:uiPriority w:val="99"/>
    <w:unhideWhenUsed/>
    <w:rsid w:val="00C553B4"/>
    <w:rPr>
      <w:color w:val="0563C1" w:themeColor="hyperlink"/>
      <w:u w:val="single"/>
    </w:rPr>
  </w:style>
  <w:style w:type="character" w:styleId="Mention">
    <w:name w:val="Mention"/>
    <w:basedOn w:val="DefaultParagraphFont"/>
    <w:uiPriority w:val="99"/>
    <w:semiHidden/>
    <w:unhideWhenUsed/>
    <w:rsid w:val="009E62D6"/>
    <w:rPr>
      <w:color w:val="2B579A"/>
      <w:shd w:val="clear" w:color="auto" w:fill="E6E6E6"/>
    </w:rPr>
  </w:style>
  <w:style w:type="character" w:styleId="FollowedHyperlink">
    <w:name w:val="FollowedHyperlink"/>
    <w:basedOn w:val="DefaultParagraphFont"/>
    <w:uiPriority w:val="99"/>
    <w:semiHidden/>
    <w:unhideWhenUsed/>
    <w:rsid w:val="009E62D6"/>
    <w:rPr>
      <w:color w:val="954F72" w:themeColor="followedHyperlink"/>
      <w:u w:val="single"/>
    </w:rPr>
  </w:style>
  <w:style w:type="character" w:customStyle="1" w:styleId="Heading1Char">
    <w:name w:val="Heading 1 Char"/>
    <w:basedOn w:val="DefaultParagraphFont"/>
    <w:link w:val="Heading1"/>
    <w:uiPriority w:val="9"/>
    <w:rsid w:val="009E62D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A5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1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1FF"/>
  </w:style>
  <w:style w:type="paragraph" w:styleId="Footer">
    <w:name w:val="footer"/>
    <w:basedOn w:val="Normal"/>
    <w:link w:val="FooterChar"/>
    <w:uiPriority w:val="99"/>
    <w:unhideWhenUsed/>
    <w:rsid w:val="00B11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1FF"/>
  </w:style>
  <w:style w:type="paragraph" w:styleId="ListParagraph">
    <w:name w:val="List Paragraph"/>
    <w:basedOn w:val="Normal"/>
    <w:uiPriority w:val="34"/>
    <w:qFormat/>
    <w:rsid w:val="00A94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379996">
      <w:bodyDiv w:val="1"/>
      <w:marLeft w:val="0"/>
      <w:marRight w:val="0"/>
      <w:marTop w:val="0"/>
      <w:marBottom w:val="0"/>
      <w:divBdr>
        <w:top w:val="none" w:sz="0" w:space="0" w:color="auto"/>
        <w:left w:val="none" w:sz="0" w:space="0" w:color="auto"/>
        <w:bottom w:val="none" w:sz="0" w:space="0" w:color="auto"/>
        <w:right w:val="none" w:sz="0" w:space="0" w:color="auto"/>
      </w:divBdr>
    </w:div>
    <w:div w:id="421217916">
      <w:bodyDiv w:val="1"/>
      <w:marLeft w:val="0"/>
      <w:marRight w:val="0"/>
      <w:marTop w:val="0"/>
      <w:marBottom w:val="0"/>
      <w:divBdr>
        <w:top w:val="none" w:sz="0" w:space="0" w:color="auto"/>
        <w:left w:val="none" w:sz="0" w:space="0" w:color="auto"/>
        <w:bottom w:val="none" w:sz="0" w:space="0" w:color="auto"/>
        <w:right w:val="none" w:sz="0" w:space="0" w:color="auto"/>
      </w:divBdr>
    </w:div>
    <w:div w:id="425230139">
      <w:bodyDiv w:val="1"/>
      <w:marLeft w:val="0"/>
      <w:marRight w:val="0"/>
      <w:marTop w:val="0"/>
      <w:marBottom w:val="0"/>
      <w:divBdr>
        <w:top w:val="none" w:sz="0" w:space="0" w:color="auto"/>
        <w:left w:val="none" w:sz="0" w:space="0" w:color="auto"/>
        <w:bottom w:val="none" w:sz="0" w:space="0" w:color="auto"/>
        <w:right w:val="none" w:sz="0" w:space="0" w:color="auto"/>
      </w:divBdr>
    </w:div>
    <w:div w:id="564343323">
      <w:bodyDiv w:val="1"/>
      <w:marLeft w:val="0"/>
      <w:marRight w:val="0"/>
      <w:marTop w:val="0"/>
      <w:marBottom w:val="0"/>
      <w:divBdr>
        <w:top w:val="none" w:sz="0" w:space="0" w:color="auto"/>
        <w:left w:val="none" w:sz="0" w:space="0" w:color="auto"/>
        <w:bottom w:val="none" w:sz="0" w:space="0" w:color="auto"/>
        <w:right w:val="none" w:sz="0" w:space="0" w:color="auto"/>
      </w:divBdr>
    </w:div>
    <w:div w:id="1333098205">
      <w:bodyDiv w:val="1"/>
      <w:marLeft w:val="0"/>
      <w:marRight w:val="0"/>
      <w:marTop w:val="0"/>
      <w:marBottom w:val="0"/>
      <w:divBdr>
        <w:top w:val="none" w:sz="0" w:space="0" w:color="auto"/>
        <w:left w:val="none" w:sz="0" w:space="0" w:color="auto"/>
        <w:bottom w:val="none" w:sz="0" w:space="0" w:color="auto"/>
        <w:right w:val="none" w:sz="0" w:space="0" w:color="auto"/>
      </w:divBdr>
    </w:div>
    <w:div w:id="1628701724">
      <w:bodyDiv w:val="1"/>
      <w:marLeft w:val="0"/>
      <w:marRight w:val="0"/>
      <w:marTop w:val="0"/>
      <w:marBottom w:val="0"/>
      <w:divBdr>
        <w:top w:val="none" w:sz="0" w:space="0" w:color="auto"/>
        <w:left w:val="none" w:sz="0" w:space="0" w:color="auto"/>
        <w:bottom w:val="none" w:sz="0" w:space="0" w:color="auto"/>
        <w:right w:val="none" w:sz="0" w:space="0" w:color="auto"/>
      </w:divBdr>
    </w:div>
    <w:div w:id="1875842716">
      <w:bodyDiv w:val="1"/>
      <w:marLeft w:val="0"/>
      <w:marRight w:val="0"/>
      <w:marTop w:val="0"/>
      <w:marBottom w:val="0"/>
      <w:divBdr>
        <w:top w:val="none" w:sz="0" w:space="0" w:color="auto"/>
        <w:left w:val="none" w:sz="0" w:space="0" w:color="auto"/>
        <w:bottom w:val="none" w:sz="0" w:space="0" w:color="auto"/>
        <w:right w:val="none" w:sz="0" w:space="0" w:color="auto"/>
      </w:divBdr>
    </w:div>
    <w:div w:id="1935817477">
      <w:bodyDiv w:val="1"/>
      <w:marLeft w:val="0"/>
      <w:marRight w:val="0"/>
      <w:marTop w:val="0"/>
      <w:marBottom w:val="0"/>
      <w:divBdr>
        <w:top w:val="none" w:sz="0" w:space="0" w:color="auto"/>
        <w:left w:val="none" w:sz="0" w:space="0" w:color="auto"/>
        <w:bottom w:val="none" w:sz="0" w:space="0" w:color="auto"/>
        <w:right w:val="none" w:sz="0" w:space="0" w:color="auto"/>
      </w:divBdr>
    </w:div>
    <w:div w:id="197876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lcenter.org/fighting-hate/intelligence-report/2017/active-patriot-groups-us-2016" TargetMode="External"/><Relationship Id="rId13" Type="http://schemas.openxmlformats.org/officeDocument/2006/relationships/hyperlink" Target="https://www.splcenter.org/fighting-hate/intelligence-report/2012/active-%E2%80%98patriot%E2%80%99-groups-united-states-2011" TargetMode="External"/><Relationship Id="rId18" Type="http://schemas.openxmlformats.org/officeDocument/2006/relationships/hyperlink" Target="https://www.splcenter.org/fighting-hate/intelligence-report/2007/patriot-group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plcenter.org/fighting-hate/intelligence-report/2013/active-%E2%80%98patriot%E2%80%99-groups-united-states-2012" TargetMode="External"/><Relationship Id="rId17" Type="http://schemas.openxmlformats.org/officeDocument/2006/relationships/hyperlink" Target="https://www.splcenter.org/fighting-hate/intelligence-report/2008/patriot-groups" TargetMode="External"/><Relationship Id="rId2" Type="http://schemas.openxmlformats.org/officeDocument/2006/relationships/numbering" Target="numbering.xml"/><Relationship Id="rId16" Type="http://schemas.openxmlformats.org/officeDocument/2006/relationships/hyperlink" Target="https://www.splcenter.org/fighting-hate/intelligence-report/2009/patriot-group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plcenter.org/sites/default/files/d6_legacy_files/active_patriot_groups.pdf" TargetMode="External"/><Relationship Id="rId5" Type="http://schemas.openxmlformats.org/officeDocument/2006/relationships/webSettings" Target="webSettings.xml"/><Relationship Id="rId15" Type="http://schemas.openxmlformats.org/officeDocument/2006/relationships/hyperlink" Target="https://www.splcenter.org/fighting-hate/intelligence-report/2010/active-patriot-groups-united-states-2009" TargetMode="External"/><Relationship Id="rId10" Type="http://schemas.openxmlformats.org/officeDocument/2006/relationships/hyperlink" Target="https://www.splcenter.org/sites/default/files/antigovernment-groups-2014_splc.pdf" TargetMode="External"/><Relationship Id="rId19" Type="http://schemas.openxmlformats.org/officeDocument/2006/relationships/hyperlink" Target="https://www.splcenter.org/fighting-hate/intelligence-report/2015/active-patriot-groups-2005" TargetMode="External"/><Relationship Id="rId4" Type="http://schemas.openxmlformats.org/officeDocument/2006/relationships/settings" Target="settings.xml"/><Relationship Id="rId9" Type="http://schemas.openxmlformats.org/officeDocument/2006/relationships/hyperlink" Target="https://www.splcenter.org/active-antigovernment-groups-united-states" TargetMode="External"/><Relationship Id="rId14" Type="http://schemas.openxmlformats.org/officeDocument/2006/relationships/hyperlink" Target="https://www.splcenter.org/fighting-hate/intelligence-report/2011/active-%E2%80%98patriot%E2%80%99-groups-united-states-2010"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api.sba.gov/doc/geodata.html" TargetMode="External"/><Relationship Id="rId1" Type="http://schemas.openxmlformats.org/officeDocument/2006/relationships/hyperlink" Target="https://www.splcenter.org/fighting-hate/intelligence-report/2017/active-patriot-groups-us-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E74E7-53C8-49A5-B95E-41305E4A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8</Pages>
  <Words>2507</Words>
  <Characters>14292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Tung</dc:creator>
  <cp:keywords/>
  <dc:description/>
  <cp:lastModifiedBy>Joanna Tung</cp:lastModifiedBy>
  <cp:revision>11</cp:revision>
  <dcterms:created xsi:type="dcterms:W3CDTF">2017-05-17T11:10:00Z</dcterms:created>
  <dcterms:modified xsi:type="dcterms:W3CDTF">2017-05-17T16:08:00Z</dcterms:modified>
</cp:coreProperties>
</file>