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2714E"/>
          <w:sz w:val="40"/>
          <w:szCs w:val="40"/>
        </w:rPr>
        <w:t xml:space="preserve">MISA Intelligence API</w:t>
      </w:r>
    </w:p>
    <w:p>
      <w:pPr>
        <w:spacing w:after="60"/>
      </w:pPr>
      <w:r>
        <w:rPr>
          <w:rFonts w:ascii="Calibri" w:cs="Calibri" w:eastAsia="Calibri" w:hAnsi="Calibri"/>
          <w:b/>
          <w:bCs/>
          <w:sz w:val="26"/>
          <w:szCs w:val="26"/>
        </w:rPr>
        <w:t xml:space="preserve">Deployment Change Log and Readiness Notes</w:t>
      </w:r>
    </w:p>
    <w:p>
      <w:pPr>
        <w:pBdr>
          <w:bottom w:val="single" w:color="02714E" w:sz="8"/>
        </w:pBdr>
        <w:spacing w:after="200"/>
      </w:pPr>
      <w:r>
        <w:rPr>
          <w:rFonts w:ascii="Calibri" w:cs="Calibri" w:eastAsia="Calibri" w:hAnsi="Calibri"/>
          <w:color w:val="666666"/>
          <w:sz w:val="20"/>
          <w:szCs w:val="20"/>
        </w:rPr>
        <w:t xml:space="preserve">Prepared 26 July 2026 · For the deployment team</w:t>
      </w:r>
    </w:p>
    <w:p>
      <w:pPr>
        <w:pStyle w:val="Heading1"/>
        <w:spacing w:after="120" w:before="300"/>
      </w:pPr>
      <w:r>
        <w:rPr>
          <w:rFonts w:ascii="Calibri" w:cs="Calibri" w:eastAsia="Calibri" w:hAnsi="Calibri"/>
          <w:b/>
          <w:bCs/>
          <w:color w:val="02714E"/>
          <w:sz w:val="30"/>
          <w:szCs w:val="30"/>
        </w:rPr>
        <w:t xml:space="preserve">1. Summary</w:t>
      </w:r>
    </w:p>
    <w:p>
      <w:pPr>
        <w:spacing w:after="120"/>
      </w:pPr>
      <w:r>
        <w:rPr>
          <w:rFonts w:ascii="Calibri" w:cs="Calibri" w:eastAsia="Calibri" w:hAnsi="Calibri"/>
          <w:sz w:val="21"/>
          <w:szCs w:val="21"/>
        </w:rPr>
        <w:t xml:space="preserve">This document lists the changes delivered in the recent builds so the deployment team can promote them with full context. It covers the baseline feature set consolidated in the 17 to 21 July build, the Ollama data residency work of 22 to 23 July (separate code line, see section 7), and the changes completed on 26 July: an automatic document classification gate, a mandatory upload consent declaration, a malware scanner accuracy fix, configurable upload size limits, and a fully green, environment independent test suite.</w:t>
      </w:r>
    </w:p>
    <w:p>
      <w:pPr>
        <w:spacing w:after="120"/>
      </w:pPr>
      <w:r>
        <w:rPr>
          <w:rFonts w:ascii="Calibri" w:cs="Calibri" w:eastAsia="Calibri" w:hAnsi="Calibri"/>
          <w:b/>
          <w:bCs/>
          <w:sz w:val="21"/>
          <w:szCs w:val="21"/>
        </w:rPr>
        <w:t xml:space="preserve">Readiness status at the time of writing:</w:t>
      </w:r>
    </w:p>
    <w:p>
      <w:pPr>
        <w:pStyle w:val="ListParagraph"/>
        <w:numPr>
          <w:ilvl w:val="0"/>
          <w:numId w:val="2"/>
        </w:numPr>
        <w:spacing w:after="60"/>
      </w:pPr>
      <w:r>
        <w:rPr>
          <w:rFonts w:ascii="Calibri" w:cs="Calibri" w:eastAsia="Calibri" w:hAnsi="Calibri"/>
          <w:sz w:val="21"/>
          <w:szCs w:val="21"/>
        </w:rPr>
        <w:t xml:space="preserve">Full test suite: 718 passed, 0 failed.</w:t>
      </w:r>
    </w:p>
    <w:p>
      <w:pPr>
        <w:pStyle w:val="ListParagraph"/>
        <w:numPr>
          <w:ilvl w:val="0"/>
          <w:numId w:val="2"/>
        </w:numPr>
        <w:spacing w:after="60"/>
      </w:pPr>
      <w:r>
        <w:rPr>
          <w:rFonts w:ascii="Calibri" w:cs="Calibri" w:eastAsia="Calibri" w:hAnsi="Calibri"/>
          <w:sz w:val="21"/>
          <w:szCs w:val="21"/>
        </w:rPr>
        <w:t xml:space="preserve">Ruff lint: clean across app/, tests/ and scripts/ (the CI hard gate covers app/ and tests/).</w:t>
      </w:r>
    </w:p>
    <w:p>
      <w:pPr>
        <w:pStyle w:val="ListParagraph"/>
        <w:numPr>
          <w:ilvl w:val="0"/>
          <w:numId w:val="2"/>
        </w:numPr>
        <w:spacing w:after="60"/>
      </w:pPr>
      <w:r>
        <w:rPr>
          <w:rFonts w:ascii="Calibri" w:cs="Calibri" w:eastAsia="Calibri" w:hAnsi="Calibri"/>
          <w:sz w:val="21"/>
          <w:szCs w:val="21"/>
        </w:rPr>
        <w:t xml:space="preserve">Production boot checks (validate_security_config) enforce auth, CORS allowlist, malware backend, docs off and JWT secret strength; misconfiguration refuses to boot.</w:t>
      </w:r>
    </w:p>
    <w:p>
      <w:pPr>
        <w:pStyle w:val="ListParagraph"/>
        <w:numPr>
          <w:ilvl w:val="0"/>
          <w:numId w:val="2"/>
        </w:numPr>
        <w:spacing w:after="60"/>
      </w:pPr>
      <w:r>
        <w:rPr>
          <w:rFonts w:ascii="Calibri" w:cs="Calibri" w:eastAsia="Calibri" w:hAnsi="Calibri"/>
          <w:sz w:val="21"/>
          <w:szCs w:val="21"/>
        </w:rPr>
        <w:t xml:space="preserve">env.sample updated with the two new size variables and their recommended values.</w:t>
      </w:r>
    </w:p>
    <w:p>
      <w:pPr>
        <w:pStyle w:val="Heading1"/>
        <w:spacing w:after="120" w:before="300"/>
      </w:pPr>
      <w:r>
        <w:rPr>
          <w:rFonts w:ascii="Calibri" w:cs="Calibri" w:eastAsia="Calibri" w:hAnsi="Calibri"/>
          <w:b/>
          <w:bCs/>
          <w:color w:val="02714E"/>
          <w:sz w:val="30"/>
          <w:szCs w:val="30"/>
        </w:rPr>
        <w:t xml:space="preserve">2. Baseline build: 17 to 21 July 2026</w:t>
      </w:r>
    </w:p>
    <w:p>
      <w:pPr>
        <w:spacing w:after="120"/>
      </w:pPr>
      <w:r>
        <w:rPr>
          <w:rFonts w:ascii="Calibri" w:cs="Calibri" w:eastAsia="Calibri" w:hAnsi="Calibri"/>
          <w:sz w:val="21"/>
          <w:szCs w:val="21"/>
        </w:rPr>
        <w:t xml:space="preserve">Feature set consolidated into the build handed over on 21 July. Listed by area rather than by individual change.</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gridCol w:w="4800"/>
      </w:tblGrid>
      <w:tr>
        <w:trPr>
          <w:tblHeader/>
        </w:trPr>
        <w:tc>
          <w:tcPr>
            <w:tcW w:type="dxa" w:w="2600"/>
            <w:shd w:fill="02714E" w:val="clear"/>
            <w:tcMar>
              <w:top w:type="dxa" w:w="80"/>
              <w:left w:type="dxa" w:w="100"/>
              <w:bottom w:type="dxa" w:w="80"/>
              <w:right w:type="dxa" w:w="100"/>
            </w:tcMar>
          </w:tcPr>
          <w:p>
            <w:r>
              <w:rPr>
                <w:rFonts w:ascii="Calibri" w:cs="Calibri" w:eastAsia="Calibri" w:hAnsi="Calibri"/>
                <w:b/>
                <w:bCs/>
                <w:color w:val="FFFFFF"/>
                <w:sz w:val="20"/>
                <w:szCs w:val="20"/>
              </w:rPr>
              <w:t xml:space="preserve">Area</w:t>
            </w:r>
          </w:p>
        </w:tc>
        <w:tc>
          <w:tcPr>
            <w:tcW w:type="dxa" w:w="7400"/>
            <w:shd w:fill="02714E" w:val="clear"/>
            <w:tcMar>
              <w:top w:type="dxa" w:w="80"/>
              <w:left w:type="dxa" w:w="100"/>
              <w:bottom w:type="dxa" w:w="80"/>
              <w:right w:type="dxa" w:w="100"/>
            </w:tcMar>
          </w:tcPr>
          <w:p>
            <w:r>
              <w:rPr>
                <w:rFonts w:ascii="Calibri" w:cs="Calibri" w:eastAsia="Calibri" w:hAnsi="Calibri"/>
                <w:b/>
                <w:bCs/>
                <w:color w:val="FFFFFF"/>
                <w:sz w:val="20"/>
                <w:szCs w:val="20"/>
              </w:rPr>
              <w:t xml:space="preserve">What it does</w:t>
            </w:r>
          </w:p>
        </w:tc>
        <w:tc>
          <w:tcPr>
            <w:tcW w:type="dxa" w:w="4800"/>
            <w:shd w:fill="02714E" w:val="clear"/>
            <w:tcMar>
              <w:top w:type="dxa" w:w="80"/>
              <w:left w:type="dxa" w:w="100"/>
              <w:bottom w:type="dxa" w:w="80"/>
              <w:right w:type="dxa" w:w="100"/>
            </w:tcMar>
          </w:tcPr>
          <w:p>
            <w:r>
              <w:rPr>
                <w:rFonts w:ascii="Calibri" w:cs="Calibri" w:eastAsia="Calibri" w:hAnsi="Calibri"/>
                <w:b/>
                <w:bCs/>
                <w:color w:val="FFFFFF"/>
                <w:sz w:val="20"/>
                <w:szCs w:val="20"/>
              </w:rPr>
              <w:t xml:space="preserve">Deployment notes</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Authentication and access control</w:t>
            </w:r>
          </w:p>
        </w:tc>
        <w:tc>
          <w:tcPr>
            <w:tcW w:type="dxa" w:w="7400"/>
            <w:tcMar>
              <w:top w:type="dxa" w:w="60"/>
              <w:left w:type="dxa" w:w="100"/>
              <w:bottom w:type="dxa" w:w="60"/>
              <w:right w:type="dxa" w:w="100"/>
            </w:tcMar>
          </w:tcPr>
          <w:p>
            <w:r>
              <w:rPr>
                <w:rFonts w:ascii="Calibri" w:cs="Calibri" w:eastAsia="Calibri" w:hAnsi="Calibri"/>
                <w:b w:val="false"/>
                <w:bCs w:val="false"/>
                <w:sz w:val="19"/>
                <w:szCs w:val="19"/>
              </w:rPr>
              <w:t xml:space="preserve">JWT bearer authentication with login and refresh endpoints, named accounts with bcrypt password hashes, role based access (viewer, analyst, admin), and a bootstrap account for first time setup. All API routes now require a valid token.</w:t>
            </w:r>
          </w:p>
        </w:tc>
        <w:tc>
          <w:tcPr>
            <w:tcW w:type="dxa" w:w="4800"/>
            <w:tcMar>
              <w:top w:type="dxa" w:w="60"/>
              <w:left w:type="dxa" w:w="100"/>
              <w:bottom w:type="dxa" w:w="60"/>
              <w:right w:type="dxa" w:w="100"/>
            </w:tcMar>
          </w:tcPr>
          <w:p>
            <w:r>
              <w:rPr>
                <w:rFonts w:ascii="Calibri" w:cs="Calibri" w:eastAsia="Calibri" w:hAnsi="Calibri"/>
                <w:b w:val="false"/>
                <w:bCs w:val="false"/>
                <w:sz w:val="19"/>
                <w:szCs w:val="19"/>
              </w:rPr>
              <w:t xml:space="preserve">Provision MISA_AUTH_USERS (bcrypt hashes) and a strong MISA_JWT_SECRET_KEY. MISA_AUTH_DISABLED must be false or unset. The service refuses to boot in production if auth is misconfigured.</w:t>
            </w:r>
          </w:p>
        </w:tc>
      </w:tr>
      <w:tr>
        <w:tc>
          <w:tcPr>
            <w:tcW w:type="dxa" w:w="26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Security middleware</w:t>
            </w:r>
          </w:p>
        </w:tc>
        <w:tc>
          <w:tcPr>
            <w:tcW w:type="dxa" w:w="74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Security response headers (CSP, HSTS), request body size ceiling, standardized JSON error envelope on every failure path, and CORS restricted to an explicit origin allowlist.</w:t>
            </w:r>
          </w:p>
        </w:tc>
        <w:tc>
          <w:tcPr>
            <w:tcW w:type="dxa" w:w="48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Set MISA_CORS_ALLOWED_ORIGINS to the approved frontend origins only. Wildcard origins are refused in production.</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Rate limiting</w:t>
            </w:r>
          </w:p>
        </w:tc>
        <w:tc>
          <w:tcPr>
            <w:tcW w:type="dxa" w:w="7400"/>
            <w:tcMar>
              <w:top w:type="dxa" w:w="60"/>
              <w:left w:type="dxa" w:w="100"/>
              <w:bottom w:type="dxa" w:w="60"/>
              <w:right w:type="dxa" w:w="100"/>
            </w:tcMar>
          </w:tcPr>
          <w:p>
            <w:r>
              <w:rPr>
                <w:rFonts w:ascii="Calibri" w:cs="Calibri" w:eastAsia="Calibri" w:hAnsi="Calibri"/>
                <w:b w:val="false"/>
                <w:bCs w:val="false"/>
                <w:sz w:val="19"/>
                <w:szCs w:val="19"/>
              </w:rPr>
              <w:t xml:space="preserve">Per endpoint request rate limits (chat, search, documents, engagement, auth) with Redis support for multi worker deployments.</w:t>
            </w:r>
          </w:p>
        </w:tc>
        <w:tc>
          <w:tcPr>
            <w:tcW w:type="dxa" w:w="4800"/>
            <w:tcMar>
              <w:top w:type="dxa" w:w="60"/>
              <w:left w:type="dxa" w:w="100"/>
              <w:bottom w:type="dxa" w:w="60"/>
              <w:right w:type="dxa" w:w="100"/>
            </w:tcMar>
          </w:tcPr>
          <w:p>
            <w:r>
              <w:rPr>
                <w:rFonts w:ascii="Calibri" w:cs="Calibri" w:eastAsia="Calibri" w:hAnsi="Calibri"/>
                <w:b w:val="false"/>
                <w:bCs w:val="false"/>
                <w:sz w:val="19"/>
                <w:szCs w:val="19"/>
              </w:rPr>
              <w:t xml:space="preserve">When running more than one worker, configure the Redis backed rate limit store.</w:t>
            </w:r>
          </w:p>
        </w:tc>
      </w:tr>
      <w:tr>
        <w:tc>
          <w:tcPr>
            <w:tcW w:type="dxa" w:w="26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Malware scanning</w:t>
            </w:r>
          </w:p>
        </w:tc>
        <w:tc>
          <w:tcPr>
            <w:tcW w:type="dxa" w:w="74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Every uploaded file passes a malware scan before processing: fast heuristics plus a ClamAV (Linux) or Microsoft Defender (Windows) backend. Configured through config/malware_scan.yaml rather than server environment variables.</w:t>
            </w:r>
          </w:p>
        </w:tc>
        <w:tc>
          <w:tcPr>
            <w:tcW w:type="dxa" w:w="48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Install ClamAV on the host and set backend clamscan. Production refuses to boot with the scanner disabled.</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Document library</w:t>
            </w:r>
          </w:p>
        </w:tc>
        <w:tc>
          <w:tcPr>
            <w:tcW w:type="dxa" w:w="7400"/>
            <w:tcMar>
              <w:top w:type="dxa" w:w="60"/>
              <w:left w:type="dxa" w:w="100"/>
              <w:bottom w:type="dxa" w:w="60"/>
              <w:right w:type="dxa" w:w="100"/>
            </w:tcMar>
          </w:tcPr>
          <w:p>
            <w:r>
              <w:rPr>
                <w:rFonts w:ascii="Calibri" w:cs="Calibri" w:eastAsia="Calibri" w:hAnsi="Calibri"/>
                <w:b w:val="false"/>
                <w:bCs w:val="false"/>
                <w:sz w:val="19"/>
                <w:szCs w:val="19"/>
              </w:rPr>
              <w:t xml:space="preserve">Document upload and server inbox ingestion (PDF, DOCX, TXT, MD), text extraction, chunking and indexing, per document visibility (private or organisation), deduplication by content hash, and document first chat answers with source citations that can blend curated web context.</w:t>
            </w:r>
          </w:p>
        </w:tc>
        <w:tc>
          <w:tcPr>
            <w:tcW w:type="dxa" w:w="4800"/>
            <w:tcMar>
              <w:top w:type="dxa" w:w="60"/>
              <w:left w:type="dxa" w:w="100"/>
              <w:bottom w:type="dxa" w:w="60"/>
              <w:right w:type="dxa" w:w="100"/>
            </w:tcMar>
          </w:tcPr>
          <w:p>
            <w:r>
              <w:rPr>
                <w:rFonts w:ascii="Calibri" w:cs="Calibri" w:eastAsia="Calibri" w:hAnsi="Calibri"/>
                <w:b w:val="false"/>
                <w:bCs w:val="false"/>
                <w:sz w:val="19"/>
                <w:szCs w:val="19"/>
              </w:rPr>
              <w:t xml:space="preserve">Postgres backed. Storage root and inbox directory configurable. See the size limits added on 26 July.</w:t>
            </w:r>
          </w:p>
        </w:tc>
      </w:tr>
      <w:tr>
        <w:tc>
          <w:tcPr>
            <w:tcW w:type="dxa" w:w="26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Chat sessions</w:t>
            </w:r>
          </w:p>
        </w:tc>
        <w:tc>
          <w:tcPr>
            <w:tcW w:type="dxa" w:w="74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Persistent chat history with search, pinning, archiving and per session context carry over.</w:t>
            </w:r>
          </w:p>
        </w:tc>
        <w:tc>
          <w:tcPr>
            <w:tcW w:type="dxa" w:w="48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No action beyond Postgres availability.</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Business card scanning</w:t>
            </w:r>
          </w:p>
        </w:tc>
        <w:tc>
          <w:tcPr>
            <w:tcW w:type="dxa" w:w="7400"/>
            <w:tcMar>
              <w:top w:type="dxa" w:w="60"/>
              <w:left w:type="dxa" w:w="100"/>
              <w:bottom w:type="dxa" w:w="60"/>
              <w:right w:type="dxa" w:w="100"/>
            </w:tcMar>
          </w:tcPr>
          <w:p>
            <w:r>
              <w:rPr>
                <w:rFonts w:ascii="Calibri" w:cs="Calibri" w:eastAsia="Calibri" w:hAnsi="Calibri"/>
                <w:b w:val="false"/>
                <w:bCs w:val="false"/>
                <w:sz w:val="19"/>
                <w:szCs w:val="19"/>
              </w:rPr>
              <w:t xml:space="preserve">Business card image upload with Google Vision OCR extraction of contact details.</w:t>
            </w:r>
          </w:p>
        </w:tc>
        <w:tc>
          <w:tcPr>
            <w:tcW w:type="dxa" w:w="4800"/>
            <w:tcMar>
              <w:top w:type="dxa" w:w="60"/>
              <w:left w:type="dxa" w:w="100"/>
              <w:bottom w:type="dxa" w:w="60"/>
              <w:right w:type="dxa" w:w="100"/>
            </w:tcMar>
          </w:tcPr>
          <w:p>
            <w:r>
              <w:rPr>
                <w:rFonts w:ascii="Calibri" w:cs="Calibri" w:eastAsia="Calibri" w:hAnsi="Calibri"/>
                <w:b w:val="false"/>
                <w:bCs w:val="false"/>
                <w:sz w:val="19"/>
                <w:szCs w:val="19"/>
              </w:rPr>
              <w:t xml:space="preserve">Requires GOOGLE_APPLICATION_CREDENTIALS pointing at the Vision service account key.</w:t>
            </w:r>
          </w:p>
        </w:tc>
      </w:tr>
      <w:tr>
        <w:tc>
          <w:tcPr>
            <w:tcW w:type="dxa" w:w="26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Engagement and export</w:t>
            </w:r>
          </w:p>
        </w:tc>
        <w:tc>
          <w:tcPr>
            <w:tcW w:type="dxa" w:w="74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Strategic dossier generation (quick and full modes) using the OpenAI Responses API with web search, plus PDF export of answers and a feedback capture endpoint.</w:t>
            </w:r>
          </w:p>
        </w:tc>
        <w:tc>
          <w:tcPr>
            <w:tcW w:type="dxa" w:w="48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Requires the engagement OpenAI key. Web search calls are the highest cost path.</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Azure OpenAI support</w:t>
            </w:r>
          </w:p>
        </w:tc>
        <w:tc>
          <w:tcPr>
            <w:tcW w:type="dxa" w:w="7400"/>
            <w:tcMar>
              <w:top w:type="dxa" w:w="60"/>
              <w:left w:type="dxa" w:w="100"/>
              <w:bottom w:type="dxa" w:w="60"/>
              <w:right w:type="dxa" w:w="100"/>
            </w:tcMar>
          </w:tcPr>
          <w:p>
            <w:r>
              <w:rPr>
                <w:rFonts w:ascii="Calibri" w:cs="Calibri" w:eastAsia="Calibri" w:hAnsi="Calibri"/>
                <w:b w:val="false"/>
                <w:bCs w:val="false"/>
                <w:sz w:val="19"/>
                <w:szCs w:val="19"/>
              </w:rPr>
              <w:t xml:space="preserve">The chat pipeline can run against Azure OpenAI deployments as an alternative to the OpenAI API.</w:t>
            </w:r>
          </w:p>
        </w:tc>
        <w:tc>
          <w:tcPr>
            <w:tcW w:type="dxa" w:w="4800"/>
            <w:tcMar>
              <w:top w:type="dxa" w:w="60"/>
              <w:left w:type="dxa" w:w="100"/>
              <w:bottom w:type="dxa" w:w="60"/>
              <w:right w:type="dxa" w:w="100"/>
            </w:tcMar>
          </w:tcPr>
          <w:p>
            <w:r>
              <w:rPr>
                <w:rFonts w:ascii="Calibri" w:cs="Calibri" w:eastAsia="Calibri" w:hAnsi="Calibri"/>
                <w:b w:val="false"/>
                <w:bCs w:val="false"/>
                <w:sz w:val="19"/>
                <w:szCs w:val="19"/>
              </w:rPr>
              <w:t xml:space="preserve">Set MISA_USE_AZURE_OPENAI, endpoint and deployment name when using Azure.</w:t>
            </w:r>
          </w:p>
        </w:tc>
      </w:tr>
      <w:tr>
        <w:tc>
          <w:tcPr>
            <w:tcW w:type="dxa" w:w="26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CI pipeline</w:t>
            </w:r>
          </w:p>
        </w:tc>
        <w:tc>
          <w:tcPr>
            <w:tcW w:type="dxa" w:w="74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GitLab pipeline with stages for lint (ruff, hard gate), unit tests, dependency scanning, SAST, secret detection, build and staged deployment (dev, pre production, production) plus DAST scans.</w:t>
            </w:r>
          </w:p>
        </w:tc>
        <w:tc>
          <w:tcPr>
            <w:tcW w:type="dxa" w:w="48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Pipeline is defined in .gitlab-ci.yml. Lint gates app/ and tests/.</w:t>
            </w:r>
          </w:p>
        </w:tc>
      </w:tr>
    </w:tbl>
    <w:p>
      <w:pPr>
        <w:pStyle w:val="Heading1"/>
        <w:spacing w:after="120" w:before="300"/>
      </w:pPr>
      <w:r>
        <w:rPr>
          <w:rFonts w:ascii="Calibri" w:cs="Calibri" w:eastAsia="Calibri" w:hAnsi="Calibri"/>
          <w:b/>
          <w:bCs/>
          <w:color w:val="02714E"/>
          <w:sz w:val="30"/>
          <w:szCs w:val="30"/>
        </w:rPr>
        <w:t xml:space="preserve">3. Ollama data residency build: 22 to 23 July 2026</w:t>
      </w:r>
    </w:p>
    <w:p>
      <w:pPr>
        <w:spacing w:after="120"/>
      </w:pPr>
      <w:r>
        <w:rPr>
          <w:rFonts w:ascii="Calibri" w:cs="Calibri" w:eastAsia="Calibri" w:hAnsi="Calibri"/>
          <w:b/>
          <w:bCs/>
          <w:sz w:val="21"/>
          <w:szCs w:val="21"/>
        </w:rPr>
        <w:t xml:space="preserve">IMPORTANT: this work was carried out in a separate copy of the codebase (folder NIMs_Chatbot_ollama21) and is NOT present in the folder holding the 26 July changes below. See section 7 before planning the release.</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6300"/>
        <w:gridCol w:w="4500"/>
      </w:tblGrid>
      <w:tr>
        <w:trPr>
          <w:tblHeader/>
        </w:trPr>
        <w:tc>
          <w:tcPr>
            <w:tcW w:type="dxa" w:w="1500"/>
            <w:shd w:fill="02714E" w:val="clear"/>
            <w:tcMar>
              <w:top w:type="dxa" w:w="80"/>
              <w:left w:type="dxa" w:w="100"/>
              <w:bottom w:type="dxa" w:w="80"/>
              <w:right w:type="dxa" w:w="100"/>
            </w:tcMar>
          </w:tcPr>
          <w:p>
            <w:r>
              <w:rPr>
                <w:rFonts w:ascii="Calibri" w:cs="Calibri" w:eastAsia="Calibri" w:hAnsi="Calibri"/>
                <w:b/>
                <w:bCs/>
                <w:color w:val="FFFFFF"/>
                <w:sz w:val="20"/>
                <w:szCs w:val="20"/>
              </w:rPr>
              <w:t xml:space="preserve">Date</w:t>
            </w:r>
          </w:p>
        </w:tc>
        <w:tc>
          <w:tcPr>
            <w:tcW w:type="dxa" w:w="2500"/>
            <w:shd w:fill="02714E" w:val="clear"/>
            <w:tcMar>
              <w:top w:type="dxa" w:w="80"/>
              <w:left w:type="dxa" w:w="100"/>
              <w:bottom w:type="dxa" w:w="80"/>
              <w:right w:type="dxa" w:w="100"/>
            </w:tcMar>
          </w:tcPr>
          <w:p>
            <w:r>
              <w:rPr>
                <w:rFonts w:ascii="Calibri" w:cs="Calibri" w:eastAsia="Calibri" w:hAnsi="Calibri"/>
                <w:b/>
                <w:bCs/>
                <w:color w:val="FFFFFF"/>
                <w:sz w:val="20"/>
                <w:szCs w:val="20"/>
              </w:rPr>
              <w:t xml:space="preserve">Change</w:t>
            </w:r>
          </w:p>
        </w:tc>
        <w:tc>
          <w:tcPr>
            <w:tcW w:type="dxa" w:w="6300"/>
            <w:shd w:fill="02714E" w:val="clear"/>
            <w:tcMar>
              <w:top w:type="dxa" w:w="80"/>
              <w:left w:type="dxa" w:w="100"/>
              <w:bottom w:type="dxa" w:w="80"/>
              <w:right w:type="dxa" w:w="100"/>
            </w:tcMar>
          </w:tcPr>
          <w:p>
            <w:r>
              <w:rPr>
                <w:rFonts w:ascii="Calibri" w:cs="Calibri" w:eastAsia="Calibri" w:hAnsi="Calibri"/>
                <w:b/>
                <w:bCs/>
                <w:color w:val="FFFFFF"/>
                <w:sz w:val="20"/>
                <w:szCs w:val="20"/>
              </w:rPr>
              <w:t xml:space="preserve">Detail</w:t>
            </w:r>
          </w:p>
        </w:tc>
        <w:tc>
          <w:tcPr>
            <w:tcW w:type="dxa" w:w="4500"/>
            <w:shd w:fill="02714E" w:val="clear"/>
            <w:tcMar>
              <w:top w:type="dxa" w:w="80"/>
              <w:left w:type="dxa" w:w="100"/>
              <w:bottom w:type="dxa" w:w="80"/>
              <w:right w:type="dxa" w:w="100"/>
            </w:tcMar>
          </w:tcPr>
          <w:p>
            <w:r>
              <w:rPr>
                <w:rFonts w:ascii="Calibri" w:cs="Calibri" w:eastAsia="Calibri" w:hAnsi="Calibri"/>
                <w:b/>
                <w:bCs/>
                <w:color w:val="FFFFFF"/>
                <w:sz w:val="20"/>
                <w:szCs w:val="20"/>
              </w:rPr>
              <w:t xml:space="preserve">Action for deployment</w:t>
            </w:r>
          </w:p>
        </w:tc>
      </w:tr>
      <w:tr>
        <w:tc>
          <w:tcPr>
            <w:tcW w:type="dxa" w:w="1500"/>
            <w:tcMar>
              <w:top w:type="dxa" w:w="60"/>
              <w:left w:type="dxa" w:w="100"/>
              <w:bottom w:type="dxa" w:w="60"/>
              <w:right w:type="dxa" w:w="100"/>
            </w:tcMar>
          </w:tcPr>
          <w:p>
            <w:r>
              <w:rPr>
                <w:rFonts w:ascii="Calibri" w:cs="Calibri" w:eastAsia="Calibri" w:hAnsi="Calibri"/>
                <w:b w:val="false"/>
                <w:bCs w:val="false"/>
                <w:sz w:val="19"/>
                <w:szCs w:val="19"/>
              </w:rPr>
              <w:t xml:space="preserve">22 to 23 July 2026</w:t>
            </w:r>
          </w:p>
        </w:tc>
        <w:tc>
          <w:tcPr>
            <w:tcW w:type="dxa" w:w="2500"/>
            <w:tcMar>
              <w:top w:type="dxa" w:w="60"/>
              <w:left w:type="dxa" w:w="100"/>
              <w:bottom w:type="dxa" w:w="60"/>
              <w:right w:type="dxa" w:w="100"/>
            </w:tcMar>
          </w:tcPr>
          <w:p>
            <w:r>
              <w:rPr>
                <w:rFonts w:ascii="Calibri" w:cs="Calibri" w:eastAsia="Calibri" w:hAnsi="Calibri"/>
                <w:b w:val="false"/>
                <w:bCs w:val="false"/>
                <w:sz w:val="19"/>
                <w:szCs w:val="19"/>
              </w:rPr>
              <w:t xml:space="preserve">Data residency policy layer</w:t>
            </w:r>
          </w:p>
        </w:tc>
        <w:tc>
          <w:tcPr>
            <w:tcW w:type="dxa" w:w="6300"/>
            <w:tcMar>
              <w:top w:type="dxa" w:w="60"/>
              <w:left w:type="dxa" w:w="100"/>
              <w:bottom w:type="dxa" w:w="60"/>
              <w:right w:type="dxa" w:w="100"/>
            </w:tcMar>
          </w:tcPr>
          <w:p>
            <w:r>
              <w:rPr>
                <w:rFonts w:ascii="Calibri" w:cs="Calibri" w:eastAsia="Calibri" w:hAnsi="Calibri"/>
                <w:b w:val="false"/>
                <w:bCs w:val="false"/>
                <w:sz w:val="19"/>
                <w:szCs w:val="19"/>
              </w:rPr>
              <w:t xml:space="preserve">New llm_residency.py service classifies every LLM call as question only or data grounded. In strict mode (MISA_RESIDENCY_MODE=strict), prompts that contain database rows or document content are routed to a LOCAL Ollama model (llama3.1) and never leave the server; question only prompts may still use Azure/OpenAI. A ResidencyViolation guard blocks any call that would send grounded data to a cloud model.</w:t>
            </w:r>
          </w:p>
          <w:p>
            <w:r>
              <w:rPr>
                <w:rFonts w:ascii="Calibri" w:cs="Calibri" w:eastAsia="Calibri" w:hAnsi="Calibri"/>
                <w:b w:val="false"/>
                <w:bCs w:val="false"/>
                <w:sz w:val="19"/>
                <w:szCs w:val="19"/>
              </w:rPr>
              <w:t xml:space="preserve">Backend selection: MISA_DATA_LLM_BACKEND=ollama, MISA_DATA_LLM_BASE_URL=http://127.0.0.1:11434/v1, MISA_DATA_LLM_MODEL=llama3.1.</w:t>
            </w:r>
          </w:p>
        </w:tc>
        <w:tc>
          <w:tcPr>
            <w:tcW w:type="dxa" w:w="4500"/>
            <w:tcMar>
              <w:top w:type="dxa" w:w="60"/>
              <w:left w:type="dxa" w:w="100"/>
              <w:bottom w:type="dxa" w:w="60"/>
              <w:right w:type="dxa" w:w="100"/>
            </w:tcMar>
          </w:tcPr>
          <w:p>
            <w:r>
              <w:rPr>
                <w:rFonts w:ascii="Calibri" w:cs="Calibri" w:eastAsia="Calibri" w:hAnsi="Calibri"/>
                <w:b w:val="false"/>
                <w:bCs w:val="false"/>
                <w:sz w:val="19"/>
                <w:szCs w:val="19"/>
              </w:rPr>
              <w:t xml:space="preserve">Install Ollama on the host and pull llama3.1. 8 dedicated residency tests cover the routing rules.</w:t>
            </w:r>
          </w:p>
        </w:tc>
      </w:tr>
      <w:tr>
        <w:tc>
          <w:tcPr>
            <w:tcW w:type="dxa" w:w="15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22 to 23 July 2026</w:t>
            </w:r>
          </w:p>
        </w:tc>
        <w:tc>
          <w:tcPr>
            <w:tcW w:type="dxa" w:w="25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Narrative quality under residency</w:t>
            </w:r>
          </w:p>
        </w:tc>
        <w:tc>
          <w:tcPr>
            <w:tcW w:type="dxa" w:w="63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Optional narrative cloud path (MISA_NARRATIVE_CLOUD=true): privacy filtered fact cards only may go to Azure/OpenAI to keep full advisory memo quality. With it off, answers fall back to deterministic database briefing templates (db_briefing.py) that keep the standard section structure. MISA_DATA_LLM_MAX_TOKENS caps local compose length to prevent llama3.1 section loops.</w:t>
            </w:r>
          </w:p>
          <w:p>
            <w:r>
              <w:rPr>
                <w:rFonts w:ascii="Calibri" w:cs="Calibri" w:eastAsia="Calibri" w:hAnsi="Calibri"/>
                <w:b w:val="false"/>
                <w:bCs w:val="false"/>
                <w:sz w:val="19"/>
                <w:szCs w:val="19"/>
              </w:rPr>
              <w:t xml:space="preserve">Hybrid briefing (hybrid_briefing.py) and answer finalize services added for this path.</w:t>
            </w:r>
          </w:p>
        </w:tc>
        <w:tc>
          <w:tcPr>
            <w:tcW w:type="dxa" w:w="45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Choose the residency posture: full strict (Ollama only, template narratives) or strict with narrative cloud (fact cards to Azure).</w:t>
            </w:r>
          </w:p>
        </w:tc>
      </w:tr>
      <w:tr>
        <w:tc>
          <w:tcPr>
            <w:tcW w:type="dxa" w:w="1500"/>
            <w:tcMar>
              <w:top w:type="dxa" w:w="60"/>
              <w:left w:type="dxa" w:w="100"/>
              <w:bottom w:type="dxa" w:w="60"/>
              <w:right w:type="dxa" w:w="100"/>
            </w:tcMar>
          </w:tcPr>
          <w:p>
            <w:r>
              <w:rPr>
                <w:rFonts w:ascii="Calibri" w:cs="Calibri" w:eastAsia="Calibri" w:hAnsi="Calibri"/>
                <w:b w:val="false"/>
                <w:bCs w:val="false"/>
                <w:sz w:val="19"/>
                <w:szCs w:val="19"/>
              </w:rPr>
              <w:t xml:space="preserve">22 to 23 July 2026</w:t>
            </w:r>
          </w:p>
        </w:tc>
        <w:tc>
          <w:tcPr>
            <w:tcW w:type="dxa" w:w="2500"/>
            <w:tcMar>
              <w:top w:type="dxa" w:w="60"/>
              <w:left w:type="dxa" w:w="100"/>
              <w:bottom w:type="dxa" w:w="60"/>
              <w:right w:type="dxa" w:w="100"/>
            </w:tcMar>
          </w:tcPr>
          <w:p>
            <w:r>
              <w:rPr>
                <w:rFonts w:ascii="Calibri" w:cs="Calibri" w:eastAsia="Calibri" w:hAnsi="Calibri"/>
                <w:b w:val="false"/>
                <w:bCs w:val="false"/>
                <w:sz w:val="19"/>
                <w:szCs w:val="19"/>
              </w:rPr>
              <w:t xml:space="preserve">Determinism controls</w:t>
            </w:r>
          </w:p>
        </w:tc>
        <w:tc>
          <w:tcPr>
            <w:tcW w:type="dxa" w:w="6300"/>
            <w:tcMar>
              <w:top w:type="dxa" w:w="60"/>
              <w:left w:type="dxa" w:w="100"/>
              <w:bottom w:type="dxa" w:w="60"/>
              <w:right w:type="dxa" w:w="100"/>
            </w:tcMar>
          </w:tcPr>
          <w:p>
            <w:r>
              <w:rPr>
                <w:rFonts w:ascii="Calibri" w:cs="Calibri" w:eastAsia="Calibri" w:hAnsi="Calibri"/>
                <w:b w:val="false"/>
                <w:bCs w:val="false"/>
                <w:sz w:val="19"/>
                <w:szCs w:val="19"/>
              </w:rPr>
              <w:t xml:space="preserve">Temperature 0 defaults, fixed seed (MISA_CHAT_SEED), and a response cache (MISA_RESPONSE_CACHE) giving byte identical single turn repeats. Public web search for engagement can be blocked with MISA_RESIDENCY_BLOCK_PUBLIC_ENGAGEMENT.</w:t>
            </w:r>
          </w:p>
        </w:tc>
        <w:tc>
          <w:tcPr>
            <w:tcW w:type="dxa" w:w="4500"/>
            <w:tcMar>
              <w:top w:type="dxa" w:w="60"/>
              <w:left w:type="dxa" w:w="100"/>
              <w:bottom w:type="dxa" w:w="60"/>
              <w:right w:type="dxa" w:w="100"/>
            </w:tcMar>
          </w:tcPr>
          <w:p>
            <w:r>
              <w:rPr>
                <w:rFonts w:ascii="Calibri" w:cs="Calibri" w:eastAsia="Calibri" w:hAnsi="Calibri"/>
                <w:b w:val="false"/>
                <w:bCs w:val="false"/>
                <w:sz w:val="19"/>
                <w:szCs w:val="19"/>
              </w:rPr>
              <w:t xml:space="preserve">Review the determinism and public web flags against MISA policy before go live.</w:t>
            </w:r>
          </w:p>
        </w:tc>
      </w:tr>
    </w:tbl>
    <w:p>
      <w:pPr>
        <w:pStyle w:val="Heading1"/>
        <w:spacing w:after="120" w:before="300"/>
      </w:pPr>
      <w:r>
        <w:rPr>
          <w:rFonts w:ascii="Calibri" w:cs="Calibri" w:eastAsia="Calibri" w:hAnsi="Calibri"/>
          <w:b/>
          <w:bCs/>
          <w:color w:val="02714E"/>
          <w:sz w:val="30"/>
          <w:szCs w:val="30"/>
        </w:rPr>
        <w:t xml:space="preserve">4. Changes on 26 July 2026 (folder NIMs_Chatbot_21_Jul_2026)</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6300"/>
        <w:gridCol w:w="4500"/>
      </w:tblGrid>
      <w:tr>
        <w:trPr>
          <w:tblHeader/>
        </w:trPr>
        <w:tc>
          <w:tcPr>
            <w:tcW w:type="dxa" w:w="1500"/>
            <w:shd w:fill="02714E" w:val="clear"/>
            <w:tcMar>
              <w:top w:type="dxa" w:w="80"/>
              <w:left w:type="dxa" w:w="100"/>
              <w:bottom w:type="dxa" w:w="80"/>
              <w:right w:type="dxa" w:w="100"/>
            </w:tcMar>
          </w:tcPr>
          <w:p>
            <w:r>
              <w:rPr>
                <w:rFonts w:ascii="Calibri" w:cs="Calibri" w:eastAsia="Calibri" w:hAnsi="Calibri"/>
                <w:b/>
                <w:bCs/>
                <w:color w:val="FFFFFF"/>
                <w:sz w:val="20"/>
                <w:szCs w:val="20"/>
              </w:rPr>
              <w:t xml:space="preserve">Date</w:t>
            </w:r>
          </w:p>
        </w:tc>
        <w:tc>
          <w:tcPr>
            <w:tcW w:type="dxa" w:w="2500"/>
            <w:shd w:fill="02714E" w:val="clear"/>
            <w:tcMar>
              <w:top w:type="dxa" w:w="80"/>
              <w:left w:type="dxa" w:w="100"/>
              <w:bottom w:type="dxa" w:w="80"/>
              <w:right w:type="dxa" w:w="100"/>
            </w:tcMar>
          </w:tcPr>
          <w:p>
            <w:r>
              <w:rPr>
                <w:rFonts w:ascii="Calibri" w:cs="Calibri" w:eastAsia="Calibri" w:hAnsi="Calibri"/>
                <w:b/>
                <w:bCs/>
                <w:color w:val="FFFFFF"/>
                <w:sz w:val="20"/>
                <w:szCs w:val="20"/>
              </w:rPr>
              <w:t xml:space="preserve">Change</w:t>
            </w:r>
          </w:p>
        </w:tc>
        <w:tc>
          <w:tcPr>
            <w:tcW w:type="dxa" w:w="6300"/>
            <w:shd w:fill="02714E" w:val="clear"/>
            <w:tcMar>
              <w:top w:type="dxa" w:w="80"/>
              <w:left w:type="dxa" w:w="100"/>
              <w:bottom w:type="dxa" w:w="80"/>
              <w:right w:type="dxa" w:w="100"/>
            </w:tcMar>
          </w:tcPr>
          <w:p>
            <w:r>
              <w:rPr>
                <w:rFonts w:ascii="Calibri" w:cs="Calibri" w:eastAsia="Calibri" w:hAnsi="Calibri"/>
                <w:b/>
                <w:bCs/>
                <w:color w:val="FFFFFF"/>
                <w:sz w:val="20"/>
                <w:szCs w:val="20"/>
              </w:rPr>
              <w:t xml:space="preserve">Detail</w:t>
            </w:r>
          </w:p>
        </w:tc>
        <w:tc>
          <w:tcPr>
            <w:tcW w:type="dxa" w:w="4500"/>
            <w:shd w:fill="02714E" w:val="clear"/>
            <w:tcMar>
              <w:top w:type="dxa" w:w="80"/>
              <w:left w:type="dxa" w:w="100"/>
              <w:bottom w:type="dxa" w:w="80"/>
              <w:right w:type="dxa" w:w="100"/>
            </w:tcMar>
          </w:tcPr>
          <w:p>
            <w:r>
              <w:rPr>
                <w:rFonts w:ascii="Calibri" w:cs="Calibri" w:eastAsia="Calibri" w:hAnsi="Calibri"/>
                <w:b/>
                <w:bCs/>
                <w:color w:val="FFFFFF"/>
                <w:sz w:val="20"/>
                <w:szCs w:val="20"/>
              </w:rPr>
              <w:t xml:space="preserve">Action for deployment</w:t>
            </w:r>
          </w:p>
        </w:tc>
      </w:tr>
      <w:tr>
        <w:tc>
          <w:tcPr>
            <w:tcW w:type="dxa" w:w="1500"/>
            <w:tcMar>
              <w:top w:type="dxa" w:w="60"/>
              <w:left w:type="dxa" w:w="100"/>
              <w:bottom w:type="dxa" w:w="60"/>
              <w:right w:type="dxa" w:w="100"/>
            </w:tcMar>
          </w:tcPr>
          <w:p>
            <w:r>
              <w:rPr>
                <w:rFonts w:ascii="Calibri" w:cs="Calibri" w:eastAsia="Calibri" w:hAnsi="Calibri"/>
                <w:b w:val="false"/>
                <w:bCs w:val="false"/>
                <w:sz w:val="19"/>
                <w:szCs w:val="19"/>
              </w:rPr>
              <w:t xml:space="preserve">26 July 2026</w:t>
            </w:r>
          </w:p>
        </w:tc>
        <w:tc>
          <w:tcPr>
            <w:tcW w:type="dxa" w:w="2500"/>
            <w:tcMar>
              <w:top w:type="dxa" w:w="60"/>
              <w:left w:type="dxa" w:w="100"/>
              <w:bottom w:type="dxa" w:w="60"/>
              <w:right w:type="dxa" w:w="100"/>
            </w:tcMar>
          </w:tcPr>
          <w:p>
            <w:r>
              <w:rPr>
                <w:rFonts w:ascii="Calibri" w:cs="Calibri" w:eastAsia="Calibri" w:hAnsi="Calibri"/>
                <w:b w:val="false"/>
                <w:bCs w:val="false"/>
                <w:sz w:val="19"/>
                <w:szCs w:val="19"/>
              </w:rPr>
              <w:t xml:space="preserve">Document classification gate</w:t>
            </w:r>
          </w:p>
        </w:tc>
        <w:tc>
          <w:tcPr>
            <w:tcW w:type="dxa" w:w="6300"/>
            <w:tcMar>
              <w:top w:type="dxa" w:w="60"/>
              <w:left w:type="dxa" w:w="100"/>
              <w:bottom w:type="dxa" w:w="60"/>
              <w:right w:type="dxa" w:w="100"/>
            </w:tcMar>
          </w:tcPr>
          <w:p>
            <w:r>
              <w:rPr>
                <w:rFonts w:ascii="Calibri" w:cs="Calibri" w:eastAsia="Calibri" w:hAnsi="Calibri"/>
                <w:b w:val="false"/>
                <w:bCs w:val="false"/>
                <w:sz w:val="19"/>
                <w:szCs w:val="19"/>
              </w:rPr>
              <w:t xml:space="preserve">Only Public documents can enter the document library. The system detects the classification itself: it screens the extracted text, DOCX headers, footers and text boxes, the filename, and hidden document properties written by classifier tools (Boldon James, Microsoft Purview) for markings such as Top Secret, Secret, Restricted, Confidential and the Arabic equivalents. Marked documents are rejected before anything is stored or indexed.</w:t>
            </w:r>
          </w:p>
          <w:p>
            <w:r>
              <w:rPr>
                <w:rFonts w:ascii="Calibri" w:cs="Calibri" w:eastAsia="Calibri" w:hAnsi="Calibri"/>
                <w:b w:val="false"/>
                <w:bCs w:val="false"/>
                <w:sz w:val="19"/>
                <w:szCs w:val="19"/>
              </w:rPr>
              <w:t xml:space="preserve">New error codes: CLASSIFIED_DOCUMENT and CLASSIFIED_CONTENT (HTTP 403).</w:t>
            </w:r>
          </w:p>
        </w:tc>
        <w:tc>
          <w:tcPr>
            <w:tcW w:type="dxa" w:w="4500"/>
            <w:tcMar>
              <w:top w:type="dxa" w:w="60"/>
              <w:left w:type="dxa" w:w="100"/>
              <w:bottom w:type="dxa" w:w="60"/>
              <w:right w:type="dxa" w:w="100"/>
            </w:tcMar>
          </w:tcPr>
          <w:p>
            <w:r>
              <w:rPr>
                <w:rFonts w:ascii="Calibri" w:cs="Calibri" w:eastAsia="Calibri" w:hAnsi="Calibri"/>
                <w:b w:val="false"/>
                <w:bCs w:val="false"/>
                <w:sz w:val="19"/>
                <w:szCs w:val="19"/>
              </w:rPr>
              <w:t xml:space="preserve">No configuration needed. Behaviour was verified against classifier stamped sample files at all four levels.</w:t>
            </w:r>
          </w:p>
        </w:tc>
      </w:tr>
      <w:tr>
        <w:tc>
          <w:tcPr>
            <w:tcW w:type="dxa" w:w="15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26 July 2026</w:t>
            </w:r>
          </w:p>
        </w:tc>
        <w:tc>
          <w:tcPr>
            <w:tcW w:type="dxa" w:w="25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Upload consent declaration</w:t>
            </w:r>
          </w:p>
        </w:tc>
        <w:tc>
          <w:tcPr>
            <w:tcW w:type="dxa" w:w="63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Every upload must carry an accepted consent declaration covering: Public classification, no political or religious or offensive content, no personal data beyond professional contact details (Saudi PDPL), uploader rights, and consent to AI assisted processing. Missing consent returns CONSENT_REQUIRED (HTTP 428). The declaration text is served by a new endpoint, GET /api/v1/documents/consent-policy (version 1.0), and each acceptance is logged with user and filename.</w:t>
            </w:r>
          </w:p>
          <w:p>
            <w:r>
              <w:rPr>
                <w:rFonts w:ascii="Calibri" w:cs="Calibri" w:eastAsia="Calibri" w:hAnsi="Calibri"/>
                <w:b w:val="false"/>
                <w:bCs w:val="false"/>
                <w:sz w:val="19"/>
                <w:szCs w:val="19"/>
              </w:rPr>
              <w:t xml:space="preserve">The chat UI documents panel shows the declaration with a checkbox; the upload button stays disabled until it is ticked.</w:t>
            </w:r>
          </w:p>
        </w:tc>
        <w:tc>
          <w:tcPr>
            <w:tcW w:type="dxa" w:w="45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Client teams integrating uploads directly must send consent=true after showing the declaration.</w:t>
            </w:r>
          </w:p>
        </w:tc>
      </w:tr>
      <w:tr>
        <w:tc>
          <w:tcPr>
            <w:tcW w:type="dxa" w:w="1500"/>
            <w:tcMar>
              <w:top w:type="dxa" w:w="60"/>
              <w:left w:type="dxa" w:w="100"/>
              <w:bottom w:type="dxa" w:w="60"/>
              <w:right w:type="dxa" w:w="100"/>
            </w:tcMar>
          </w:tcPr>
          <w:p>
            <w:r>
              <w:rPr>
                <w:rFonts w:ascii="Calibri" w:cs="Calibri" w:eastAsia="Calibri" w:hAnsi="Calibri"/>
                <w:b w:val="false"/>
                <w:bCs w:val="false"/>
                <w:sz w:val="19"/>
                <w:szCs w:val="19"/>
              </w:rPr>
              <w:t xml:space="preserve">26 July 2026</w:t>
            </w:r>
          </w:p>
        </w:tc>
        <w:tc>
          <w:tcPr>
            <w:tcW w:type="dxa" w:w="2500"/>
            <w:tcMar>
              <w:top w:type="dxa" w:w="60"/>
              <w:left w:type="dxa" w:w="100"/>
              <w:bottom w:type="dxa" w:w="60"/>
              <w:right w:type="dxa" w:w="100"/>
            </w:tcMar>
          </w:tcPr>
          <w:p>
            <w:r>
              <w:rPr>
                <w:rFonts w:ascii="Calibri" w:cs="Calibri" w:eastAsia="Calibri" w:hAnsi="Calibri"/>
                <w:b w:val="false"/>
                <w:bCs w:val="false"/>
                <w:sz w:val="19"/>
                <w:szCs w:val="19"/>
              </w:rPr>
              <w:t xml:space="preserve">Retroactive classification sweep</w:t>
            </w:r>
          </w:p>
        </w:tc>
        <w:tc>
          <w:tcPr>
            <w:tcW w:type="dxa" w:w="6300"/>
            <w:tcMar>
              <w:top w:type="dxa" w:w="60"/>
              <w:left w:type="dxa" w:w="100"/>
              <w:bottom w:type="dxa" w:w="60"/>
              <w:right w:type="dxa" w:w="100"/>
            </w:tcMar>
          </w:tcPr>
          <w:p>
            <w:r>
              <w:rPr>
                <w:rFonts w:ascii="Calibri" w:cs="Calibri" w:eastAsia="Calibri" w:hAnsi="Calibri"/>
                <w:b w:val="false"/>
                <w:bCs w:val="false"/>
                <w:sz w:val="19"/>
                <w:szCs w:val="19"/>
              </w:rPr>
              <w:t xml:space="preserve">New maintenance script scripts/sweep_classified_docs.py re-screens every stored document with the current detector and deletes marked ones. Run after deployment if an existing document library is carried over, and after any change to the marking patterns.</w:t>
            </w:r>
          </w:p>
        </w:tc>
        <w:tc>
          <w:tcPr>
            <w:tcW w:type="dxa" w:w="4500"/>
            <w:tcMar>
              <w:top w:type="dxa" w:w="60"/>
              <w:left w:type="dxa" w:w="100"/>
              <w:bottom w:type="dxa" w:w="60"/>
              <w:right w:type="dxa" w:w="100"/>
            </w:tcMar>
          </w:tcPr>
          <w:p>
            <w:r>
              <w:rPr>
                <w:rFonts w:ascii="Calibri" w:cs="Calibri" w:eastAsia="Calibri" w:hAnsi="Calibri"/>
                <w:b w:val="false"/>
                <w:bCs w:val="false"/>
                <w:sz w:val="19"/>
                <w:szCs w:val="19"/>
              </w:rPr>
              <w:t xml:space="preserve">Run once post deployment: python scripts/sweep_classified_docs.py --delete</w:t>
            </w:r>
          </w:p>
        </w:tc>
      </w:tr>
      <w:tr>
        <w:tc>
          <w:tcPr>
            <w:tcW w:type="dxa" w:w="15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26 July 2026</w:t>
            </w:r>
          </w:p>
        </w:tc>
        <w:tc>
          <w:tcPr>
            <w:tcW w:type="dxa" w:w="25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Malware scanner accuracy fix</w:t>
            </w:r>
          </w:p>
        </w:tc>
        <w:tc>
          <w:tcPr>
            <w:tcW w:type="dxa" w:w="63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The PDF JavaScript heuristic previously flagged any PDF containing the raw bytes /JS, which occur by chance inside compressed image streams of large graphic heavy PDFs (false positive confirmed on a legitimate 26 MB report). The check now parses the PDF object structure and only flags real JavaScript action objects, still failing closed when a PDF cannot be parsed.</w:t>
            </w:r>
          </w:p>
        </w:tc>
        <w:tc>
          <w:tcPr>
            <w:tcW w:type="dxa" w:w="45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No configuration change. All previous attack detections still covered by tests.</w:t>
            </w:r>
          </w:p>
        </w:tc>
      </w:tr>
      <w:tr>
        <w:tc>
          <w:tcPr>
            <w:tcW w:type="dxa" w:w="1500"/>
            <w:tcMar>
              <w:top w:type="dxa" w:w="60"/>
              <w:left w:type="dxa" w:w="100"/>
              <w:bottom w:type="dxa" w:w="60"/>
              <w:right w:type="dxa" w:w="100"/>
            </w:tcMar>
          </w:tcPr>
          <w:p>
            <w:r>
              <w:rPr>
                <w:rFonts w:ascii="Calibri" w:cs="Calibri" w:eastAsia="Calibri" w:hAnsi="Calibri"/>
                <w:b w:val="false"/>
                <w:bCs w:val="false"/>
                <w:sz w:val="19"/>
                <w:szCs w:val="19"/>
              </w:rPr>
              <w:t xml:space="preserve">26 July 2026</w:t>
            </w:r>
          </w:p>
        </w:tc>
        <w:tc>
          <w:tcPr>
            <w:tcW w:type="dxa" w:w="2500"/>
            <w:tcMar>
              <w:top w:type="dxa" w:w="60"/>
              <w:left w:type="dxa" w:w="100"/>
              <w:bottom w:type="dxa" w:w="60"/>
              <w:right w:type="dxa" w:w="100"/>
            </w:tcMar>
          </w:tcPr>
          <w:p>
            <w:r>
              <w:rPr>
                <w:rFonts w:ascii="Calibri" w:cs="Calibri" w:eastAsia="Calibri" w:hAnsi="Calibri"/>
                <w:b w:val="false"/>
                <w:bCs w:val="false"/>
                <w:sz w:val="19"/>
                <w:szCs w:val="19"/>
              </w:rPr>
              <w:t xml:space="preserve">Upload size limits raised</w:t>
            </w:r>
          </w:p>
        </w:tc>
        <w:tc>
          <w:tcPr>
            <w:tcW w:type="dxa" w:w="6300"/>
            <w:tcMar>
              <w:top w:type="dxa" w:w="60"/>
              <w:left w:type="dxa" w:w="100"/>
              <w:bottom w:type="dxa" w:w="60"/>
              <w:right w:type="dxa" w:w="100"/>
            </w:tcMar>
          </w:tcPr>
          <w:p>
            <w:r>
              <w:rPr>
                <w:rFonts w:ascii="Calibri" w:cs="Calibri" w:eastAsia="Calibri" w:hAnsi="Calibri"/>
                <w:b w:val="false"/>
                <w:bCs w:val="false"/>
                <w:sz w:val="19"/>
                <w:szCs w:val="19"/>
              </w:rPr>
              <w:t xml:space="preserve">Large graphic heavy reports exceeded two separate ceilings: the document cap (20 MB) and the request body cap (10 MB). Both are now environment configurable and documented in env.sample.</w:t>
            </w:r>
          </w:p>
        </w:tc>
        <w:tc>
          <w:tcPr>
            <w:tcW w:type="dxa" w:w="4500"/>
            <w:tcMar>
              <w:top w:type="dxa" w:w="60"/>
              <w:left w:type="dxa" w:w="100"/>
              <w:bottom w:type="dxa" w:w="60"/>
              <w:right w:type="dxa" w:w="100"/>
            </w:tcMar>
          </w:tcPr>
          <w:p>
            <w:r>
              <w:rPr>
                <w:rFonts w:ascii="Calibri" w:cs="Calibri" w:eastAsia="Calibri" w:hAnsi="Calibri"/>
                <w:b w:val="false"/>
                <w:bCs w:val="false"/>
                <w:sz w:val="19"/>
                <w:szCs w:val="19"/>
              </w:rPr>
              <w:t xml:space="preserve">Set in deployment environment:</w:t>
            </w:r>
          </w:p>
          <w:p>
            <w:r>
              <w:rPr>
                <w:rFonts w:ascii="Calibri" w:cs="Calibri" w:eastAsia="Calibri" w:hAnsi="Calibri"/>
                <w:b w:val="false"/>
                <w:bCs w:val="false"/>
                <w:sz w:val="19"/>
                <w:szCs w:val="19"/>
              </w:rPr>
              <w:t xml:space="preserve">MISA_DOCUMENTS_MAX_BYTES=41943040</w:t>
            </w:r>
          </w:p>
          <w:p>
            <w:r>
              <w:rPr>
                <w:rFonts w:ascii="Calibri" w:cs="Calibri" w:eastAsia="Calibri" w:hAnsi="Calibri"/>
                <w:b w:val="false"/>
                <w:bCs w:val="false"/>
                <w:sz w:val="19"/>
                <w:szCs w:val="19"/>
              </w:rPr>
              <w:t xml:space="preserve">MISA_MAX_REQUEST_BYTES=47185920</w:t>
            </w:r>
          </w:p>
        </w:tc>
      </w:tr>
      <w:tr>
        <w:tc>
          <w:tcPr>
            <w:tcW w:type="dxa" w:w="15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26 July 2026</w:t>
            </w:r>
          </w:p>
        </w:tc>
        <w:tc>
          <w:tcPr>
            <w:tcW w:type="dxa" w:w="25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Test suite and lint</w:t>
            </w:r>
          </w:p>
        </w:tc>
        <w:tc>
          <w:tcPr>
            <w:tcW w:type="dxa" w:w="63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Auth related tests are now hermetic: they pin the auth disabled demo flag off so results no longer depend on the local .env. 35 new tests cover the classification gate, consent flow and scanner fix. Full suite: 718 passed, 0 failed. Ruff lint clean across app, tests and scripts.</w:t>
            </w:r>
          </w:p>
        </w:tc>
        <w:tc>
          <w:tcPr>
            <w:tcW w:type="dxa" w:w="45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CI gates unchanged and green locally.</w:t>
            </w:r>
          </w:p>
        </w:tc>
      </w:tr>
    </w:tbl>
    <w:p>
      <w:pPr>
        <w:pStyle w:val="Heading1"/>
        <w:spacing w:after="120" w:before="300"/>
      </w:pPr>
      <w:r>
        <w:rPr>
          <w:rFonts w:ascii="Calibri" w:cs="Calibri" w:eastAsia="Calibri" w:hAnsi="Calibri"/>
          <w:b/>
          <w:bCs/>
          <w:color w:val="02714E"/>
          <w:sz w:val="30"/>
          <w:szCs w:val="30"/>
        </w:rPr>
        <w:t xml:space="preserve">5. Environment variables to review before deployment</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8000"/>
      </w:tblGrid>
      <w:tr>
        <w:trPr>
          <w:tblHeader/>
        </w:trPr>
        <w:tc>
          <w:tcPr>
            <w:tcW w:type="dxa" w:w="3600"/>
            <w:shd w:fill="02714E" w:val="clear"/>
            <w:tcMar>
              <w:top w:type="dxa" w:w="80"/>
              <w:left w:type="dxa" w:w="100"/>
              <w:bottom w:type="dxa" w:w="80"/>
              <w:right w:type="dxa" w:w="100"/>
            </w:tcMar>
          </w:tcPr>
          <w:p>
            <w:r>
              <w:rPr>
                <w:rFonts w:ascii="Calibri" w:cs="Calibri" w:eastAsia="Calibri" w:hAnsi="Calibri"/>
                <w:b/>
                <w:bCs/>
                <w:color w:val="FFFFFF"/>
                <w:sz w:val="20"/>
                <w:szCs w:val="20"/>
              </w:rPr>
              <w:t xml:space="preserve">Variable</w:t>
            </w:r>
          </w:p>
        </w:tc>
        <w:tc>
          <w:tcPr>
            <w:tcW w:type="dxa" w:w="3200"/>
            <w:shd w:fill="02714E" w:val="clear"/>
            <w:tcMar>
              <w:top w:type="dxa" w:w="80"/>
              <w:left w:type="dxa" w:w="100"/>
              <w:bottom w:type="dxa" w:w="80"/>
              <w:right w:type="dxa" w:w="100"/>
            </w:tcMar>
          </w:tcPr>
          <w:p>
            <w:r>
              <w:rPr>
                <w:rFonts w:ascii="Calibri" w:cs="Calibri" w:eastAsia="Calibri" w:hAnsi="Calibri"/>
                <w:b/>
                <w:bCs/>
                <w:color w:val="FFFFFF"/>
                <w:sz w:val="20"/>
                <w:szCs w:val="20"/>
              </w:rPr>
              <w:t xml:space="preserve">Required value</w:t>
            </w:r>
          </w:p>
        </w:tc>
        <w:tc>
          <w:tcPr>
            <w:tcW w:type="dxa" w:w="8000"/>
            <w:shd w:fill="02714E" w:val="clear"/>
            <w:tcMar>
              <w:top w:type="dxa" w:w="80"/>
              <w:left w:type="dxa" w:w="100"/>
              <w:bottom w:type="dxa" w:w="80"/>
              <w:right w:type="dxa" w:w="100"/>
            </w:tcMar>
          </w:tcPr>
          <w:p>
            <w:r>
              <w:rPr>
                <w:rFonts w:ascii="Calibri" w:cs="Calibri" w:eastAsia="Calibri" w:hAnsi="Calibri"/>
                <w:b/>
                <w:bCs/>
                <w:color w:val="FFFFFF"/>
                <w:sz w:val="20"/>
                <w:szCs w:val="20"/>
              </w:rPr>
              <w:t xml:space="preserve">Why</w:t>
            </w:r>
          </w:p>
        </w:tc>
      </w:tr>
      <w:tr>
        <w:tc>
          <w:tcPr>
            <w:tcW w:type="dxa" w:w="3600"/>
            <w:tcMar>
              <w:top w:type="dxa" w:w="60"/>
              <w:left w:type="dxa" w:w="100"/>
              <w:bottom w:type="dxa" w:w="60"/>
              <w:right w:type="dxa" w:w="100"/>
            </w:tcMar>
          </w:tcPr>
          <w:p>
            <w:r>
              <w:rPr>
                <w:rFonts w:ascii="Calibri" w:cs="Calibri" w:eastAsia="Calibri" w:hAnsi="Calibri"/>
                <w:b w:val="false"/>
                <w:bCs w:val="false"/>
                <w:sz w:val="19"/>
                <w:szCs w:val="19"/>
              </w:rPr>
              <w:t xml:space="preserve">MISA_DOCUMENTS_MAX_BYTES</w:t>
            </w:r>
          </w:p>
        </w:tc>
        <w:tc>
          <w:tcPr>
            <w:tcW w:type="dxa" w:w="3200"/>
            <w:tcMar>
              <w:top w:type="dxa" w:w="60"/>
              <w:left w:type="dxa" w:w="100"/>
              <w:bottom w:type="dxa" w:w="60"/>
              <w:right w:type="dxa" w:w="100"/>
            </w:tcMar>
          </w:tcPr>
          <w:p>
            <w:r>
              <w:rPr>
                <w:rFonts w:ascii="Calibri" w:cs="Calibri" w:eastAsia="Calibri" w:hAnsi="Calibri"/>
                <w:b w:val="false"/>
                <w:bCs w:val="false"/>
                <w:sz w:val="19"/>
                <w:szCs w:val="19"/>
              </w:rPr>
              <w:t xml:space="preserve">41943040</w:t>
            </w:r>
          </w:p>
        </w:tc>
        <w:tc>
          <w:tcPr>
            <w:tcW w:type="dxa" w:w="8000"/>
            <w:tcMar>
              <w:top w:type="dxa" w:w="60"/>
              <w:left w:type="dxa" w:w="100"/>
              <w:bottom w:type="dxa" w:w="60"/>
              <w:right w:type="dxa" w:w="100"/>
            </w:tcMar>
          </w:tcPr>
          <w:p>
            <w:r>
              <w:rPr>
                <w:rFonts w:ascii="Calibri" w:cs="Calibri" w:eastAsia="Calibri" w:hAnsi="Calibri"/>
                <w:b w:val="false"/>
                <w:bCs w:val="false"/>
                <w:sz w:val="19"/>
                <w:szCs w:val="19"/>
              </w:rPr>
              <w:t xml:space="preserve">New on 26 July. Document upload cap in bytes (40 MB).</w:t>
            </w:r>
          </w:p>
        </w:tc>
      </w:tr>
      <w:tr>
        <w:tc>
          <w:tcPr>
            <w:tcW w:type="dxa" w:w="36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MISA_MAX_REQUEST_BYTES</w:t>
            </w:r>
          </w:p>
        </w:tc>
        <w:tc>
          <w:tcPr>
            <w:tcW w:type="dxa" w:w="32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47185920</w:t>
            </w:r>
          </w:p>
        </w:tc>
        <w:tc>
          <w:tcPr>
            <w:tcW w:type="dxa" w:w="80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New on 26 July. Request body ceiling; keep above the document cap for multipart overhead.</w:t>
            </w:r>
          </w:p>
        </w:tc>
      </w:tr>
      <w:tr>
        <w:tc>
          <w:tcPr>
            <w:tcW w:type="dxa" w:w="3600"/>
            <w:tcMar>
              <w:top w:type="dxa" w:w="60"/>
              <w:left w:type="dxa" w:w="100"/>
              <w:bottom w:type="dxa" w:w="60"/>
              <w:right w:type="dxa" w:w="100"/>
            </w:tcMar>
          </w:tcPr>
          <w:p>
            <w:r>
              <w:rPr>
                <w:rFonts w:ascii="Calibri" w:cs="Calibri" w:eastAsia="Calibri" w:hAnsi="Calibri"/>
                <w:b w:val="false"/>
                <w:bCs w:val="false"/>
                <w:sz w:val="19"/>
                <w:szCs w:val="19"/>
              </w:rPr>
              <w:t xml:space="preserve">MISA_AUTH_DISABLED</w:t>
            </w:r>
          </w:p>
        </w:tc>
        <w:tc>
          <w:tcPr>
            <w:tcW w:type="dxa" w:w="3200"/>
            <w:tcMar>
              <w:top w:type="dxa" w:w="60"/>
              <w:left w:type="dxa" w:w="100"/>
              <w:bottom w:type="dxa" w:w="60"/>
              <w:right w:type="dxa" w:w="100"/>
            </w:tcMar>
          </w:tcPr>
          <w:p>
            <w:r>
              <w:rPr>
                <w:rFonts w:ascii="Calibri" w:cs="Calibri" w:eastAsia="Calibri" w:hAnsi="Calibri"/>
                <w:b w:val="false"/>
                <w:bCs w:val="false"/>
                <w:sz w:val="19"/>
                <w:szCs w:val="19"/>
              </w:rPr>
              <w:t xml:space="preserve">false or unset</w:t>
            </w:r>
          </w:p>
        </w:tc>
        <w:tc>
          <w:tcPr>
            <w:tcW w:type="dxa" w:w="8000"/>
            <w:tcMar>
              <w:top w:type="dxa" w:w="60"/>
              <w:left w:type="dxa" w:w="100"/>
              <w:bottom w:type="dxa" w:w="60"/>
              <w:right w:type="dxa" w:w="100"/>
            </w:tcMar>
          </w:tcPr>
          <w:p>
            <w:r>
              <w:rPr>
                <w:rFonts w:ascii="Calibri" w:cs="Calibri" w:eastAsia="Calibri" w:hAnsi="Calibri"/>
                <w:b w:val="false"/>
                <w:bCs w:val="false"/>
                <w:sz w:val="19"/>
                <w:szCs w:val="19"/>
              </w:rPr>
              <w:t xml:space="preserve">Must never be true in deployment. It bypasses login entirely and is refused by the production boot check.</w:t>
            </w:r>
          </w:p>
        </w:tc>
      </w:tr>
      <w:tr>
        <w:tc>
          <w:tcPr>
            <w:tcW w:type="dxa" w:w="36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MISA_MALWARE_SCAN_BACKEND</w:t>
            </w:r>
          </w:p>
        </w:tc>
        <w:tc>
          <w:tcPr>
            <w:tcW w:type="dxa" w:w="32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clamscan</w:t>
            </w:r>
          </w:p>
        </w:tc>
        <w:tc>
          <w:tcPr>
            <w:tcW w:type="dxa" w:w="80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Production refuses to boot with the scanner disabled. Install ClamAV on the host.</w:t>
            </w:r>
          </w:p>
        </w:tc>
      </w:tr>
      <w:tr>
        <w:tc>
          <w:tcPr>
            <w:tcW w:type="dxa" w:w="3600"/>
            <w:tcMar>
              <w:top w:type="dxa" w:w="60"/>
              <w:left w:type="dxa" w:w="100"/>
              <w:bottom w:type="dxa" w:w="60"/>
              <w:right w:type="dxa" w:w="100"/>
            </w:tcMar>
          </w:tcPr>
          <w:p>
            <w:r>
              <w:rPr>
                <w:rFonts w:ascii="Calibri" w:cs="Calibri" w:eastAsia="Calibri" w:hAnsi="Calibri"/>
                <w:b w:val="false"/>
                <w:bCs w:val="false"/>
                <w:sz w:val="19"/>
                <w:szCs w:val="19"/>
              </w:rPr>
              <w:t xml:space="preserve">MISA_CORS_ALLOWED_ORIGINS</w:t>
            </w:r>
          </w:p>
        </w:tc>
        <w:tc>
          <w:tcPr>
            <w:tcW w:type="dxa" w:w="3200"/>
            <w:tcMar>
              <w:top w:type="dxa" w:w="60"/>
              <w:left w:type="dxa" w:w="100"/>
              <w:bottom w:type="dxa" w:w="60"/>
              <w:right w:type="dxa" w:w="100"/>
            </w:tcMar>
          </w:tcPr>
          <w:p>
            <w:r>
              <w:rPr>
                <w:rFonts w:ascii="Calibri" w:cs="Calibri" w:eastAsia="Calibri" w:hAnsi="Calibri"/>
                <w:b w:val="false"/>
                <w:bCs w:val="false"/>
                <w:sz w:val="19"/>
                <w:szCs w:val="19"/>
              </w:rPr>
              <w:t xml:space="preserve">explicit origin list</w:t>
            </w:r>
          </w:p>
        </w:tc>
        <w:tc>
          <w:tcPr>
            <w:tcW w:type="dxa" w:w="8000"/>
            <w:tcMar>
              <w:top w:type="dxa" w:w="60"/>
              <w:left w:type="dxa" w:w="100"/>
              <w:bottom w:type="dxa" w:w="60"/>
              <w:right w:type="dxa" w:w="100"/>
            </w:tcMar>
          </w:tcPr>
          <w:p>
            <w:r>
              <w:rPr>
                <w:rFonts w:ascii="Calibri" w:cs="Calibri" w:eastAsia="Calibri" w:hAnsi="Calibri"/>
                <w:b w:val="false"/>
                <w:bCs w:val="false"/>
                <w:sz w:val="19"/>
                <w:szCs w:val="19"/>
              </w:rPr>
              <w:t xml:space="preserve">Wildcard is refused in production.</w:t>
            </w:r>
          </w:p>
        </w:tc>
      </w:tr>
      <w:tr>
        <w:tc>
          <w:tcPr>
            <w:tcW w:type="dxa" w:w="36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MISA_JWT_SECRET_KEY</w:t>
            </w:r>
          </w:p>
        </w:tc>
        <w:tc>
          <w:tcPr>
            <w:tcW w:type="dxa" w:w="32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strong secret, 32+ chars</w:t>
            </w:r>
          </w:p>
        </w:tc>
        <w:tc>
          <w:tcPr>
            <w:tcW w:type="dxa" w:w="80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Refused if short or unset.</w:t>
            </w:r>
          </w:p>
        </w:tc>
      </w:tr>
      <w:tr>
        <w:tc>
          <w:tcPr>
            <w:tcW w:type="dxa" w:w="3600"/>
            <w:tcMar>
              <w:top w:type="dxa" w:w="60"/>
              <w:left w:type="dxa" w:w="100"/>
              <w:bottom w:type="dxa" w:w="60"/>
              <w:right w:type="dxa" w:w="100"/>
            </w:tcMar>
          </w:tcPr>
          <w:p>
            <w:r>
              <w:rPr>
                <w:rFonts w:ascii="Calibri" w:cs="Calibri" w:eastAsia="Calibri" w:hAnsi="Calibri"/>
                <w:b w:val="false"/>
                <w:bCs w:val="false"/>
                <w:sz w:val="19"/>
                <w:szCs w:val="19"/>
              </w:rPr>
              <w:t xml:space="preserve">MISA_AUTH_USERS</w:t>
            </w:r>
          </w:p>
        </w:tc>
        <w:tc>
          <w:tcPr>
            <w:tcW w:type="dxa" w:w="3200"/>
            <w:tcMar>
              <w:top w:type="dxa" w:w="60"/>
              <w:left w:type="dxa" w:w="100"/>
              <w:bottom w:type="dxa" w:w="60"/>
              <w:right w:type="dxa" w:w="100"/>
            </w:tcMar>
          </w:tcPr>
          <w:p>
            <w:r>
              <w:rPr>
                <w:rFonts w:ascii="Calibri" w:cs="Calibri" w:eastAsia="Calibri" w:hAnsi="Calibri"/>
                <w:b w:val="false"/>
                <w:bCs w:val="false"/>
                <w:sz w:val="19"/>
                <w:szCs w:val="19"/>
              </w:rPr>
              <w:t xml:space="preserve">bcrypt account list</w:t>
            </w:r>
          </w:p>
        </w:tc>
        <w:tc>
          <w:tcPr>
            <w:tcW w:type="dxa" w:w="8000"/>
            <w:tcMar>
              <w:top w:type="dxa" w:w="60"/>
              <w:left w:type="dxa" w:w="100"/>
              <w:bottom w:type="dxa" w:w="60"/>
              <w:right w:type="dxa" w:w="100"/>
            </w:tcMar>
          </w:tcPr>
          <w:p>
            <w:r>
              <w:rPr>
                <w:rFonts w:ascii="Calibri" w:cs="Calibri" w:eastAsia="Calibri" w:hAnsi="Calibri"/>
                <w:b w:val="false"/>
                <w:bCs w:val="false"/>
                <w:sz w:val="19"/>
                <w:szCs w:val="19"/>
              </w:rPr>
              <w:t xml:space="preserve">Provision named accounts; disable the plaintext bootstrap account.</w:t>
            </w:r>
          </w:p>
        </w:tc>
      </w:tr>
      <w:tr>
        <w:tc>
          <w:tcPr>
            <w:tcW w:type="dxa" w:w="36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MISA_ENABLE_DOCS</w:t>
            </w:r>
          </w:p>
        </w:tc>
        <w:tc>
          <w:tcPr>
            <w:tcW w:type="dxa" w:w="32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false</w:t>
            </w:r>
          </w:p>
        </w:tc>
        <w:tc>
          <w:tcPr>
            <w:tcW w:type="dxa" w:w="80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Interactive API docs must be off in production.</w:t>
            </w:r>
          </w:p>
        </w:tc>
      </w:tr>
      <w:tr>
        <w:tc>
          <w:tcPr>
            <w:tcW w:type="dxa" w:w="3600"/>
            <w:tcMar>
              <w:top w:type="dxa" w:w="60"/>
              <w:left w:type="dxa" w:w="100"/>
              <w:bottom w:type="dxa" w:w="60"/>
              <w:right w:type="dxa" w:w="100"/>
            </w:tcMar>
          </w:tcPr>
          <w:p>
            <w:r>
              <w:rPr>
                <w:rFonts w:ascii="Calibri" w:cs="Calibri" w:eastAsia="Calibri" w:hAnsi="Calibri"/>
                <w:b w:val="false"/>
                <w:bCs w:val="false"/>
                <w:sz w:val="19"/>
                <w:szCs w:val="19"/>
              </w:rPr>
              <w:t xml:space="preserve">MISA_RESIDENCY_MODE</w:t>
            </w:r>
          </w:p>
        </w:tc>
        <w:tc>
          <w:tcPr>
            <w:tcW w:type="dxa" w:w="3200"/>
            <w:tcMar>
              <w:top w:type="dxa" w:w="60"/>
              <w:left w:type="dxa" w:w="100"/>
              <w:bottom w:type="dxa" w:w="60"/>
              <w:right w:type="dxa" w:w="100"/>
            </w:tcMar>
          </w:tcPr>
          <w:p>
            <w:r>
              <w:rPr>
                <w:rFonts w:ascii="Calibri" w:cs="Calibri" w:eastAsia="Calibri" w:hAnsi="Calibri"/>
                <w:b w:val="false"/>
                <w:bCs w:val="false"/>
                <w:sz w:val="19"/>
                <w:szCs w:val="19"/>
              </w:rPr>
              <w:t xml:space="preserve">strict (per policy)</w:t>
            </w:r>
          </w:p>
        </w:tc>
        <w:tc>
          <w:tcPr>
            <w:tcW w:type="dxa" w:w="8000"/>
            <w:tcMar>
              <w:top w:type="dxa" w:w="60"/>
              <w:left w:type="dxa" w:w="100"/>
              <w:bottom w:type="dxa" w:w="60"/>
              <w:right w:type="dxa" w:w="100"/>
            </w:tcMar>
          </w:tcPr>
          <w:p>
            <w:r>
              <w:rPr>
                <w:rFonts w:ascii="Calibri" w:cs="Calibri" w:eastAsia="Calibri" w:hAnsi="Calibri"/>
                <w:b w:val="false"/>
                <w:bCs w:val="false"/>
                <w:sz w:val="19"/>
                <w:szCs w:val="19"/>
              </w:rPr>
              <w:t xml:space="preserve">Residency build only. Routes data grounded prompts to local Ollama.</w:t>
            </w:r>
          </w:p>
        </w:tc>
      </w:tr>
      <w:tr>
        <w:tc>
          <w:tcPr>
            <w:tcW w:type="dxa" w:w="36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MISA_DATA_LLM_BACKEND / MODEL / BASE_URL</w:t>
            </w:r>
          </w:p>
        </w:tc>
        <w:tc>
          <w:tcPr>
            <w:tcW w:type="dxa" w:w="32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ollama / llama3.1 / http://127.0.0.1:11434/v1</w:t>
            </w:r>
          </w:p>
        </w:tc>
        <w:tc>
          <w:tcPr>
            <w:tcW w:type="dxa" w:w="80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Residency build only. Requires Ollama installed with llama3.1 pulled.</w:t>
            </w:r>
          </w:p>
        </w:tc>
      </w:tr>
      <w:tr>
        <w:tc>
          <w:tcPr>
            <w:tcW w:type="dxa" w:w="3600"/>
            <w:tcMar>
              <w:top w:type="dxa" w:w="60"/>
              <w:left w:type="dxa" w:w="100"/>
              <w:bottom w:type="dxa" w:w="60"/>
              <w:right w:type="dxa" w:w="100"/>
            </w:tcMar>
          </w:tcPr>
          <w:p>
            <w:r>
              <w:rPr>
                <w:rFonts w:ascii="Calibri" w:cs="Calibri" w:eastAsia="Calibri" w:hAnsi="Calibri"/>
                <w:b w:val="false"/>
                <w:bCs w:val="false"/>
                <w:sz w:val="19"/>
                <w:szCs w:val="19"/>
              </w:rPr>
              <w:t xml:space="preserve">MISA_NARRATIVE_CLOUD</w:t>
            </w:r>
          </w:p>
        </w:tc>
        <w:tc>
          <w:tcPr>
            <w:tcW w:type="dxa" w:w="3200"/>
            <w:tcMar>
              <w:top w:type="dxa" w:w="60"/>
              <w:left w:type="dxa" w:w="100"/>
              <w:bottom w:type="dxa" w:w="60"/>
              <w:right w:type="dxa" w:w="100"/>
            </w:tcMar>
          </w:tcPr>
          <w:p>
            <w:r>
              <w:rPr>
                <w:rFonts w:ascii="Calibri" w:cs="Calibri" w:eastAsia="Calibri" w:hAnsi="Calibri"/>
                <w:b w:val="false"/>
                <w:bCs w:val="false"/>
                <w:sz w:val="19"/>
                <w:szCs w:val="19"/>
              </w:rPr>
              <w:t xml:space="preserve">per policy decision</w:t>
            </w:r>
          </w:p>
        </w:tc>
        <w:tc>
          <w:tcPr>
            <w:tcW w:type="dxa" w:w="8000"/>
            <w:tcMar>
              <w:top w:type="dxa" w:w="60"/>
              <w:left w:type="dxa" w:w="100"/>
              <w:bottom w:type="dxa" w:w="60"/>
              <w:right w:type="dxa" w:w="100"/>
            </w:tcMar>
          </w:tcPr>
          <w:p>
            <w:r>
              <w:rPr>
                <w:rFonts w:ascii="Calibri" w:cs="Calibri" w:eastAsia="Calibri" w:hAnsi="Calibri"/>
                <w:b w:val="false"/>
                <w:bCs w:val="false"/>
                <w:sz w:val="19"/>
                <w:szCs w:val="19"/>
              </w:rPr>
              <w:t xml:space="preserve">true keeps full memo quality (fact cards to Azure); false is hard local only.</w:t>
            </w:r>
          </w:p>
        </w:tc>
      </w:tr>
    </w:tbl>
    <w:p>
      <w:pPr>
        <w:pStyle w:val="Heading1"/>
        <w:spacing w:after="120" w:before="300"/>
      </w:pPr>
      <w:r>
        <w:rPr>
          <w:rFonts w:ascii="Calibri" w:cs="Calibri" w:eastAsia="Calibri" w:hAnsi="Calibri"/>
          <w:b/>
          <w:bCs/>
          <w:color w:val="02714E"/>
          <w:sz w:val="30"/>
          <w:szCs w:val="30"/>
        </w:rPr>
        <w:t xml:space="preserve">6. Post deployment steps</w:t>
      </w:r>
    </w:p>
    <w:p>
      <w:pPr>
        <w:pStyle w:val="ListParagraph"/>
        <w:numPr>
          <w:ilvl w:val="0"/>
          <w:numId w:val="2"/>
        </w:numPr>
        <w:spacing w:after="60"/>
      </w:pPr>
      <w:r>
        <w:rPr>
          <w:rFonts w:ascii="Calibri" w:cs="Calibri" w:eastAsia="Calibri" w:hAnsi="Calibri"/>
          <w:sz w:val="21"/>
          <w:szCs w:val="21"/>
        </w:rPr>
        <w:t xml:space="preserve">Run the retroactive classification sweep once if an existing document library is migrated: python scripts/sweep_classified_docs.py --delete</w:t>
      </w:r>
    </w:p>
    <w:p>
      <w:pPr>
        <w:pStyle w:val="ListParagraph"/>
        <w:numPr>
          <w:ilvl w:val="0"/>
          <w:numId w:val="2"/>
        </w:numPr>
        <w:spacing w:after="60"/>
      </w:pPr>
      <w:r>
        <w:rPr>
          <w:rFonts w:ascii="Calibri" w:cs="Calibri" w:eastAsia="Calibri" w:hAnsi="Calibri"/>
          <w:sz w:val="21"/>
          <w:szCs w:val="21"/>
        </w:rPr>
        <w:t xml:space="preserve">Confirm /health returns ok and an authenticated /health/data reports the production database.</w:t>
      </w:r>
    </w:p>
    <w:p>
      <w:pPr>
        <w:pStyle w:val="ListParagraph"/>
        <w:numPr>
          <w:ilvl w:val="0"/>
          <w:numId w:val="2"/>
        </w:numPr>
        <w:spacing w:after="60"/>
      </w:pPr>
      <w:r>
        <w:rPr>
          <w:rFonts w:ascii="Calibri" w:cs="Calibri" w:eastAsia="Calibri" w:hAnsi="Calibri"/>
          <w:sz w:val="21"/>
          <w:szCs w:val="21"/>
        </w:rPr>
        <w:t xml:space="preserve">Smoke test one document upload without consent (expect HTTP 428) and one classifier stamped document (expect HTTP 403) to confirm the gate is active.</w:t>
      </w:r>
    </w:p>
    <w:p>
      <w:pPr>
        <w:pStyle w:val="ListParagraph"/>
        <w:numPr>
          <w:ilvl w:val="0"/>
          <w:numId w:val="2"/>
        </w:numPr>
        <w:spacing w:after="60"/>
      </w:pPr>
      <w:r>
        <w:rPr>
          <w:rFonts w:ascii="Calibri" w:cs="Calibri" w:eastAsia="Calibri" w:hAnsi="Calibri"/>
          <w:sz w:val="21"/>
          <w:szCs w:val="21"/>
        </w:rPr>
        <w:t xml:space="preserve">Frontend teams consuming the upload API must send consent=true and surface the declaration text from GET /api/v1/documents/consent-policy.</w:t>
      </w:r>
    </w:p>
    <w:p>
      <w:pPr>
        <w:pStyle w:val="Heading1"/>
        <w:spacing w:after="120" w:before="300"/>
      </w:pPr>
      <w:r>
        <w:rPr>
          <w:rFonts w:ascii="Calibri" w:cs="Calibri" w:eastAsia="Calibri" w:hAnsi="Calibri"/>
          <w:b/>
          <w:bCs/>
          <w:color w:val="02714E"/>
          <w:sz w:val="30"/>
          <w:szCs w:val="30"/>
        </w:rPr>
        <w:t xml:space="preserve">7. Consolidation status: completed 26 July 2026</w:t>
      </w:r>
    </w:p>
    <w:p>
      <w:pPr>
        <w:spacing w:after="120"/>
      </w:pPr>
      <w:r>
        <w:rPr>
          <w:rFonts w:ascii="Calibri" w:cs="Calibri" w:eastAsia="Calibri" w:hAnsi="Calibri"/>
          <w:sz w:val="21"/>
          <w:szCs w:val="21"/>
        </w:rPr>
        <w:t xml:space="preserve">The 26 July security work (section 4) has been merged into the Ollama residency code line. The consolidated, deployable codebase is the git repository in folder NIMs_Chatbot_ollama21 (remote: github.com/joudathashmi/chatbotollama21), commit: Consolidate 26 Jul security work into residency line.</w:t>
      </w:r>
    </w:p>
    <w:p>
      <w:pPr>
        <w:pStyle w:val="ListParagraph"/>
        <w:numPr>
          <w:ilvl w:val="0"/>
          <w:numId w:val="2"/>
        </w:numPr>
        <w:spacing w:after="60"/>
      </w:pPr>
      <w:r>
        <w:rPr>
          <w:rFonts w:ascii="Calibri" w:cs="Calibri" w:eastAsia="Calibri" w:hAnsi="Calibri"/>
          <w:sz w:val="21"/>
          <w:szCs w:val="21"/>
        </w:rPr>
        <w:t xml:space="preserve">The consolidated tree contains BOTH the Ollama data residency features (section 3) and the classification, consent, scanner and size limit changes (section 4).</w:t>
      </w:r>
    </w:p>
    <w:p>
      <w:pPr>
        <w:pStyle w:val="ListParagraph"/>
        <w:numPr>
          <w:ilvl w:val="0"/>
          <w:numId w:val="2"/>
        </w:numPr>
        <w:spacing w:after="60"/>
      </w:pPr>
      <w:r>
        <w:rPr>
          <w:rFonts w:ascii="Calibri" w:cs="Calibri" w:eastAsia="Calibri" w:hAnsi="Calibri"/>
          <w:sz w:val="21"/>
          <w:szCs w:val="21"/>
        </w:rPr>
        <w:t xml:space="preserve">Test status after consolidation: 1114 passed. 5 failures are pre existing in the residency line (3 advisory prompt contract tests, 1 regional revenue guardrail test, 1 chat history markup test) and were verified to fail identically before the merge; they are unrelated to the consolidated changes and should be triaged separately.</w:t>
      </w:r>
    </w:p>
    <w:p>
      <w:pPr>
        <w:pStyle w:val="ListParagraph"/>
        <w:numPr>
          <w:ilvl w:val="0"/>
          <w:numId w:val="2"/>
        </w:numPr>
        <w:spacing w:after="60"/>
      </w:pPr>
      <w:r>
        <w:rPr>
          <w:rFonts w:ascii="Calibri" w:cs="Calibri" w:eastAsia="Calibri" w:hAnsi="Calibri"/>
          <w:sz w:val="21"/>
          <w:szCs w:val="21"/>
        </w:rPr>
        <w:t xml:space="preserve">Ruff lint: clean across app/ and tests/ (the CI hard gate scope), including 35 pre existing findings fixed during consolidation.</w:t>
      </w:r>
    </w:p>
    <w:p>
      <w:pPr>
        <w:pStyle w:val="ListParagraph"/>
        <w:numPr>
          <w:ilvl w:val="0"/>
          <w:numId w:val="2"/>
        </w:numPr>
        <w:spacing w:after="60"/>
      </w:pPr>
      <w:r>
        <w:rPr>
          <w:rFonts w:ascii="Calibri" w:cs="Calibri" w:eastAsia="Calibri" w:hAnsi="Calibri"/>
          <w:sz w:val="21"/>
          <w:szCs w:val="21"/>
        </w:rPr>
        <w:t xml:space="preserve">The older folder NIMs_Chatbot_21_Jul_2026 is now superseded and should not be deployed. Its document library data (Postgres) is shared, so nothing is lost.</w:t>
      </w:r>
    </w:p>
    <w:p>
      <w:pPr>
        <w:spacing w:after="120"/>
      </w:pPr>
      <w:r>
        <w:rPr>
          <w:rFonts w:ascii="Calibri" w:cs="Calibri" w:eastAsia="Calibri" w:hAnsi="Calibri"/>
          <w:b/>
          <w:bCs/>
          <w:sz w:val="21"/>
          <w:szCs w:val="21"/>
        </w:rPr>
        <w:t xml:space="preserve">Remaining step for the deployment team: push the consolidated repository to the GitLab project that runs the CI pipeline, or point CI at the existing GitHub remote, and deploy from there.</w:t>
      </w:r>
    </w:p>
    <w:sectPr>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2026-07-26T09:43:10.139Z</dcterms:created>
  <dcterms:modified xsi:type="dcterms:W3CDTF">2026-07-26T09:43:10.143Z</dcterms:modified>
</cp:coreProperties>
</file>

<file path=docProps/custom.xml><?xml version="1.0" encoding="utf-8"?>
<Properties xmlns="http://schemas.openxmlformats.org/officeDocument/2006/custom-properties" xmlns:vt="http://schemas.openxmlformats.org/officeDocument/2006/docPropsVTypes"/>
</file>