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2714E"/>
          <w:sz w:val="17"/>
          <w:szCs w:val="17"/>
        </w:rPr>
        <w:t xml:space="preserve">SYSTEM ARCHITECTURE · MINISTRY OF INVESTMENT</w:t>
      </w:r>
    </w:p>
    <w:p>
      <w:pPr>
        <w:pBdr>
          <w:bottom w:val="single" w:color="02714E" w:sz="12"/>
        </w:pBd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7201B"/>
          <w:sz w:val="44"/>
          <w:szCs w:val="44"/>
        </w:rPr>
        <w:t xml:space="preserve">MISA Intelligence API</w:t>
      </w:r>
    </w:p>
    <w:p>
      <w:pPr>
        <w:spacing w:after="2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A63"/>
          <w:sz w:val="20"/>
          <w:szCs w:val="20"/>
        </w:rPr>
        <w:t xml:space="preserve">FastAPI service for company intelligence over PostgreSQL, with a local model for data residency. The request lifecycle flows top to bottom. Grounded data is composed on the local model and never leaves the host.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2714E"/>
          <w:sz w:val="30"/>
          <w:szCs w:val="30"/>
        </w:rPr>
        <w:t xml:space="preserve">Request lifecycle</w:t>
      </w:r>
    </w:p>
    <w:tbl>
      <w:tblPr>
        <w:tblW w:type="dxa" w:w="9360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4"/>
          <w:insideV w:val="single" w:color="D8DED9" w:sz="4"/>
        </w:tblBorders>
      </w:tblPr>
      <w:tblGrid>
        <w:gridCol w:w="1700"/>
        <w:gridCol w:w="7660"/>
      </w:tblGrid>
      <w:tr>
        <w:tc>
          <w:tcPr>
            <w:tcW w:type="dxa" w:w="170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2714E"/>
                <w:sz w:val="15"/>
                <w:szCs w:val="15"/>
              </w:rPr>
              <w:t xml:space="preserve">CLIENT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A63"/>
                <w:sz w:val="15"/>
                <w:szCs w:val="15"/>
              </w:rPr>
              <w:t xml:space="preserve">Entry points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21"/>
                <w:szCs w:val="21"/>
              </w:rPr>
              <w:t xml:space="preserve">Chat UI  ·  API clients  ·  Business-card upload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8"/>
                <w:szCs w:val="18"/>
              </w:rPr>
              <w:t xml:space="preserve">GET /chat and /api/v1/*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9BB0A6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4"/>
          <w:insideV w:val="single" w:color="D8DED9" w:sz="4"/>
        </w:tblBorders>
      </w:tblPr>
      <w:tblGrid>
        <w:gridCol w:w="1700"/>
        <w:gridCol w:w="7660"/>
      </w:tblGrid>
      <w:tr>
        <w:tc>
          <w:tcPr>
            <w:tcW w:type="dxa" w:w="170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2714E"/>
                <w:sz w:val="15"/>
                <w:szCs w:val="15"/>
              </w:rPr>
              <w:t xml:space="preserve">EDGE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A63"/>
                <w:sz w:val="15"/>
                <w:szCs w:val="15"/>
              </w:rPr>
              <w:t xml:space="preserve">Middleware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21"/>
                <w:szCs w:val="21"/>
              </w:rPr>
              <w:t xml:space="preserve">Body-size cap → Security headers (CSP, HSTS) → Logging → Audit → CORS allowlist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8"/>
                <w:szCs w:val="18"/>
              </w:rPr>
              <w:t xml:space="preserve">app/middleware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9BB0A6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4"/>
          <w:insideV w:val="single" w:color="D8DED9" w:sz="4"/>
        </w:tblBorders>
      </w:tblPr>
      <w:tblGrid>
        <w:gridCol w:w="1700"/>
        <w:gridCol w:w="7660"/>
      </w:tblGrid>
      <w:tr>
        <w:tc>
          <w:tcPr>
            <w:tcW w:type="dxa" w:w="1700"/>
            <w:shd w:fill="F5EE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A5A12"/>
                <w:sz w:val="15"/>
                <w:szCs w:val="15"/>
              </w:rPr>
              <w:t xml:space="preserve">ACCESS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A63"/>
                <w:sz w:val="15"/>
                <w:szCs w:val="15"/>
              </w:rPr>
              <w:t xml:space="preserve">Auth and limits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21"/>
                <w:szCs w:val="21"/>
              </w:rPr>
              <w:t xml:space="preserve">JWT auth (login / refresh)  ·  RBAC (viewer / analyst / admin)  ·  Token revocation  ·  Rate limiter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9BB0A6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4"/>
          <w:insideV w:val="single" w:color="D8DED9" w:sz="4"/>
        </w:tblBorders>
      </w:tblPr>
      <w:tblGrid>
        <w:gridCol w:w="1700"/>
        <w:gridCol w:w="7660"/>
      </w:tblGrid>
      <w:tr>
        <w:tc>
          <w:tcPr>
            <w:tcW w:type="dxa" w:w="170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2714E"/>
                <w:sz w:val="15"/>
                <w:szCs w:val="15"/>
              </w:rPr>
              <w:t xml:space="preserve">API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A63"/>
                <w:sz w:val="15"/>
                <w:szCs w:val="15"/>
              </w:rPr>
              <w:t xml:space="preserve">Routers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21"/>
                <w:szCs w:val="21"/>
              </w:rPr>
              <w:t xml:space="preserve">/chat  ·  /search  ·  /engagement  ·  /documents  ·  /sessions  ·  /business-card  ·  /auth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9BB0A6"/>
          <w:sz w:val="24"/>
          <w:szCs w:val="24"/>
        </w:rPr>
        <w:t xml:space="preserve">↓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2714E"/>
          <w:sz w:val="18"/>
          <w:szCs w:val="18"/>
        </w:rPr>
        <w:t xml:space="preserve">CHAT PIPELINE</w:t>
      </w:r>
    </w:p>
    <w:p>
      <w:pPr>
        <w:spacing w:after="8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C6A63"/>
          <w:sz w:val="16"/>
          <w:szCs w:val="16"/>
        </w:rPr>
        <w:t xml:space="preserve">app/services/chat_engine.py</w:t>
      </w:r>
    </w:p>
    <w:tbl>
      <w:tblPr>
        <w:tblW w:type="dxa" w:w="9360"/>
        <w:tblBorders>
          <w:top w:val="single" w:color="02714E" w:sz="4"/>
          <w:left w:val="single" w:color="02714E" w:sz="4"/>
          <w:bottom w:val="single" w:color="02714E" w:sz="4"/>
          <w:right w:val="single" w:color="02714E" w:sz="4"/>
          <w:insideH w:val="single" w:color="02714E" w:sz="4"/>
          <w:insideV w:val="single" w:color="02714E" w:sz="4"/>
        </w:tblBorders>
      </w:tblPr>
      <w:tblGrid>
        <w:gridCol w:w="620"/>
        <w:gridCol w:w="8740"/>
      </w:tblGrid>
      <w:tr>
        <w:tc>
          <w:tcPr>
            <w:tcW w:type="dxa" w:w="620"/>
            <w:shd w:fill="02714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40"/>
            <w:shd w:fill="F5EED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A12"/>
                <w:sz w:val="20"/>
                <w:szCs w:val="20"/>
              </w:rPr>
              <w:t xml:space="preserve">Prompt guard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C6A63"/>
                <w:sz w:val="15"/>
                <w:szCs w:val="15"/>
              </w:rPr>
              <w:t xml:space="preserve">   prompt_guard.py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A12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Injection and schema-leak detection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refuses before any model or DB work</w:t>
            </w:r>
          </w:p>
        </w:tc>
      </w:tr>
      <w:tr>
        <w:tc>
          <w:tcPr>
            <w:tcW w:type="dxa" w:w="620"/>
            <w:shd w:fill="02714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20"/>
                <w:szCs w:val="20"/>
              </w:rPr>
              <w:t xml:space="preserve">Intent and deliverable routing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C6A63"/>
                <w:sz w:val="15"/>
                <w:szCs w:val="15"/>
              </w:rPr>
              <w:t xml:space="preserve">   intent_router · depth_detector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201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Intent classify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company / executive / country / licensing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201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Depth detect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fact vs briefing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201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Advisory deliverable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market_fit / engagement_plan / targeting</w:t>
            </w:r>
          </w:p>
        </w:tc>
      </w:tr>
      <w:tr>
        <w:tc>
          <w:tcPr>
            <w:tcW w:type="dxa" w:w="620"/>
            <w:shd w:fill="02714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20"/>
                <w:szCs w:val="20"/>
              </w:rPr>
              <w:t xml:space="preserve">Retrieval fan-out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C6A63"/>
                <w:sz w:val="15"/>
                <w:szCs w:val="15"/>
              </w:rPr>
              <w:t xml:space="preserve">   relevance-gated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201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Document library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document_store · OR-match + gate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201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Postgres query builder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database.py · licensing predicates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201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Engagement / opportunity data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engagement_data.py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201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Web search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optional, question-text only</w:t>
            </w:r>
          </w:p>
        </w:tc>
      </w:tr>
      <w:tr>
        <w:tc>
          <w:tcPr>
            <w:tcW w:type="dxa" w:w="620"/>
            <w:shd w:fill="02714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40"/>
            <w:shd w:fill="F5EED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A12"/>
                <w:sz w:val="20"/>
                <w:szCs w:val="20"/>
              </w:rPr>
              <w:t xml:space="preserve">Data protection gate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C6A63"/>
                <w:sz w:val="15"/>
                <w:szCs w:val="15"/>
              </w:rPr>
              <w:t xml:space="preserve">   before any model sees a row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A12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Privacy filter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strips reviewer / MISA / team comments, audit fields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A12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PII masking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email and phone masked</w:t>
            </w:r>
          </w:p>
        </w:tc>
      </w:tr>
      <w:tr>
        <w:tc>
          <w:tcPr>
            <w:tcW w:type="dxa" w:w="620"/>
            <w:shd w:fill="02714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40"/>
            <w:shd w:fill="E5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2714E"/>
                <w:sz w:val="20"/>
                <w:szCs w:val="20"/>
              </w:rPr>
              <w:t xml:space="preserve">LLM residency router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C6A63"/>
                <w:sz w:val="15"/>
                <w:szCs w:val="15"/>
              </w:rPr>
              <w:t xml:space="preserve">   llm_residency.py · strict mode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2714E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Data-grounded → LOCAL Ollama Llama 3.1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DB rows and document text composed on host, never sent to cloud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2714E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Question-only / filtered → Azure OpenAI / OpenAI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question text, or privacy-filtered fact cards only</w:t>
            </w:r>
          </w:p>
        </w:tc>
      </w:tr>
      <w:tr>
        <w:tc>
          <w:tcPr>
            <w:tcW w:type="dxa" w:w="620"/>
            <w:shd w:fill="02714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20"/>
                <w:szCs w:val="20"/>
              </w:rPr>
              <w:t xml:space="preserve">Composition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C6A63"/>
                <w:sz w:val="15"/>
                <w:szCs w:val="15"/>
              </w:rPr>
              <w:t xml:space="preserve">   renderers + LLM narrative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201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Curation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curation.py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201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Advisory structured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structured / enrichment / safety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201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Deep profile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deep_profile.py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201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Commentary fallback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commentary.py</w:t>
            </w:r>
          </w:p>
        </w:tc>
      </w:tr>
      <w:tr>
        <w:tc>
          <w:tcPr>
            <w:tcW w:type="dxa" w:w="620"/>
            <w:shd w:fill="02714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40"/>
            <w:shd w:fill="F5EED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A12"/>
                <w:sz w:val="20"/>
                <w:szCs w:val="20"/>
              </w:rPr>
              <w:t xml:space="preserve">Quality gates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C6A63"/>
                <w:sz w:val="15"/>
                <w:szCs w:val="15"/>
              </w:rPr>
              <w:t xml:space="preserve">   contract-locked output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A12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Style validator + scrub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style_guide.py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A12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Quality gate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quality_gate / response_validator</w:t>
            </w:r>
          </w:p>
          <w:p>
            <w:pPr>
              <w:spacing w:after="2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A12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Executive quality check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6"/>
                <w:szCs w:val="16"/>
              </w:rPr>
              <w:t xml:space="preserve">  –  one-pass regen</w:t>
            </w:r>
          </w:p>
        </w:tc>
      </w:tr>
    </w:tbl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9BB0A6"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4"/>
          <w:insideV w:val="single" w:color="D8DED9" w:sz="4"/>
        </w:tblBorders>
      </w:tblPr>
      <w:tblGrid>
        <w:gridCol w:w="1700"/>
        <w:gridCol w:w="7660"/>
      </w:tblGrid>
      <w:tr>
        <w:tc>
          <w:tcPr>
            <w:tcW w:type="dxa" w:w="170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2714E"/>
                <w:sz w:val="15"/>
                <w:szCs w:val="15"/>
              </w:rPr>
              <w:t xml:space="preserve">OUT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A63"/>
                <w:sz w:val="15"/>
                <w:szCs w:val="15"/>
              </w:rPr>
              <w:t xml:space="preserve">Response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201B"/>
                <w:sz w:val="21"/>
                <w:szCs w:val="21"/>
              </w:rPr>
              <w:t xml:space="preserve">JSON or SSE stream (answer / sources / trace)  ·  PDF and DOCX export  ·  Session persisted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2714E"/>
          <w:sz w:val="30"/>
          <w:szCs w:val="30"/>
        </w:rPr>
        <w:t xml:space="preserve">Supporting subsystems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2714E"/>
          <w:sz w:val="24"/>
          <w:szCs w:val="24"/>
        </w:rPr>
        <w:t xml:space="preserve">Document ingest pipeline</w:t>
      </w:r>
    </w:p>
    <w:p>
      <w:p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C6A63"/>
          <w:sz w:val="16"/>
          <w:szCs w:val="16"/>
        </w:rPr>
        <w:t xml:space="preserve">document_ingest.py · document_classification.py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7201B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01B"/>
          <w:sz w:val="21"/>
          <w:szCs w:val="21"/>
        </w:rPr>
        <w:t xml:space="preserve">Upload received (multipart, size-capped).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7201B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01B"/>
          <w:sz w:val="21"/>
          <w:szCs w:val="21"/>
        </w:rPr>
        <w:t xml:space="preserve">Classification gate: reject Restricted / Secret / Top Secret by screening text, DOCX headers, hidden classifier-tool labels (Boldon James, Purview), in English and Arabic.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7201B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01B"/>
          <w:sz w:val="21"/>
          <w:szCs w:val="21"/>
        </w:rPr>
        <w:t xml:space="preserve">Consent declaration required (versioned policy, logged per acceptance).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7201B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01B"/>
          <w:sz w:val="21"/>
          <w:szCs w:val="21"/>
        </w:rPr>
        <w:t xml:space="preserve">Malware scan (heuristics plus ClamAV / Defender).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7201B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01B"/>
          <w:sz w:val="21"/>
          <w:szCs w:val="21"/>
        </w:rPr>
        <w:t xml:space="preserve">Extract → chunk → index into document_chunks (tsvector).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2714E"/>
          <w:sz w:val="24"/>
          <w:szCs w:val="24"/>
        </w:rPr>
        <w:t xml:space="preserve">Business card and engagement</w:t>
      </w:r>
    </w:p>
    <w:p>
      <w:p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C6A63"/>
          <w:sz w:val="16"/>
          <w:szCs w:val="16"/>
        </w:rPr>
        <w:t xml:space="preserve">business_card_engine.py · engagement_engine.py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01B"/>
          <w:sz w:val="21"/>
          <w:szCs w:val="21"/>
        </w:rPr>
        <w:t xml:space="preserve">Card image → Google Vision OCR → contact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01B"/>
          <w:sz w:val="21"/>
          <w:szCs w:val="21"/>
        </w:rPr>
        <w:t xml:space="preserve">Engagement dossier: OpenAI Responses API with web search (analyst role, highest-cost path).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2714E"/>
          <w:sz w:val="30"/>
          <w:szCs w:val="30"/>
        </w:rPr>
        <w:t xml:space="preserve">Persistence and external services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2714E"/>
          <w:sz w:val="24"/>
          <w:szCs w:val="24"/>
        </w:rPr>
        <w:t xml:space="preserve">PostgreSQL</w:t>
      </w:r>
    </w:p>
    <w:tbl>
      <w:tblPr>
        <w:tblW w:type="dxa" w:w="9360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4"/>
          <w:insideV w:val="single" w:color="D8DED9" w:sz="4"/>
        </w:tblBorders>
      </w:tblPr>
      <w:tblGrid>
        <w:gridCol w:w="3400"/>
        <w:gridCol w:w="5960"/>
      </w:tblGrid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company_profiles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8"/>
                <w:szCs w:val="18"/>
              </w:rPr>
              <w:t xml:space="preserve">~254k rows · canonical licensed / is_rhq markers</w:t>
            </w:r>
          </w:p>
        </w:tc>
      </w:tr>
      <w:tr>
        <w:tc>
          <w:tcPr>
            <w:tcW w:type="dxa" w:w="340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rhq_company · rhq_licenses</w:t>
            </w:r>
          </w:p>
        </w:tc>
        <w:tc>
          <w:tcPr>
            <w:tcW w:type="dxa" w:w="596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8"/>
                <w:szCs w:val="18"/>
              </w:rPr>
              <w:t xml:space="preserve">RHQ license list and license records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documents · document_chunks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8"/>
                <w:szCs w:val="18"/>
              </w:rPr>
              <w:t xml:space="preserve">document library plus tsvector full-text index</w:t>
            </w:r>
          </w:p>
        </w:tc>
      </w:tr>
      <w:tr>
        <w:tc>
          <w:tcPr>
            <w:tcW w:type="dxa" w:w="340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opportunities · meetings</w:t>
            </w:r>
          </w:p>
        </w:tc>
        <w:tc>
          <w:tcPr>
            <w:tcW w:type="dxa" w:w="596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8"/>
                <w:szCs w:val="18"/>
              </w:rPr>
              <w:t xml:space="preserve">engagement and opportunity alignment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ir_shareholders · bus_data · countries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8"/>
                <w:szCs w:val="18"/>
              </w:rPr>
              <w:t xml:space="preserve">origin / nationality resolution</w:t>
            </w:r>
          </w:p>
        </w:tc>
      </w:tr>
      <w:tr>
        <w:tc>
          <w:tcPr>
            <w:tcW w:type="dxa" w:w="340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sessions · refresh tokens</w:t>
            </w:r>
          </w:p>
        </w:tc>
        <w:tc>
          <w:tcPr>
            <w:tcW w:type="dxa" w:w="596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8"/>
                <w:szCs w:val="18"/>
              </w:rPr>
              <w:t xml:space="preserve">chat history and auth state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2714E"/>
          <w:sz w:val="24"/>
          <w:szCs w:val="24"/>
        </w:rPr>
        <w:t xml:space="preserve">External services</w:t>
      </w:r>
    </w:p>
    <w:tbl>
      <w:tblPr>
        <w:tblW w:type="dxa" w:w="9360"/>
        <w:tblBorders>
          <w:top w:val="single" w:color="D8DED9" w:sz="4"/>
          <w:left w:val="single" w:color="D8DED9" w:sz="4"/>
          <w:bottom w:val="single" w:color="D8DED9" w:sz="4"/>
          <w:right w:val="single" w:color="D8DED9" w:sz="4"/>
          <w:insideH w:val="single" w:color="D8DED9" w:sz="4"/>
          <w:insideV w:val="single" w:color="D8DED9" w:sz="4"/>
        </w:tblBorders>
      </w:tblPr>
      <w:tblGrid>
        <w:gridCol w:w="3400"/>
        <w:gridCol w:w="5960"/>
      </w:tblGrid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Ollama — Llama 3.1 (local)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8"/>
                <w:szCs w:val="18"/>
              </w:rPr>
              <w:t xml:space="preserve">127.0.0.1:11434 · all grounded composition stays on host</w:t>
            </w:r>
          </w:p>
        </w:tc>
      </w:tr>
      <w:tr>
        <w:tc>
          <w:tcPr>
            <w:tcW w:type="dxa" w:w="340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Azure OpenAI / OpenAI</w:t>
            </w:r>
          </w:p>
        </w:tc>
        <w:tc>
          <w:tcPr>
            <w:tcW w:type="dxa" w:w="5960"/>
            <w:shd w:fill="F2F5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8"/>
                <w:szCs w:val="18"/>
              </w:rPr>
              <w:t xml:space="preserve">routing, question-only, filtered narrative, engagement dossiers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7201B"/>
                <w:sz w:val="18"/>
                <w:szCs w:val="18"/>
              </w:rPr>
              <w:t xml:space="preserve">Google Vision · Web search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6A63"/>
                <w:sz w:val="18"/>
                <w:szCs w:val="18"/>
              </w:rPr>
              <w:t xml:space="preserve">OCR and live public context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2714E"/>
          <w:sz w:val="30"/>
          <w:szCs w:val="30"/>
        </w:rPr>
        <w:t xml:space="preserve">Data residency legend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2714E"/>
          <w:sz w:val="21"/>
          <w:szCs w:val="21"/>
        </w:rPr>
        <w:t xml:space="preserve">Local (stays on host):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01B"/>
          <w:sz w:val="21"/>
          <w:szCs w:val="21"/>
        </w:rPr>
        <w:t xml:space="preserve">database rows and document text are composed by the local Llama 3.1 model. No grounded data is sent to any cloud provider.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C5E93"/>
          <w:sz w:val="21"/>
          <w:szCs w:val="21"/>
        </w:rPr>
        <w:t xml:space="preserve">Cloud (leaves host):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01B"/>
          <w:sz w:val="21"/>
          <w:szCs w:val="21"/>
        </w:rPr>
        <w:t xml:space="preserve">only the question text, or privacy-filtered fact cards with all internal fields stripped, may go to Azure / OpenAI.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8A5A12"/>
          <w:sz w:val="21"/>
          <w:szCs w:val="21"/>
        </w:rPr>
        <w:t xml:space="preserve">Protection layers: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01B"/>
          <w:sz w:val="21"/>
          <w:szCs w:val="21"/>
        </w:rPr>
        <w:t xml:space="preserve">auth, RBAC, prompt guard, privacy filter, PII masking, and the output quality gates.</w:t>
      </w:r>
    </w:p>
    <w:p>
      <w:pPr>
        <w:spacing w:after="10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A63"/>
          <w:sz w:val="17"/>
          <w:szCs w:val="17"/>
        </w:rPr>
        <w:t xml:space="preserve">Repository: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C6A63"/>
          <w:sz w:val="16"/>
          <w:szCs w:val="16"/>
        </w:rPr>
        <w:t xml:space="preserve">github.com/joudathashmi/chatbotollama21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A63"/>
          <w:sz w:val="17"/>
          <w:szCs w:val="17"/>
        </w:rPr>
        <w:t xml:space="preserve">     Prepared 26 July 2026.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0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2026-07-26T16:29:04.246Z</dcterms:created>
  <dcterms:modified xsi:type="dcterms:W3CDTF">2026-07-26T16:29:04.250Z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