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3969"/>
      </w:tblGrid>
      <w:tr>
        <w:tc>
          <w:tcPr>
            <w:tcW w:type="dxa" w:w="4394"/>
            <w:vAlign w:val="center"/>
          </w:tcPr>
          <w:p>
            <w:pPr>
              <w:jc w:val="left"/>
            </w:pPr>
            <w:r>
              <w:drawing>
                <wp:inline xmlns:a="http://schemas.openxmlformats.org/drawingml/2006/main" xmlns:pic="http://schemas.openxmlformats.org/drawingml/2006/picture">
                  <wp:extent cx="2592000" cy="562549"/>
                  <wp:docPr id="143" name="Picture 143" descr="Image: image2.png"/>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92000" cy="562549"/>
                          </a:xfrm>
                          <a:prstGeom prst="rect"/>
                        </pic:spPr>
                      </pic:pic>
                    </a:graphicData>
                  </a:graphic>
                </wp:inline>
              </w:drawing>
            </w:r>
          </w:p>
        </w:tc>
        <w:tc>
          <w:tcPr>
            <w:tcW w:type="dxa" w:w="4394"/>
            <w:vAlign w:val="center"/>
          </w:tcPr>
          <w:p>
            <w:pPr>
              <w:jc w:val="right"/>
            </w:pPr>
            <w:r>
              <w:drawing>
                <wp:inline xmlns:a="http://schemas.openxmlformats.org/drawingml/2006/main" xmlns:pic="http://schemas.openxmlformats.org/drawingml/2006/picture">
                  <wp:extent cx="1872000" cy="316103"/>
                  <wp:docPr id="144" name="Picture 144" descr="Image: image1.png"/>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872000" cy="316103"/>
                          </a:xfrm>
                          <a:prstGeom prst="rect"/>
                        </pic:spPr>
                      </pic:pic>
                    </a:graphicData>
                  </a:graphic>
                </wp:inline>
              </w:drawing>
            </w:r>
          </w:p>
        </w:tc>
        <w:trPr>
          <w:tblHeader/>
        </w:trPr>
      </w:tr>
    </w:tbl>
    <w:p>
      <w:pPr>
        <w:spacing w:before="720"/>
        <w:jc w:val="center"/>
      </w:pPr>
      <w:r>
        <w:rPr>
          <w:rFonts w:ascii="Times New Roman" w:hAnsi="Times New Roman"/>
          <w:b/>
          <w:color w:val="003C2A"/>
          <w:sz w:val="44"/>
        </w:rPr>
        <w:t>RAPPORT DE PROJET DE FIN D’ÉTUDES</w:t>
      </w:r>
    </w:p>
    <w:p>
      <w:pPr>
        <w:jc w:val="center"/>
        <w:pBdr>
          <w:bottom w:val="single" w:sz="10" w:space="6" w:color="B75A22"/>
        </w:pBdr>
      </w:pPr>
      <w:r>
        <w:rPr>
          <w:rFonts w:ascii="Times New Roman" w:hAnsi="Times New Roman"/>
          <w:b/>
          <w:color w:val="4B5563"/>
          <w:sz w:val="28"/>
        </w:rPr>
        <w:t>5ᵉ année — Ingénierie Informatique et Réseaux</w:t>
      </w:r>
    </w:p>
    <w:p>
      <w:pPr>
        <w:spacing w:before="280"/>
        <w:jc w:val="center"/>
      </w:pPr>
      <w:r>
        <w:rPr>
          <w:rFonts w:ascii="Times New Roman" w:hAnsi="Times New Roman"/>
          <w:b/>
          <w:color w:val="B75A22"/>
          <w:sz w:val="22"/>
        </w:rPr>
        <w:t>SOUS LE THÈME</w:t>
      </w:r>
    </w:p>
    <w:p>
      <w:pPr>
        <w:spacing w:before="100" w:after="280"/>
        <w:jc w:val="center"/>
      </w:pPr>
      <w:r>
        <w:rPr>
          <w:rFonts w:ascii="Times New Roman" w:hAnsi="Times New Roman"/>
          <w:b/>
          <w:color w:val="003C2A"/>
          <w:sz w:val="36"/>
        </w:rPr>
        <w:t>CONCEPTION ET DÉVELOPPEMENT D’UNE PLATEFORME WEB B2B POUR G-ROD</w:t>
      </w:r>
    </w:p>
    <w:p>
      <w:pPr>
        <w:jc w:val="center"/>
      </w:pPr>
      <w:r>
        <w:rPr>
          <w:rFonts w:ascii="Times New Roman" w:hAnsi="Times New Roman"/>
          <w:b/>
          <w:color w:val="4B5563"/>
          <w:sz w:val="24"/>
        </w:rPr>
        <w:t>Période de stage : du 01 mars 2026 au 31 août 2026</w:t>
      </w:r>
    </w:p>
    <w:p>
      <w:pPr>
        <w:spacing w:before="360"/>
        <w:jc w:val="center"/>
      </w:pPr>
      <w:r>
        <w:rPr>
          <w:rFonts w:ascii="Times New Roman" w:hAnsi="Times New Roman"/>
          <w:b/>
          <w:color w:val="111111"/>
          <w:sz w:val="24"/>
        </w:rPr>
        <w:t>Réalisé par :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139"/>
        <w:gridCol w:w="4649"/>
      </w:tblGrid>
      <w:tr>
        <w:tc>
          <w:tcPr>
            <w:tcW w:type="dxa" w:w="4394"/>
          </w:tcPr>
          <w:p>
            <w:pPr>
              <w:spacing w:before="160"/>
            </w:pPr>
            <w:r>
              <w:rPr>
                <w:rFonts w:ascii="Times New Roman" w:hAnsi="Times New Roman"/>
                <w:b/>
                <w:color w:val="003C2A"/>
                <w:sz w:val="23"/>
              </w:rPr>
              <w:t>Encadrement</w:t>
              <w:br/>
            </w:r>
            <w:r>
              <w:rPr>
                <w:rFonts w:ascii="Times New Roman" w:hAnsi="Times New Roman"/>
                <w:b w:val="0"/>
                <w:color w:val="111111"/>
                <w:sz w:val="23"/>
              </w:rPr>
              <w:t>Tuteur EMSI : ................................</w:t>
              <w:br/>
            </w:r>
            <w:r>
              <w:rPr>
                <w:rFonts w:ascii="Times New Roman" w:hAnsi="Times New Roman"/>
                <w:b w:val="0"/>
                <w:color w:val="111111"/>
                <w:sz w:val="23"/>
              </w:rPr>
              <w:t>Tuteur entreprise : ........................</w:t>
              <w:br/>
            </w:r>
          </w:p>
        </w:tc>
        <w:tc>
          <w:tcPr>
            <w:tcW w:type="dxa" w:w="4394"/>
          </w:tcPr>
          <w:p>
            <w:pPr>
              <w:spacing w:before="160"/>
            </w:pPr>
            <w:r>
              <w:rPr>
                <w:rFonts w:ascii="Times New Roman" w:hAnsi="Times New Roman"/>
                <w:b/>
                <w:color w:val="003C2A"/>
                <w:sz w:val="23"/>
              </w:rPr>
              <w:t>Organisme d’accueil</w:t>
              <w:br/>
            </w:r>
            <w:r>
              <w:rPr>
                <w:rFonts w:ascii="Times New Roman" w:hAnsi="Times New Roman"/>
                <w:b w:val="0"/>
                <w:color w:val="111111"/>
                <w:sz w:val="23"/>
              </w:rPr>
              <w:t>Morocco Copper Foundry — G-ROD</w:t>
              <w:br/>
            </w:r>
            <w:r>
              <w:rPr>
                <w:rFonts w:ascii="Times New Roman" w:hAnsi="Times New Roman"/>
                <w:b w:val="0"/>
                <w:color w:val="111111"/>
                <w:sz w:val="23"/>
              </w:rPr>
              <w:t>Activité : .....................................</w:t>
              <w:br/>
            </w:r>
            <w:r>
              <w:rPr>
                <w:rFonts w:ascii="Times New Roman" w:hAnsi="Times New Roman"/>
                <w:b w:val="0"/>
                <w:color w:val="111111"/>
                <w:sz w:val="23"/>
              </w:rPr>
              <w:t>Adresse : .....................................</w:t>
              <w:br/>
            </w:r>
          </w:p>
        </w:tc>
        <w:trPr>
          <w:tblHeader/>
        </w:trPr>
      </w:tr>
    </w:tbl>
    <w:p>
      <w:pPr>
        <w:spacing w:before="360"/>
        <w:jc w:val="center"/>
        <w:pBdr>
          <w:bottom w:val="single" w:sz="6" w:space="6" w:color="006B3C"/>
        </w:pBdr>
      </w:pPr>
      <w:r>
        <w:rPr>
          <w:rFonts w:ascii="Times New Roman" w:hAnsi="Times New Roman"/>
          <w:b/>
          <w:color w:val="4B5563"/>
          <w:sz w:val="22"/>
        </w:rPr>
        <w:t>ANNÉE UNIVERSITAIRE 2025–2026</w:t>
      </w:r>
    </w:p>
    <w:p>
      <w:pPr>
        <w:sectPr w:rsidR="003D1AC4" w:rsidRPr="003D1AC4" w:rsidSect="00371369">
          <w:headerReference w:type="default" r:id="rId17"/>
          <w:footerReference w:type="default" r:id="rId18"/>
          <w:pgSz w:w="11906" w:h="16838"/>
          <w:pgMar w:top="1417" w:right="1417" w:bottom="1417" w:left="1701" w:header="709" w:footer="709" w:gutter="0"/>
          <w:cols w:space="708"/>
          <w:titlePg/>
          <w:docGrid w:linePitch="360"/>
        </w:sectPr>
      </w:pPr>
    </w:p>
    <w:p>
      <w:pPr>
        <w:pStyle w:val="Heading1"/>
        <w:jc w:val="center"/>
      </w:pPr>
      <w:r>
        <w:rPr>
          <w:rFonts w:ascii="Times New Roman" w:hAnsi="Times New Roman"/>
          <w:color w:val="111111"/>
          <w:sz w:val="24"/>
        </w:rPr>
        <w:t>Dédicace</w:t>
      </w:r>
    </w:p>
    <w:p>
      <w:pPr>
        <w:spacing w:before="960" w:after="360"/>
        <w:jc w:val="center"/>
      </w:pPr>
      <w:r>
        <w:rPr>
          <w:rFonts w:ascii="Times New Roman" w:hAnsi="Times New Roman" w:eastAsia="Times New Roman"/>
          <w:i/>
          <w:color w:val="111111"/>
          <w:sz w:val="24"/>
        </w:rPr>
        <w:t>À ma famille, à mes enseignants et à toutes les personnes qui m’ont soutenu tout au long de mon parcours.</w:t>
      </w:r>
    </w:p>
    <w:p>
      <w:pPr>
        <w:jc w:val="center"/>
      </w:pPr>
      <w:r>
        <w:rPr>
          <w:rFonts w:ascii="Times New Roman" w:hAnsi="Times New Roman"/>
          <w:color w:val="111111"/>
          <w:sz w:val="24"/>
        </w:rPr>
        <w:t>[À PERSONNALISER PAR L’ÉTUDIANT]</w:t>
      </w:r>
    </w:p>
    <w:p>
      <w:r>
        <w:rPr>
          <w:rFonts w:ascii="Times New Roman" w:hAnsi="Times New Roman"/>
          <w:color w:val="111111"/>
          <w:sz w:val="24"/>
        </w:rPr>
        <w:br w:type="page"/>
      </w:r>
    </w:p>
    <w:p>
      <w:pPr>
        <w:pStyle w:val="Heading1"/>
      </w:pPr>
      <w:r>
        <w:rPr>
          <w:rFonts w:ascii="Times New Roman" w:hAnsi="Times New Roman"/>
          <w:color w:val="111111"/>
          <w:sz w:val="24"/>
        </w:rPr>
        <w:t>Remerciements</w:t>
      </w:r>
    </w:p>
    <w:p>
      <w:pPr>
        <w:pStyle w:val="Placeholder"/>
        <w:jc w:val="both"/>
      </w:pPr>
      <w:r>
        <w:rPr>
          <w:rFonts w:ascii="Times New Roman" w:hAnsi="Times New Roman"/>
          <w:color w:val="111111"/>
          <w:sz w:val="24"/>
        </w:rPr>
        <w:t>[À PERSONNALISER PAR L’ÉTUDIANT]</w:t>
      </w:r>
    </w:p>
    <w:p>
      <w:r>
        <w:rPr>
          <w:rFonts w:ascii="Times New Roman" w:hAnsi="Times New Roman" w:eastAsia="Times New Roman"/>
          <w:color w:val="111111"/>
          <w:sz w:val="24"/>
        </w:rPr>
        <w:t>Je tiens à exprimer ma sincère gratitude à toutes les personnes qui ont contribué à la réalisation de ce projet de fin d'études. Je remercie tout particulièrement mon encadrant en entreprise pour son accompagnement, ses remarques et la confiance accordée durant la conception de la plateforme G-ROD.</w:t>
      </w:r>
    </w:p>
    <w:p>
      <w:r>
        <w:rPr>
          <w:rFonts w:ascii="Times New Roman" w:hAnsi="Times New Roman" w:eastAsia="Times New Roman"/>
          <w:color w:val="111111"/>
          <w:sz w:val="24"/>
        </w:rPr>
        <w:t>Mes remerciements s'adressent également à mon encadrant pédagogique ainsi qu'à l'ensemble du corps professoral pour les connaissances transmises au cours de ma formation. Enfin, je remercie ma famille et mes proches pour leur soutien constant tout au long de ce parcours.</w:t>
      </w:r>
    </w:p>
    <w:p>
      <w:r>
        <w:rPr>
          <w:rFonts w:ascii="Times New Roman" w:hAnsi="Times New Roman"/>
          <w:color w:val="111111"/>
          <w:sz w:val="24"/>
        </w:rPr>
        <w:br w:type="page"/>
      </w:r>
    </w:p>
    <w:p>
      <w:pPr>
        <w:pStyle w:val="Heading1"/>
      </w:pPr>
      <w:r>
        <w:rPr>
          <w:rFonts w:ascii="Times New Roman" w:hAnsi="Times New Roman"/>
          <w:color w:val="111111"/>
          <w:sz w:val="24"/>
        </w:rPr>
        <w:t>Résumé</w:t>
      </w:r>
    </w:p>
    <w:p>
      <w:pPr>
        <w:jc w:val="both"/>
      </w:pPr>
      <w:r>
        <w:rPr>
          <w:rFonts w:ascii="Times New Roman" w:hAnsi="Times New Roman" w:eastAsia="Times New Roman" w:cs="Times New Roman"/>
          <w:color w:val="111111"/>
          <w:sz w:val="24"/>
        </w:rPr>
        <w:t>Ce projet de fin d’études porte sur la conception et le développement de G-ROD, une plateforme web B2B destinée à Morocco Copper Foundry. Le besoin initial était double : présenter de manière structurée une gamme de huit produits en cuivre et centraliser le suivi des demandes commerciales et documentaires. La solution réalisée comprend un site public responsive, un catalogue avec recherche, filtres, fiches détaillées et aperçus 3D chargés à la demande, ainsi qu’un espace d’administration consacré aux demandes de devis, aux clients, aux produits, aux ressources techniques et aux notifications.</w:t>
      </w:r>
    </w:p>
    <w:p>
      <w:pPr>
        <w:jc w:val="both"/>
      </w:pPr>
      <w:r>
        <w:rPr>
          <w:rFonts w:ascii="Times New Roman" w:hAnsi="Times New Roman" w:eastAsia="Times New Roman" w:cs="Times New Roman"/>
          <w:color w:val="111111"/>
          <w:sz w:val="24"/>
        </w:rPr>
        <w:t>L’architecture s’appuie sur un backend Java 21 avec Spring Boot 3.5.14, une interface React 19.2.6 construite avec Vite 8.2.1 et une base MySQL dans la configuration applicative. La sécurité de l’administration repose sur Spring Security, des jetons JWT, le hachage BCrypt, une limitation locale du débit et un support WebAuthn partiel. Les fichiers téléversés sont contrôlés puis stockés sur disque. La validation réelle a donné 44 tests backend réussis sur 44, un contrôle ESLint réussi, un build Vite réussi et 37 scénarios Playwright réussis sur 38. L’unique échec de recette provient d’images initiales externes devenues injoignables, et non d’un blocage du parcours métier principal.</w:t>
      </w:r>
    </w:p>
    <w:p>
      <w:pPr>
        <w:jc w:val="both"/>
      </w:pPr>
      <w:r>
        <w:rPr>
          <w:rFonts w:ascii="Times New Roman" w:hAnsi="Times New Roman" w:eastAsia="Times New Roman" w:cs="Times New Roman"/>
          <w:color w:val="111111"/>
          <w:sz w:val="24"/>
        </w:rPr>
        <w:t>Le résultat est une Release Candidate exploitable pour une démonstration académique et une préparation au déploiement derrière Nginx. L’audit final met toutefois en évidence plusieurs limites : l’absence de chaîne CI/CD, un mode hors ligne PWA incomplet, des modèles 3D génériques qui ne remplacent pas des fichiers CAO, un composant frontend devenu volumineux et des mécanismes de stockage ou de limitation qui restent locaux à une instance. Ces constats servent de base aux perspectives proposées, sans présenter comme livrées des fonctions encore absentes.</w:t>
      </w:r>
    </w:p>
    <w:p>
      <w:r>
        <w:rPr>
          <w:rFonts w:ascii="Times New Roman" w:hAnsi="Times New Roman" w:eastAsia="Times New Roman" w:cs="Times New Roman"/>
          <w:b/>
          <w:color w:val="111111"/>
          <w:sz w:val="24"/>
        </w:rPr>
        <w:t xml:space="preserve">Mots-clés : </w:t>
      </w:r>
      <w:r>
        <w:rPr>
          <w:rFonts w:ascii="Times New Roman" w:hAnsi="Times New Roman" w:eastAsia="Times New Roman" w:cs="Times New Roman"/>
          <w:color w:val="111111"/>
          <w:sz w:val="24"/>
        </w:rPr>
        <w:t>plateforme B2B, cuivre, React, Spring Boot, catalogue industriel.</w:t>
      </w:r>
    </w:p>
    <w:p>
      <w:r>
        <w:rPr>
          <w:rFonts w:ascii="Times New Roman" w:hAnsi="Times New Roman"/>
          <w:color w:val="111111"/>
          <w:sz w:val="24"/>
        </w:rPr>
        <w:br w:type="page"/>
      </w:r>
    </w:p>
    <w:p>
      <w:pPr>
        <w:pStyle w:val="Heading1"/>
      </w:pPr>
      <w:r>
        <w:rPr>
          <w:rFonts w:ascii="Times New Roman" w:hAnsi="Times New Roman"/>
          <w:color w:val="111111"/>
          <w:sz w:val="24"/>
        </w:rPr>
        <w:t>Abstract</w:t>
      </w:r>
    </w:p>
    <w:p>
      <w:pPr>
        <w:jc w:val="both"/>
      </w:pPr>
      <w:r>
        <w:rPr>
          <w:rFonts w:ascii="Times New Roman" w:hAnsi="Times New Roman" w:eastAsia="Times New Roman" w:cs="Times New Roman"/>
          <w:color w:val="111111"/>
          <w:sz w:val="24"/>
        </w:rPr>
        <w:t>This final-year project concerns the design and development of G-ROD, a B2B web platform for Morocco Copper Foundry. The initial need was to present an eight-product copper catalogue in a structured way and to centralize commercial and technical-document requests. The delivered solution combines a responsive public website with search, filters, product detail pages and on-demand 3D previews, and a secured administration area for quotations, customers, products, technical resources and notifications.</w:t>
      </w:r>
    </w:p>
    <w:p>
      <w:pPr>
        <w:jc w:val="both"/>
      </w:pPr>
      <w:r>
        <w:rPr>
          <w:rFonts w:ascii="Times New Roman" w:hAnsi="Times New Roman" w:eastAsia="Times New Roman" w:cs="Times New Roman"/>
          <w:color w:val="111111"/>
          <w:sz w:val="24"/>
        </w:rPr>
        <w:t>The implementation uses Java 21 and Spring Boot 3.5.14 for the backend, React 19.2.6 with Vite 8.2.1 for the frontend, and MySQL in the application configuration. Administrative access uses Spring Security, JWT tokens, BCrypt password hashing, local rate limiting and partial WebAuthn support. File uploads are validated and stored on disk. The verified results are 44 successful backend tests out of 44, a successful ESLint check, a successful Vite production build, and 37 successful Playwright scenarios out of 38. The remaining browser-test failure is caused by unreachable external seed-image hosts rather than by the core business workflow.</w:t>
      </w:r>
    </w:p>
    <w:p>
      <w:pPr>
        <w:jc w:val="both"/>
      </w:pPr>
      <w:r>
        <w:rPr>
          <w:rFonts w:ascii="Times New Roman" w:hAnsi="Times New Roman" w:eastAsia="Times New Roman" w:cs="Times New Roman"/>
          <w:color w:val="111111"/>
          <w:sz w:val="24"/>
        </w:rPr>
        <w:t>The project therefore provides a demonstrable Release Candidate and the material needed to prepare a reverse-proxy deployment. The final audit also records the current boundaries: no CI/CD workflow, incomplete PWA offline coverage, generic 3D assets rather than CAD models, a large frontend component, and local-only storage and rate-limiting mechanisms. These findings are reported transparently and converted into realistic improvement paths.</w:t>
      </w:r>
    </w:p>
    <w:p>
      <w:r>
        <w:rPr>
          <w:rFonts w:ascii="Times New Roman" w:hAnsi="Times New Roman" w:eastAsia="Times New Roman" w:cs="Times New Roman"/>
          <w:b/>
          <w:color w:val="111111"/>
          <w:sz w:val="24"/>
        </w:rPr>
        <w:t xml:space="preserve">Keywords: </w:t>
      </w:r>
      <w:r>
        <w:rPr>
          <w:rFonts w:ascii="Times New Roman" w:hAnsi="Times New Roman" w:eastAsia="Times New Roman" w:cs="Times New Roman"/>
          <w:color w:val="111111"/>
          <w:sz w:val="24"/>
        </w:rPr>
        <w:t>B2B platform, copper, React, Spring Boot, industrial catalogue.</w:t>
      </w:r>
    </w:p>
    <w:p>
      <w:r>
        <w:rPr>
          <w:rFonts w:ascii="Times New Roman" w:hAnsi="Times New Roman"/>
          <w:color w:val="111111"/>
          <w:sz w:val="24"/>
        </w:rPr>
        <w:br w:type="page"/>
      </w:r>
    </w:p>
    <w:p>
      <w:pPr>
        <w:pStyle w:val="Heading1"/>
        <w:jc w:val="right"/>
        <w:bidi w:val="1"/>
      </w:pPr>
      <w:r>
        <w:rPr>
          <w:rFonts w:ascii="Times New Roman" w:hAnsi="Times New Roman" w:eastAsia="Arial"/>
          <w:color w:val="111111"/>
          <w:sz w:val="24"/>
          <w:rtl w:val="1"/>
        </w:rPr>
        <w:t>ملخص</w:t>
      </w:r>
    </w:p>
    <w:p>
      <w:pPr>
        <w:jc w:val="right"/>
        <w:bidi w:val="1"/>
      </w:pPr>
      <w:r>
        <w:rPr>
          <w:rFonts w:ascii="Times New Roman" w:hAnsi="Times New Roman" w:eastAsia="Arial" w:cs="Arial"/>
          <w:color w:val="111111"/>
          <w:sz w:val="24"/>
        </w:rPr>
        <w:t>يقدم هذا المشروع منصة G-ROD الموجهة إلى شركة Morocco Copper Foundry. تم إنجازها لتنظيم عرض ثمانية منتجات نحاسية، وتسهيل طلبات عروض الأسعار والوثائق التقنية، ثم جمع متابعتها داخل فضاء إداري واحد. يتضمن الموقع العام كتالوجاً قابلاً للبحث والتصفية، وصفحات مفصلة للمنتجات، ومعاينات ثلاثية الأبعاد عند الطلب، ونماذج لإرسال الطلبات. كما يوفر فضاء الإدارة متابعة الطلبات والعملاء والمنتجات والموارد التقنية والإشعارات.</w:t>
      </w:r>
    </w:p>
    <w:p>
      <w:pPr>
        <w:jc w:val="right"/>
        <w:bidi w:val="1"/>
      </w:pPr>
      <w:r>
        <w:rPr>
          <w:rFonts w:ascii="Times New Roman" w:hAnsi="Times New Roman" w:eastAsia="Arial" w:cs="Arial"/>
          <w:color w:val="111111"/>
          <w:sz w:val="24"/>
        </w:rPr>
        <w:t>يعتمد الجزء الخلفي على Java 21 وSpring Boot 3.5.14، بينما تعتمد الواجهة على React 19.2.6 وVite 8.2.1، مع MySQL في إعداد التطبيق. تشمل الحماية Spring Security ورموز JWT وتشفير كلمات المرور بواسطة BCrypt وتحديداً محلياً لمعدل الطلبات، إضافة إلى دعم جزئي لمفاتيح WebAuthn. أسفرت عملية التحقق الفعلية عن نجاح 44 اختباراً خلفياً من أصل 44، ونجاح ESLint وبناء Vite، ونجاح 37 اختبار Playwright من أصل 38. يرتبط الاختبار غير الناجح بصور خارجية لم تعد متاحة، ولا يمنع المسار الوظيفي الأساسي.</w:t>
      </w:r>
    </w:p>
    <w:p>
      <w:pPr>
        <w:jc w:val="right"/>
        <w:bidi w:val="1"/>
      </w:pPr>
      <w:r>
        <w:rPr>
          <w:rFonts w:ascii="Times New Roman" w:hAnsi="Times New Roman" w:eastAsia="Arial" w:cs="Arial"/>
          <w:color w:val="111111"/>
          <w:sz w:val="24"/>
        </w:rPr>
        <w:t>أنتج المشروع نسخة مرشحة للإصدار قابلة للعرض والتحضير للنشر خلف Nginx. ويسجل التدقيق النهائي حدوداً واضحة، منها غياب الأتمتة CI/CD، وعدم اكتمال العمل دون اتصال، واعتماد نماذج ثلاثية الأبعاد عامة بدل ملفات هندسية، والحاجة إلى تقسيم الواجهة الكبيرة وتحسين التخزين عند التوسع.</w:t>
      </w:r>
    </w:p>
    <w:p>
      <w:pPr>
        <w:jc w:val="right"/>
      </w:pPr>
      <w:r>
        <w:rPr>
          <w:rFonts w:ascii="Times New Roman" w:hAnsi="Times New Roman" w:eastAsia="Arial" w:cs="Arial"/>
          <w:b/>
          <w:color w:val="111111"/>
          <w:sz w:val="24"/>
        </w:rPr>
        <w:t>الكلمات المفتاحية: منصة أعمال، النحاس، React، Spring Boot، كتالوج صناعي.</w:t>
      </w:r>
    </w:p>
    <w:p>
      <w:r>
        <w:rPr>
          <w:rFonts w:ascii="Times New Roman" w:hAnsi="Times New Roman"/>
          <w:color w:val="111111"/>
          <w:sz w:val="24"/>
        </w:rPr>
        <w:br w:type="page"/>
      </w:r>
    </w:p>
    <w:p>
      <w:pPr>
        <w:pStyle w:val="Heading1"/>
      </w:pPr>
      <w:r>
        <w:rPr>
          <w:rFonts w:ascii="Times New Roman" w:hAnsi="Times New Roman"/>
          <w:color w:val="111111"/>
          <w:sz w:val="24"/>
        </w:rPr>
        <w:t>Table des matières</w:t>
      </w:r>
    </w:p>
    <w:p>
      <w:pPr>
        <w:tabs>
          <w:tab w:pos="8504" w:val="right" w:leader="dot"/>
          <w:tab w:pos="8504" w:val="right" w:leader="dot"/>
        </w:tabs>
        <w:spacing w:line="252" w:lineRule="auto" w:after="0"/>
      </w:pPr>
      <w:r>
        <w:fldChar w:fldCharType="begin"/>
      </w:r>
      <w:r>
        <w:instrText xml:space="preserve">TOC \o "1-3" \h \z \u</w:instrText>
      </w:r>
      <w:r>
        <w:fldChar w:fldCharType="separate"/>
      </w:r>
      <w:r>
        <w:rPr>
          <w:rFonts w:ascii="Times New Roman" w:hAnsi="Times New Roman"/>
          <w:b/>
          <w:color w:val="003C2A"/>
          <w:sz w:val="18"/>
        </w:rPr>
        <w:t>Introduction générale</w:t>
      </w:r>
      <w:r>
        <w:rPr>
          <w:rFonts w:ascii="Times New Roman" w:hAnsi="Times New Roman"/>
          <w:b/>
          <w:color w:val="003C2A"/>
          <w:sz w:val="18"/>
        </w:rPr>
        <w:tab/>
        <w:t>6</w:t>
        <w:br/>
      </w:r>
      <w:r>
        <w:rPr>
          <w:rFonts w:ascii="Times New Roman" w:hAnsi="Times New Roman"/>
          <w:b/>
          <w:color w:val="003C2A"/>
          <w:sz w:val="18"/>
        </w:rPr>
        <w:t>1. Contexte général et environnement du projet</w:t>
      </w:r>
      <w:r>
        <w:rPr>
          <w:rFonts w:ascii="Times New Roman" w:hAnsi="Times New Roman"/>
          <w:b/>
          <w:color w:val="003C2A"/>
          <w:sz w:val="18"/>
        </w:rPr>
        <w:tab/>
        <w:t>9</w:t>
        <w:br/>
      </w:r>
      <w:r>
        <w:rPr>
          <w:rFonts w:ascii="Times New Roman" w:hAnsi="Times New Roman"/>
          <w:b w:val="0"/>
          <w:color w:val="111111"/>
          <w:sz w:val="18"/>
        </w:rPr>
        <w:t xml:space="preserve">    1.1 Présentation de l'entreprise</w:t>
      </w:r>
      <w:r>
        <w:rPr>
          <w:rFonts w:ascii="Times New Roman" w:hAnsi="Times New Roman"/>
          <w:b w:val="0"/>
          <w:color w:val="111111"/>
          <w:sz w:val="18"/>
        </w:rPr>
        <w:tab/>
        <w:t>10</w:t>
        <w:br/>
      </w:r>
      <w:r>
        <w:rPr>
          <w:rFonts w:ascii="Times New Roman" w:hAnsi="Times New Roman"/>
          <w:b w:val="0"/>
          <w:color w:val="111111"/>
          <w:sz w:val="18"/>
        </w:rPr>
        <w:t xml:space="preserve">        1.1.1 Historique et implantation</w:t>
      </w:r>
      <w:r>
        <w:rPr>
          <w:rFonts w:ascii="Times New Roman" w:hAnsi="Times New Roman"/>
          <w:b w:val="0"/>
          <w:color w:val="111111"/>
          <w:sz w:val="18"/>
        </w:rPr>
        <w:tab/>
        <w:t>10</w:t>
        <w:br/>
      </w:r>
      <w:r>
        <w:rPr>
          <w:rFonts w:ascii="Times New Roman" w:hAnsi="Times New Roman"/>
          <w:b w:val="0"/>
          <w:color w:val="111111"/>
          <w:sz w:val="18"/>
        </w:rPr>
        <w:t xml:space="preserve">        1.1.2 Domaine d'activité</w:t>
      </w:r>
      <w:r>
        <w:rPr>
          <w:rFonts w:ascii="Times New Roman" w:hAnsi="Times New Roman"/>
          <w:b w:val="0"/>
          <w:color w:val="111111"/>
          <w:sz w:val="18"/>
        </w:rPr>
        <w:tab/>
        <w:t>10</w:t>
        <w:br/>
      </w:r>
      <w:r>
        <w:rPr>
          <w:rFonts w:ascii="Times New Roman" w:hAnsi="Times New Roman"/>
          <w:b w:val="0"/>
          <w:color w:val="111111"/>
          <w:sz w:val="18"/>
        </w:rPr>
        <w:t xml:space="preserve">        1.1.3 Gamme de produits</w:t>
      </w:r>
      <w:r>
        <w:rPr>
          <w:rFonts w:ascii="Times New Roman" w:hAnsi="Times New Roman"/>
          <w:b w:val="0"/>
          <w:color w:val="111111"/>
          <w:sz w:val="18"/>
        </w:rPr>
        <w:tab/>
        <w:t>11</w:t>
        <w:br/>
      </w:r>
      <w:r>
        <w:rPr>
          <w:rFonts w:ascii="Times New Roman" w:hAnsi="Times New Roman"/>
          <w:b w:val="0"/>
          <w:color w:val="111111"/>
          <w:sz w:val="18"/>
        </w:rPr>
        <w:t xml:space="preserve">        1.1.4 Valeurs et positionnement</w:t>
      </w:r>
      <w:r>
        <w:rPr>
          <w:rFonts w:ascii="Times New Roman" w:hAnsi="Times New Roman"/>
          <w:b w:val="0"/>
          <w:color w:val="111111"/>
          <w:sz w:val="18"/>
        </w:rPr>
        <w:tab/>
        <w:t>11</w:t>
        <w:br/>
      </w:r>
      <w:r>
        <w:rPr>
          <w:rFonts w:ascii="Times New Roman" w:hAnsi="Times New Roman"/>
          <w:b w:val="0"/>
          <w:color w:val="111111"/>
          <w:sz w:val="18"/>
        </w:rPr>
        <w:t xml:space="preserve">    1.2 Contexte de transformation numérique</w:t>
      </w:r>
      <w:r>
        <w:rPr>
          <w:rFonts w:ascii="Times New Roman" w:hAnsi="Times New Roman"/>
          <w:b w:val="0"/>
          <w:color w:val="111111"/>
          <w:sz w:val="18"/>
        </w:rPr>
        <w:tab/>
        <w:t>11</w:t>
        <w:br/>
      </w:r>
      <w:r>
        <w:rPr>
          <w:rFonts w:ascii="Times New Roman" w:hAnsi="Times New Roman"/>
          <w:b w:val="0"/>
          <w:color w:val="111111"/>
          <w:sz w:val="18"/>
        </w:rPr>
        <w:t xml:space="preserve">    1.3 Positionnement du projet</w:t>
      </w:r>
      <w:r>
        <w:rPr>
          <w:rFonts w:ascii="Times New Roman" w:hAnsi="Times New Roman"/>
          <w:b w:val="0"/>
          <w:color w:val="111111"/>
          <w:sz w:val="18"/>
        </w:rPr>
        <w:tab/>
        <w:t>12</w:t>
        <w:br/>
      </w:r>
      <w:r>
        <w:rPr>
          <w:rFonts w:ascii="Times New Roman" w:hAnsi="Times New Roman"/>
          <w:b w:val="0"/>
          <w:color w:val="111111"/>
          <w:sz w:val="18"/>
        </w:rPr>
        <w:t xml:space="preserve">    1.4 Processus industriel représenté</w:t>
      </w:r>
      <w:r>
        <w:rPr>
          <w:rFonts w:ascii="Times New Roman" w:hAnsi="Times New Roman"/>
          <w:b w:val="0"/>
          <w:color w:val="111111"/>
          <w:sz w:val="18"/>
        </w:rPr>
        <w:tab/>
        <w:t>12</w:t>
        <w:br/>
      </w:r>
      <w:r>
        <w:rPr>
          <w:rFonts w:ascii="Times New Roman" w:hAnsi="Times New Roman"/>
          <w:b w:val="0"/>
          <w:color w:val="111111"/>
          <w:sz w:val="18"/>
        </w:rPr>
        <w:t xml:space="preserve">    1.5 Apports attendus</w:t>
      </w:r>
      <w:r>
        <w:rPr>
          <w:rFonts w:ascii="Times New Roman" w:hAnsi="Times New Roman"/>
          <w:b w:val="0"/>
          <w:color w:val="111111"/>
          <w:sz w:val="18"/>
        </w:rPr>
        <w:tab/>
        <w:t>13</w:t>
        <w:br/>
      </w:r>
      <w:r>
        <w:rPr>
          <w:rFonts w:ascii="Times New Roman" w:hAnsi="Times New Roman"/>
          <w:b w:val="0"/>
          <w:color w:val="111111"/>
          <w:sz w:val="18"/>
        </w:rPr>
        <w:t xml:space="preserve">    1.6 Parties prenantes et usages visés</w:t>
      </w:r>
      <w:r>
        <w:rPr>
          <w:rFonts w:ascii="Times New Roman" w:hAnsi="Times New Roman"/>
          <w:b w:val="0"/>
          <w:color w:val="111111"/>
          <w:sz w:val="18"/>
        </w:rPr>
        <w:tab/>
        <w:t>14</w:t>
        <w:br/>
      </w:r>
      <w:r>
        <w:rPr>
          <w:rFonts w:ascii="Times New Roman" w:hAnsi="Times New Roman"/>
          <w:b w:val="0"/>
          <w:color w:val="111111"/>
          <w:sz w:val="18"/>
        </w:rPr>
        <w:t xml:space="preserve">    1.7 Cohérence avec le processus industriel</w:t>
      </w:r>
      <w:r>
        <w:rPr>
          <w:rFonts w:ascii="Times New Roman" w:hAnsi="Times New Roman"/>
          <w:b w:val="0"/>
          <w:color w:val="111111"/>
          <w:sz w:val="18"/>
        </w:rPr>
        <w:tab/>
        <w:t>14</w:t>
        <w:br/>
      </w:r>
      <w:r>
        <w:rPr>
          <w:rFonts w:ascii="Times New Roman" w:hAnsi="Times New Roman"/>
          <w:b w:val="0"/>
          <w:color w:val="111111"/>
          <w:sz w:val="18"/>
        </w:rPr>
        <w:t xml:space="preserve">    1.8 Valeur apportée par la centralisation</w:t>
      </w:r>
      <w:r>
        <w:rPr>
          <w:rFonts w:ascii="Times New Roman" w:hAnsi="Times New Roman"/>
          <w:b w:val="0"/>
          <w:color w:val="111111"/>
          <w:sz w:val="18"/>
        </w:rPr>
        <w:tab/>
        <w:t>15</w:t>
        <w:br/>
      </w:r>
      <w:r>
        <w:rPr>
          <w:rFonts w:ascii="Times New Roman" w:hAnsi="Times New Roman"/>
          <w:b w:val="0"/>
          <w:color w:val="111111"/>
          <w:sz w:val="18"/>
        </w:rPr>
        <w:t xml:space="preserve">    Conclusion du chapitre 1</w:t>
      </w:r>
      <w:r>
        <w:rPr>
          <w:rFonts w:ascii="Times New Roman" w:hAnsi="Times New Roman"/>
          <w:b w:val="0"/>
          <w:color w:val="111111"/>
          <w:sz w:val="18"/>
        </w:rPr>
        <w:tab/>
        <w:t>15</w:t>
        <w:br/>
      </w:r>
      <w:r>
        <w:rPr>
          <w:rFonts w:ascii="Times New Roman" w:hAnsi="Times New Roman"/>
          <w:b/>
          <w:color w:val="003C2A"/>
          <w:sz w:val="18"/>
        </w:rPr>
        <w:t>2. Analyse de l'existant et cadrage du projet</w:t>
      </w:r>
      <w:r>
        <w:rPr>
          <w:rFonts w:ascii="Times New Roman" w:hAnsi="Times New Roman"/>
          <w:b/>
          <w:color w:val="003C2A"/>
          <w:sz w:val="18"/>
        </w:rPr>
        <w:tab/>
        <w:t>16</w:t>
        <w:br/>
      </w:r>
      <w:r>
        <w:rPr>
          <w:rFonts w:ascii="Times New Roman" w:hAnsi="Times New Roman"/>
          <w:b w:val="0"/>
          <w:color w:val="111111"/>
          <w:sz w:val="18"/>
        </w:rPr>
        <w:t xml:space="preserve">    2.1 Problématique identifiée</w:t>
      </w:r>
      <w:r>
        <w:rPr>
          <w:rFonts w:ascii="Times New Roman" w:hAnsi="Times New Roman"/>
          <w:b w:val="0"/>
          <w:color w:val="111111"/>
          <w:sz w:val="18"/>
        </w:rPr>
        <w:tab/>
        <w:t>17</w:t>
        <w:br/>
      </w:r>
      <w:r>
        <w:rPr>
          <w:rFonts w:ascii="Times New Roman" w:hAnsi="Times New Roman"/>
          <w:b w:val="0"/>
          <w:color w:val="111111"/>
          <w:sz w:val="18"/>
        </w:rPr>
        <w:t xml:space="preserve">    2.2 Analyse de l'existant</w:t>
      </w:r>
      <w:r>
        <w:rPr>
          <w:rFonts w:ascii="Times New Roman" w:hAnsi="Times New Roman"/>
          <w:b w:val="0"/>
          <w:color w:val="111111"/>
          <w:sz w:val="18"/>
        </w:rPr>
        <w:tab/>
        <w:t>16</w:t>
        <w:br/>
      </w:r>
      <w:r>
        <w:rPr>
          <w:rFonts w:ascii="Times New Roman" w:hAnsi="Times New Roman"/>
          <w:b w:val="0"/>
          <w:color w:val="111111"/>
          <w:sz w:val="18"/>
        </w:rPr>
        <w:t xml:space="preserve">    2.3 Benchmark de plateformes industrielles B2B</w:t>
      </w:r>
      <w:r>
        <w:rPr>
          <w:rFonts w:ascii="Times New Roman" w:hAnsi="Times New Roman"/>
          <w:b w:val="0"/>
          <w:color w:val="111111"/>
          <w:sz w:val="18"/>
        </w:rPr>
        <w:tab/>
        <w:t>17</w:t>
        <w:br/>
      </w:r>
      <w:r>
        <w:rPr>
          <w:rFonts w:ascii="Times New Roman" w:hAnsi="Times New Roman"/>
          <w:b w:val="0"/>
          <w:color w:val="111111"/>
          <w:sz w:val="18"/>
        </w:rPr>
        <w:t xml:space="preserve">        2.3.1 Objectif et méthode</w:t>
      </w:r>
      <w:r>
        <w:rPr>
          <w:rFonts w:ascii="Times New Roman" w:hAnsi="Times New Roman"/>
          <w:b w:val="0"/>
          <w:color w:val="111111"/>
          <w:sz w:val="18"/>
        </w:rPr>
        <w:tab/>
        <w:t>17</w:t>
        <w:br/>
      </w:r>
      <w:r>
        <w:rPr>
          <w:rFonts w:ascii="Times New Roman" w:hAnsi="Times New Roman"/>
          <w:b w:val="0"/>
          <w:color w:val="111111"/>
          <w:sz w:val="18"/>
        </w:rPr>
        <w:t xml:space="preserve">        2.3.6 Enseignements pour le cadrage</w:t>
      </w:r>
      <w:r>
        <w:rPr>
          <w:rFonts w:ascii="Times New Roman" w:hAnsi="Times New Roman"/>
          <w:b w:val="0"/>
          <w:color w:val="111111"/>
          <w:sz w:val="18"/>
        </w:rPr>
        <w:tab/>
        <w:t>19</w:t>
        <w:br/>
      </w:r>
      <w:r>
        <w:rPr>
          <w:rFonts w:ascii="Times New Roman" w:hAnsi="Times New Roman"/>
          <w:b w:val="0"/>
          <w:color w:val="111111"/>
          <w:sz w:val="18"/>
        </w:rPr>
        <w:t xml:space="preserve">    2.4 Acteurs du système</w:t>
      </w:r>
      <w:r>
        <w:rPr>
          <w:rFonts w:ascii="Times New Roman" w:hAnsi="Times New Roman"/>
          <w:b w:val="0"/>
          <w:color w:val="111111"/>
          <w:sz w:val="18"/>
        </w:rPr>
        <w:tab/>
        <w:t>19</w:t>
        <w:br/>
      </w:r>
      <w:r>
        <w:rPr>
          <w:rFonts w:ascii="Times New Roman" w:hAnsi="Times New Roman"/>
          <w:b w:val="0"/>
          <w:color w:val="111111"/>
          <w:sz w:val="18"/>
        </w:rPr>
        <w:t xml:space="preserve">    2.5 Besoins fonctionnels</w:t>
      </w:r>
      <w:r>
        <w:rPr>
          <w:rFonts w:ascii="Times New Roman" w:hAnsi="Times New Roman"/>
          <w:b w:val="0"/>
          <w:color w:val="111111"/>
          <w:sz w:val="18"/>
        </w:rPr>
        <w:tab/>
        <w:t>20</w:t>
        <w:br/>
      </w:r>
      <w:r>
        <w:rPr>
          <w:rFonts w:ascii="Times New Roman" w:hAnsi="Times New Roman"/>
          <w:b w:val="0"/>
          <w:color w:val="111111"/>
          <w:sz w:val="18"/>
        </w:rPr>
        <w:t xml:space="preserve">        2.5.1 Site public</w:t>
      </w:r>
      <w:r>
        <w:rPr>
          <w:rFonts w:ascii="Times New Roman" w:hAnsi="Times New Roman"/>
          <w:b w:val="0"/>
          <w:color w:val="111111"/>
          <w:sz w:val="18"/>
        </w:rPr>
        <w:tab/>
        <w:t>20</w:t>
        <w:br/>
      </w:r>
      <w:r>
        <w:rPr>
          <w:rFonts w:ascii="Times New Roman" w:hAnsi="Times New Roman"/>
          <w:b w:val="0"/>
          <w:color w:val="111111"/>
          <w:sz w:val="18"/>
        </w:rPr>
        <w:t xml:space="preserve">        2.5.2 Espace administrateur</w:t>
      </w:r>
      <w:r>
        <w:rPr>
          <w:rFonts w:ascii="Times New Roman" w:hAnsi="Times New Roman"/>
          <w:b w:val="0"/>
          <w:color w:val="111111"/>
          <w:sz w:val="18"/>
        </w:rPr>
        <w:tab/>
        <w:t>20</w:t>
        <w:br/>
      </w:r>
      <w:r>
        <w:rPr>
          <w:rFonts w:ascii="Times New Roman" w:hAnsi="Times New Roman"/>
          <w:b w:val="0"/>
          <w:color w:val="111111"/>
          <w:sz w:val="18"/>
        </w:rPr>
        <w:t xml:space="preserve">    2.6 Exigences non fonctionnelles</w:t>
      </w:r>
      <w:r>
        <w:rPr>
          <w:rFonts w:ascii="Times New Roman" w:hAnsi="Times New Roman"/>
          <w:b w:val="0"/>
          <w:color w:val="111111"/>
          <w:sz w:val="18"/>
        </w:rPr>
        <w:tab/>
        <w:t>20</w:t>
        <w:br/>
      </w:r>
      <w:r>
        <w:rPr>
          <w:rFonts w:ascii="Times New Roman" w:hAnsi="Times New Roman"/>
          <w:b w:val="0"/>
          <w:color w:val="111111"/>
          <w:sz w:val="18"/>
        </w:rPr>
        <w:t xml:space="preserve">    2.7 Périmètre du projet</w:t>
      </w:r>
      <w:r>
        <w:rPr>
          <w:rFonts w:ascii="Times New Roman" w:hAnsi="Times New Roman"/>
          <w:b w:val="0"/>
          <w:color w:val="111111"/>
          <w:sz w:val="18"/>
        </w:rPr>
        <w:tab/>
        <w:t>21</w:t>
        <w:br/>
      </w:r>
      <w:r>
        <w:rPr>
          <w:rFonts w:ascii="Times New Roman" w:hAnsi="Times New Roman"/>
          <w:b w:val="0"/>
          <w:color w:val="111111"/>
          <w:sz w:val="18"/>
        </w:rPr>
        <w:t xml:space="preserve">    2.8 Méthodologie de travail</w:t>
      </w:r>
      <w:r>
        <w:rPr>
          <w:rFonts w:ascii="Times New Roman" w:hAnsi="Times New Roman"/>
          <w:b w:val="0"/>
          <w:color w:val="111111"/>
          <w:sz w:val="18"/>
        </w:rPr>
        <w:tab/>
        <w:t>21</w:t>
        <w:br/>
      </w:r>
      <w:r>
        <w:rPr>
          <w:rFonts w:ascii="Times New Roman" w:hAnsi="Times New Roman"/>
          <w:b w:val="0"/>
          <w:color w:val="111111"/>
          <w:sz w:val="18"/>
        </w:rPr>
        <w:t xml:space="preserve">    2.9 Planification</w:t>
      </w:r>
      <w:r>
        <w:rPr>
          <w:rFonts w:ascii="Times New Roman" w:hAnsi="Times New Roman"/>
          <w:b w:val="0"/>
          <w:color w:val="111111"/>
          <w:sz w:val="18"/>
        </w:rPr>
        <w:tab/>
        <w:t>22</w:t>
        <w:br/>
      </w:r>
      <w:r>
        <w:rPr>
          <w:rFonts w:ascii="Times New Roman" w:hAnsi="Times New Roman"/>
          <w:b w:val="0"/>
          <w:color w:val="111111"/>
          <w:sz w:val="18"/>
        </w:rPr>
        <w:t xml:space="preserve">    2.10 Gestion des risques et confidentialité</w:t>
      </w:r>
      <w:r>
        <w:rPr>
          <w:rFonts w:ascii="Times New Roman" w:hAnsi="Times New Roman"/>
          <w:b w:val="0"/>
          <w:color w:val="111111"/>
          <w:sz w:val="18"/>
        </w:rPr>
        <w:tab/>
        <w:t>22</w:t>
        <w:br/>
      </w:r>
      <w:r>
        <w:rPr>
          <w:rFonts w:ascii="Times New Roman" w:hAnsi="Times New Roman"/>
          <w:b w:val="0"/>
          <w:color w:val="111111"/>
          <w:sz w:val="18"/>
        </w:rPr>
        <w:t xml:space="preserve">    Conclusion du chapitre 2</w:t>
      </w:r>
      <w:r>
        <w:rPr>
          <w:rFonts w:ascii="Times New Roman" w:hAnsi="Times New Roman"/>
          <w:b w:val="0"/>
          <w:color w:val="111111"/>
          <w:sz w:val="18"/>
        </w:rPr>
        <w:tab/>
        <w:t>24</w:t>
        <w:br/>
      </w:r>
      <w:r>
        <w:rPr>
          <w:rFonts w:ascii="Times New Roman" w:hAnsi="Times New Roman"/>
          <w:b/>
          <w:color w:val="003C2A"/>
          <w:sz w:val="18"/>
        </w:rPr>
        <w:t>3. Étude, analyse et conception de la solution</w:t>
      </w:r>
      <w:r>
        <w:rPr>
          <w:rFonts w:ascii="Times New Roman" w:hAnsi="Times New Roman"/>
          <w:b/>
          <w:color w:val="003C2A"/>
          <w:sz w:val="18"/>
        </w:rPr>
        <w:tab/>
        <w:t>25</w:t>
        <w:br/>
      </w:r>
      <w:r>
        <w:rPr>
          <w:rFonts w:ascii="Times New Roman" w:hAnsi="Times New Roman"/>
          <w:b w:val="0"/>
          <w:color w:val="111111"/>
          <w:sz w:val="18"/>
        </w:rPr>
        <w:t xml:space="preserve">    3.1 Critères de choix</w:t>
      </w:r>
      <w:r>
        <w:rPr>
          <w:rFonts w:ascii="Times New Roman" w:hAnsi="Times New Roman"/>
          <w:b w:val="0"/>
          <w:color w:val="111111"/>
          <w:sz w:val="18"/>
        </w:rPr>
        <w:tab/>
        <w:t>26</w:t>
        <w:br/>
      </w:r>
      <w:r>
        <w:rPr>
          <w:rFonts w:ascii="Times New Roman" w:hAnsi="Times New Roman"/>
          <w:b w:val="0"/>
          <w:color w:val="111111"/>
          <w:sz w:val="18"/>
        </w:rPr>
        <w:t xml:space="preserve">    3.2 Étude comparative et choix final</w:t>
      </w:r>
      <w:r>
        <w:rPr>
          <w:rFonts w:ascii="Times New Roman" w:hAnsi="Times New Roman"/>
          <w:b w:val="0"/>
          <w:color w:val="111111"/>
          <w:sz w:val="18"/>
        </w:rPr>
        <w:tab/>
        <w:t>26</w:t>
        <w:br/>
      </w:r>
      <w:r>
        <w:rPr>
          <w:rFonts w:ascii="Times New Roman" w:hAnsi="Times New Roman"/>
          <w:b w:val="0"/>
          <w:color w:val="111111"/>
          <w:sz w:val="18"/>
        </w:rPr>
        <w:t xml:space="preserve">        3.2.1 Comparaison des solutions frontend</w:t>
      </w:r>
      <w:r>
        <w:rPr>
          <w:rFonts w:ascii="Times New Roman" w:hAnsi="Times New Roman"/>
          <w:b w:val="0"/>
          <w:color w:val="111111"/>
          <w:sz w:val="18"/>
        </w:rPr>
        <w:tab/>
        <w:t>27</w:t>
        <w:br/>
      </w:r>
      <w:r>
        <w:rPr>
          <w:rFonts w:ascii="Times New Roman" w:hAnsi="Times New Roman"/>
          <w:b w:val="0"/>
          <w:color w:val="111111"/>
          <w:sz w:val="18"/>
        </w:rPr>
        <w:t xml:space="preserve">        3.2.2 Comparaison des solutions backend</w:t>
      </w:r>
      <w:r>
        <w:rPr>
          <w:rFonts w:ascii="Times New Roman" w:hAnsi="Times New Roman"/>
          <w:b w:val="0"/>
          <w:color w:val="111111"/>
          <w:sz w:val="18"/>
        </w:rPr>
        <w:tab/>
        <w:t>27</w:t>
        <w:br/>
      </w:r>
      <w:r>
        <w:rPr>
          <w:rFonts w:ascii="Times New Roman" w:hAnsi="Times New Roman"/>
          <w:b w:val="0"/>
          <w:color w:val="111111"/>
          <w:sz w:val="18"/>
        </w:rPr>
        <w:t xml:space="preserve">        3.2.3 Comparaison des bases de données</w:t>
      </w:r>
      <w:r>
        <w:rPr>
          <w:rFonts w:ascii="Times New Roman" w:hAnsi="Times New Roman"/>
          <w:b w:val="0"/>
          <w:color w:val="111111"/>
          <w:sz w:val="18"/>
        </w:rPr>
        <w:tab/>
        <w:t>28</w:t>
        <w:br/>
      </w:r>
      <w:r>
        <w:rPr>
          <w:rFonts w:ascii="Times New Roman" w:hAnsi="Times New Roman"/>
          <w:b w:val="0"/>
          <w:color w:val="111111"/>
          <w:sz w:val="18"/>
        </w:rPr>
        <w:t xml:space="preserve">    3.3 Architecture logique</w:t>
      </w:r>
      <w:r>
        <w:rPr>
          <w:rFonts w:ascii="Times New Roman" w:hAnsi="Times New Roman"/>
          <w:b w:val="0"/>
          <w:color w:val="111111"/>
          <w:sz w:val="18"/>
        </w:rPr>
        <w:tab/>
        <w:t>28</w:t>
        <w:br/>
      </w:r>
      <w:r>
        <w:rPr>
          <w:rFonts w:ascii="Times New Roman" w:hAnsi="Times New Roman"/>
          <w:b w:val="0"/>
          <w:color w:val="111111"/>
          <w:sz w:val="18"/>
        </w:rPr>
        <w:t xml:space="preserve">        3.3.1 Organisation du backend</w:t>
      </w:r>
      <w:r>
        <w:rPr>
          <w:rFonts w:ascii="Times New Roman" w:hAnsi="Times New Roman"/>
          <w:b w:val="0"/>
          <w:color w:val="111111"/>
          <w:sz w:val="18"/>
        </w:rPr>
        <w:tab/>
        <w:t>28</w:t>
        <w:br/>
      </w:r>
      <w:r>
        <w:rPr>
          <w:rFonts w:ascii="Times New Roman" w:hAnsi="Times New Roman"/>
          <w:b w:val="0"/>
          <w:color w:val="111111"/>
          <w:sz w:val="18"/>
        </w:rPr>
        <w:t xml:space="preserve">        3.3.2 Organisation du frontend</w:t>
      </w:r>
      <w:r>
        <w:rPr>
          <w:rFonts w:ascii="Times New Roman" w:hAnsi="Times New Roman"/>
          <w:b w:val="0"/>
          <w:color w:val="111111"/>
          <w:sz w:val="18"/>
        </w:rPr>
        <w:tab/>
        <w:t>29</w:t>
        <w:br/>
      </w:r>
      <w:r>
        <w:rPr>
          <w:rFonts w:ascii="Times New Roman" w:hAnsi="Times New Roman"/>
          <w:b w:val="0"/>
          <w:color w:val="111111"/>
          <w:sz w:val="18"/>
        </w:rPr>
        <w:t xml:space="preserve">    3.4 Cas d'utilisation</w:t>
      </w:r>
      <w:r>
        <w:rPr>
          <w:rFonts w:ascii="Times New Roman" w:hAnsi="Times New Roman"/>
          <w:b w:val="0"/>
          <w:color w:val="111111"/>
          <w:sz w:val="18"/>
        </w:rPr>
        <w:tab/>
        <w:t>29</w:t>
        <w:br/>
      </w:r>
      <w:r>
        <w:rPr>
          <w:rFonts w:ascii="Times New Roman" w:hAnsi="Times New Roman"/>
          <w:b w:val="0"/>
          <w:color w:val="111111"/>
          <w:sz w:val="18"/>
        </w:rPr>
        <w:t xml:space="preserve">    3.5 Diagrammes de séquence</w:t>
      </w:r>
      <w:r>
        <w:rPr>
          <w:rFonts w:ascii="Times New Roman" w:hAnsi="Times New Roman"/>
          <w:b w:val="0"/>
          <w:color w:val="111111"/>
          <w:sz w:val="18"/>
        </w:rPr>
        <w:tab/>
        <w:t>30</w:t>
        <w:br/>
      </w:r>
      <w:r>
        <w:rPr>
          <w:rFonts w:ascii="Times New Roman" w:hAnsi="Times New Roman"/>
          <w:b w:val="0"/>
          <w:color w:val="111111"/>
          <w:sz w:val="18"/>
        </w:rPr>
        <w:t xml:space="preserve">        3.5.1 Création d'une demande de devis</w:t>
      </w:r>
      <w:r>
        <w:rPr>
          <w:rFonts w:ascii="Times New Roman" w:hAnsi="Times New Roman"/>
          <w:b w:val="0"/>
          <w:color w:val="111111"/>
          <w:sz w:val="18"/>
        </w:rPr>
        <w:tab/>
        <w:t>30</w:t>
        <w:br/>
      </w:r>
      <w:r>
        <w:rPr>
          <w:rFonts w:ascii="Times New Roman" w:hAnsi="Times New Roman"/>
          <w:b w:val="0"/>
          <w:color w:val="111111"/>
          <w:sz w:val="18"/>
        </w:rPr>
        <w:t xml:space="preserve">        3.5.2 Authentification administrateur</w:t>
      </w:r>
      <w:r>
        <w:rPr>
          <w:rFonts w:ascii="Times New Roman" w:hAnsi="Times New Roman"/>
          <w:b w:val="0"/>
          <w:color w:val="111111"/>
          <w:sz w:val="18"/>
        </w:rPr>
        <w:tab/>
        <w:t>30</w:t>
        <w:br/>
      </w:r>
      <w:r>
        <w:rPr>
          <w:rFonts w:ascii="Times New Roman" w:hAnsi="Times New Roman"/>
          <w:b w:val="0"/>
          <w:color w:val="111111"/>
          <w:sz w:val="18"/>
        </w:rPr>
        <w:t xml:space="preserve">    3.6 Modèle de données</w:t>
      </w:r>
      <w:r>
        <w:rPr>
          <w:rFonts w:ascii="Times New Roman" w:hAnsi="Times New Roman"/>
          <w:b w:val="0"/>
          <w:color w:val="111111"/>
          <w:sz w:val="18"/>
        </w:rPr>
        <w:tab/>
        <w:t>30</w:t>
        <w:br/>
      </w:r>
      <w:r>
        <w:rPr>
          <w:rFonts w:ascii="Times New Roman" w:hAnsi="Times New Roman"/>
          <w:b w:val="0"/>
          <w:color w:val="111111"/>
          <w:sz w:val="18"/>
        </w:rPr>
        <w:t xml:space="preserve">    3.7 Conception de la sécurité</w:t>
      </w:r>
      <w:r>
        <w:rPr>
          <w:rFonts w:ascii="Times New Roman" w:hAnsi="Times New Roman"/>
          <w:b w:val="0"/>
          <w:color w:val="111111"/>
          <w:sz w:val="18"/>
        </w:rPr>
        <w:tab/>
        <w:t>31</w:t>
        <w:br/>
      </w:r>
      <w:r>
        <w:rPr>
          <w:rFonts w:ascii="Times New Roman" w:hAnsi="Times New Roman"/>
          <w:b w:val="0"/>
          <w:color w:val="111111"/>
          <w:sz w:val="18"/>
        </w:rPr>
        <w:t xml:space="preserve">    3.8 Conception de la montée en charge fonctionnelle</w:t>
      </w:r>
      <w:r>
        <w:rPr>
          <w:rFonts w:ascii="Times New Roman" w:hAnsi="Times New Roman"/>
          <w:b w:val="0"/>
          <w:color w:val="111111"/>
          <w:sz w:val="18"/>
        </w:rPr>
        <w:tab/>
        <w:t>31</w:t>
        <w:br/>
      </w:r>
      <w:r>
        <w:rPr>
          <w:rFonts w:ascii="Times New Roman" w:hAnsi="Times New Roman"/>
          <w:b w:val="0"/>
          <w:color w:val="111111"/>
          <w:sz w:val="18"/>
        </w:rPr>
        <w:t xml:space="preserve">    3.9 Cohérence des diagrammes avec l’implémentation</w:t>
      </w:r>
      <w:r>
        <w:rPr>
          <w:rFonts w:ascii="Times New Roman" w:hAnsi="Times New Roman"/>
          <w:b w:val="0"/>
          <w:color w:val="111111"/>
          <w:sz w:val="18"/>
        </w:rPr>
        <w:tab/>
        <w:t>37</w:t>
        <w:br/>
      </w:r>
      <w:r>
        <w:rPr>
          <w:rFonts w:ascii="Times New Roman" w:hAnsi="Times New Roman"/>
          <w:b w:val="0"/>
          <w:color w:val="111111"/>
          <w:sz w:val="18"/>
        </w:rPr>
        <w:t xml:space="preserve">    3.10 Choix de sécurité et compromis</w:t>
      </w:r>
      <w:r>
        <w:rPr>
          <w:rFonts w:ascii="Times New Roman" w:hAnsi="Times New Roman"/>
          <w:b w:val="0"/>
          <w:color w:val="111111"/>
          <w:sz w:val="18"/>
        </w:rPr>
        <w:tab/>
        <w:t>38</w:t>
        <w:br/>
      </w:r>
      <w:r>
        <w:rPr>
          <w:rFonts w:ascii="Times New Roman" w:hAnsi="Times New Roman"/>
          <w:b w:val="0"/>
          <w:color w:val="111111"/>
          <w:sz w:val="18"/>
        </w:rPr>
        <w:t xml:space="preserve">    Conclusion du chapitre 3</w:t>
      </w:r>
      <w:r>
        <w:rPr>
          <w:rFonts w:ascii="Times New Roman" w:hAnsi="Times New Roman"/>
          <w:b w:val="0"/>
          <w:color w:val="111111"/>
          <w:sz w:val="18"/>
        </w:rPr>
        <w:tab/>
        <w:t>39</w:t>
        <w:br/>
      </w:r>
      <w:r>
        <w:rPr>
          <w:rFonts w:ascii="Times New Roman" w:hAnsi="Times New Roman"/>
          <w:b/>
          <w:color w:val="003C2A"/>
          <w:sz w:val="18"/>
        </w:rPr>
        <w:t>4. Réalisation et mise en œuvre</w:t>
      </w:r>
      <w:r>
        <w:rPr>
          <w:rFonts w:ascii="Times New Roman" w:hAnsi="Times New Roman"/>
          <w:b/>
          <w:color w:val="003C2A"/>
          <w:sz w:val="18"/>
        </w:rPr>
        <w:tab/>
        <w:t>40</w:t>
        <w:br/>
      </w:r>
      <w:r>
        <w:rPr>
          <w:rFonts w:ascii="Times New Roman" w:hAnsi="Times New Roman"/>
          <w:b w:val="0"/>
          <w:color w:val="111111"/>
          <w:sz w:val="18"/>
        </w:rPr>
        <w:t xml:space="preserve">    4.1 Environnement technique</w:t>
      </w:r>
      <w:r>
        <w:rPr>
          <w:rFonts w:ascii="Times New Roman" w:hAnsi="Times New Roman"/>
          <w:b w:val="0"/>
          <w:color w:val="111111"/>
          <w:sz w:val="18"/>
        </w:rPr>
        <w:tab/>
        <w:t>41</w:t>
        <w:br/>
      </w:r>
      <w:r>
        <w:rPr>
          <w:rFonts w:ascii="Times New Roman" w:hAnsi="Times New Roman"/>
          <w:b w:val="0"/>
          <w:color w:val="111111"/>
          <w:sz w:val="18"/>
        </w:rPr>
        <w:t xml:space="preserve">    4.2 Réalisation du backend</w:t>
      </w:r>
      <w:r>
        <w:rPr>
          <w:rFonts w:ascii="Times New Roman" w:hAnsi="Times New Roman"/>
          <w:b w:val="0"/>
          <w:color w:val="111111"/>
          <w:sz w:val="18"/>
        </w:rPr>
        <w:tab/>
        <w:t>41</w:t>
        <w:br/>
      </w:r>
      <w:r>
        <w:rPr>
          <w:rFonts w:ascii="Times New Roman" w:hAnsi="Times New Roman"/>
          <w:b w:val="0"/>
          <w:color w:val="111111"/>
          <w:sz w:val="18"/>
        </w:rPr>
        <w:t xml:space="preserve">    4.3 Réalisation du site public</w:t>
      </w:r>
      <w:r>
        <w:rPr>
          <w:rFonts w:ascii="Times New Roman" w:hAnsi="Times New Roman"/>
          <w:b w:val="0"/>
          <w:color w:val="111111"/>
          <w:sz w:val="18"/>
        </w:rPr>
        <w:tab/>
        <w:t>42</w:t>
        <w:br/>
      </w:r>
      <w:r>
        <w:rPr>
          <w:rFonts w:ascii="Times New Roman" w:hAnsi="Times New Roman"/>
          <w:b w:val="0"/>
          <w:color w:val="111111"/>
          <w:sz w:val="18"/>
        </w:rPr>
        <w:t xml:space="preserve">        4.3.1 Accueil et identité</w:t>
      </w:r>
      <w:r>
        <w:rPr>
          <w:rFonts w:ascii="Times New Roman" w:hAnsi="Times New Roman"/>
          <w:b w:val="0"/>
          <w:color w:val="111111"/>
          <w:sz w:val="18"/>
        </w:rPr>
        <w:tab/>
        <w:t>42</w:t>
        <w:br/>
      </w:r>
      <w:r>
        <w:rPr>
          <w:rFonts w:ascii="Times New Roman" w:hAnsi="Times New Roman"/>
          <w:b w:val="0"/>
          <w:color w:val="111111"/>
          <w:sz w:val="18"/>
        </w:rPr>
        <w:t xml:space="preserve">        4.3.2 Catalogue et fiches produits</w:t>
      </w:r>
      <w:r>
        <w:rPr>
          <w:rFonts w:ascii="Times New Roman" w:hAnsi="Times New Roman"/>
          <w:b w:val="0"/>
          <w:color w:val="111111"/>
          <w:sz w:val="18"/>
        </w:rPr>
        <w:tab/>
        <w:t>42</w:t>
        <w:br/>
      </w:r>
      <w:r>
        <w:rPr>
          <w:rFonts w:ascii="Times New Roman" w:hAnsi="Times New Roman"/>
          <w:b w:val="0"/>
          <w:color w:val="111111"/>
          <w:sz w:val="18"/>
        </w:rPr>
        <w:t xml:space="preserve">        4.3.3 Demande de devis</w:t>
      </w:r>
      <w:r>
        <w:rPr>
          <w:rFonts w:ascii="Times New Roman" w:hAnsi="Times New Roman"/>
          <w:b w:val="0"/>
          <w:color w:val="111111"/>
          <w:sz w:val="18"/>
        </w:rPr>
        <w:tab/>
        <w:t>43</w:t>
        <w:br/>
      </w:r>
      <w:r>
        <w:rPr>
          <w:rFonts w:ascii="Times New Roman" w:hAnsi="Times New Roman"/>
          <w:b w:val="0"/>
          <w:color w:val="111111"/>
          <w:sz w:val="18"/>
        </w:rPr>
        <w:t xml:space="preserve">        4.3.4 Ressources et demandes documentaires</w:t>
      </w:r>
      <w:r>
        <w:rPr>
          <w:rFonts w:ascii="Times New Roman" w:hAnsi="Times New Roman"/>
          <w:b w:val="0"/>
          <w:color w:val="111111"/>
          <w:sz w:val="18"/>
        </w:rPr>
        <w:tab/>
        <w:t>43</w:t>
        <w:br/>
      </w:r>
      <w:r>
        <w:rPr>
          <w:rFonts w:ascii="Times New Roman" w:hAnsi="Times New Roman"/>
          <w:b w:val="0"/>
          <w:color w:val="111111"/>
          <w:sz w:val="18"/>
        </w:rPr>
        <w:t xml:space="preserve">        4.3.5 Expérience responsive et PWA</w:t>
      </w:r>
      <w:r>
        <w:rPr>
          <w:rFonts w:ascii="Times New Roman" w:hAnsi="Times New Roman"/>
          <w:b w:val="0"/>
          <w:color w:val="111111"/>
          <w:sz w:val="18"/>
        </w:rPr>
        <w:tab/>
        <w:t>43</w:t>
        <w:br/>
      </w:r>
      <w:r>
        <w:rPr>
          <w:rFonts w:ascii="Times New Roman" w:hAnsi="Times New Roman"/>
          <w:b w:val="0"/>
          <w:color w:val="111111"/>
          <w:sz w:val="18"/>
        </w:rPr>
        <w:t xml:space="preserve">    4.4 Réalisation de l'espace administrateur</w:t>
      </w:r>
      <w:r>
        <w:rPr>
          <w:rFonts w:ascii="Times New Roman" w:hAnsi="Times New Roman"/>
          <w:b w:val="0"/>
          <w:color w:val="111111"/>
          <w:sz w:val="18"/>
        </w:rPr>
        <w:tab/>
        <w:t>44</w:t>
        <w:br/>
      </w:r>
      <w:r>
        <w:rPr>
          <w:rFonts w:ascii="Times New Roman" w:hAnsi="Times New Roman"/>
          <w:b w:val="0"/>
          <w:color w:val="111111"/>
          <w:sz w:val="18"/>
        </w:rPr>
        <w:t xml:space="preserve">        4.4.1 Dashboard commercial</w:t>
      </w:r>
      <w:r>
        <w:rPr>
          <w:rFonts w:ascii="Times New Roman" w:hAnsi="Times New Roman"/>
          <w:b w:val="0"/>
          <w:color w:val="111111"/>
          <w:sz w:val="18"/>
        </w:rPr>
        <w:tab/>
        <w:t>44</w:t>
        <w:br/>
      </w:r>
      <w:r>
        <w:rPr>
          <w:rFonts w:ascii="Times New Roman" w:hAnsi="Times New Roman"/>
          <w:b w:val="0"/>
          <w:color w:val="111111"/>
          <w:sz w:val="18"/>
        </w:rPr>
        <w:t xml:space="preserve">        4.4.2 Gestion des demandes</w:t>
      </w:r>
      <w:r>
        <w:rPr>
          <w:rFonts w:ascii="Times New Roman" w:hAnsi="Times New Roman"/>
          <w:b w:val="0"/>
          <w:color w:val="111111"/>
          <w:sz w:val="18"/>
        </w:rPr>
        <w:tab/>
        <w:t>44</w:t>
        <w:br/>
      </w:r>
      <w:r>
        <w:rPr>
          <w:rFonts w:ascii="Times New Roman" w:hAnsi="Times New Roman"/>
          <w:b w:val="0"/>
          <w:color w:val="111111"/>
          <w:sz w:val="18"/>
        </w:rPr>
        <w:t xml:space="preserve">        4.4.3 Gestion des clients</w:t>
      </w:r>
      <w:r>
        <w:rPr>
          <w:rFonts w:ascii="Times New Roman" w:hAnsi="Times New Roman"/>
          <w:b w:val="0"/>
          <w:color w:val="111111"/>
          <w:sz w:val="18"/>
        </w:rPr>
        <w:tab/>
        <w:t>44</w:t>
        <w:br/>
      </w:r>
      <w:r>
        <w:rPr>
          <w:rFonts w:ascii="Times New Roman" w:hAnsi="Times New Roman"/>
          <w:b w:val="0"/>
          <w:color w:val="111111"/>
          <w:sz w:val="18"/>
        </w:rPr>
        <w:t xml:space="preserve">        4.4.4 Gestion des produits</w:t>
      </w:r>
      <w:r>
        <w:rPr>
          <w:rFonts w:ascii="Times New Roman" w:hAnsi="Times New Roman"/>
          <w:b w:val="0"/>
          <w:color w:val="111111"/>
          <w:sz w:val="18"/>
        </w:rPr>
        <w:tab/>
        <w:t>44</w:t>
        <w:br/>
      </w:r>
      <w:r>
        <w:rPr>
          <w:rFonts w:ascii="Times New Roman" w:hAnsi="Times New Roman"/>
          <w:b w:val="0"/>
          <w:color w:val="111111"/>
          <w:sz w:val="18"/>
        </w:rPr>
        <w:t xml:space="preserve">        4.4.5 Documents et ressources techniques</w:t>
      </w:r>
      <w:r>
        <w:rPr>
          <w:rFonts w:ascii="Times New Roman" w:hAnsi="Times New Roman"/>
          <w:b w:val="0"/>
          <w:color w:val="111111"/>
          <w:sz w:val="18"/>
        </w:rPr>
        <w:tab/>
        <w:t>45</w:t>
        <w:br/>
      </w:r>
      <w:r>
        <w:rPr>
          <w:rFonts w:ascii="Times New Roman" w:hAnsi="Times New Roman"/>
          <w:b w:val="0"/>
          <w:color w:val="111111"/>
          <w:sz w:val="18"/>
        </w:rPr>
        <w:t xml:space="preserve">        4.4.6 Notifications</w:t>
      </w:r>
      <w:r>
        <w:rPr>
          <w:rFonts w:ascii="Times New Roman" w:hAnsi="Times New Roman"/>
          <w:b w:val="0"/>
          <w:color w:val="111111"/>
          <w:sz w:val="18"/>
        </w:rPr>
        <w:tab/>
        <w:t>45</w:t>
        <w:br/>
      </w:r>
      <w:r>
        <w:rPr>
          <w:rFonts w:ascii="Times New Roman" w:hAnsi="Times New Roman"/>
          <w:b w:val="0"/>
          <w:color w:val="111111"/>
          <w:sz w:val="18"/>
        </w:rPr>
        <w:t xml:space="preserve">        4.4.7 Mon compte et Passkey</w:t>
      </w:r>
      <w:r>
        <w:rPr>
          <w:rFonts w:ascii="Times New Roman" w:hAnsi="Times New Roman"/>
          <w:b w:val="0"/>
          <w:color w:val="111111"/>
          <w:sz w:val="18"/>
        </w:rPr>
        <w:tab/>
        <w:t>45</w:t>
        <w:br/>
      </w:r>
      <w:r>
        <w:rPr>
          <w:rFonts w:ascii="Times New Roman" w:hAnsi="Times New Roman"/>
          <w:b w:val="0"/>
          <w:color w:val="111111"/>
          <w:sz w:val="18"/>
        </w:rPr>
        <w:t xml:space="preserve">        4.4.8 Sidebar responsive</w:t>
      </w:r>
      <w:r>
        <w:rPr>
          <w:rFonts w:ascii="Times New Roman" w:hAnsi="Times New Roman"/>
          <w:b w:val="0"/>
          <w:color w:val="111111"/>
          <w:sz w:val="18"/>
        </w:rPr>
        <w:tab/>
        <w:t>45</w:t>
        <w:br/>
      </w:r>
      <w:r>
        <w:rPr>
          <w:rFonts w:ascii="Times New Roman" w:hAnsi="Times New Roman"/>
          <w:b w:val="0"/>
          <w:color w:val="111111"/>
          <w:sz w:val="18"/>
        </w:rPr>
        <w:t xml:space="preserve">    4.5 Gestion des fichiers</w:t>
      </w:r>
      <w:r>
        <w:rPr>
          <w:rFonts w:ascii="Times New Roman" w:hAnsi="Times New Roman"/>
          <w:b w:val="0"/>
          <w:color w:val="111111"/>
          <w:sz w:val="18"/>
        </w:rPr>
        <w:tab/>
        <w:t>45</w:t>
        <w:br/>
      </w:r>
      <w:r>
        <w:rPr>
          <w:rFonts w:ascii="Times New Roman" w:hAnsi="Times New Roman"/>
          <w:b w:val="0"/>
          <w:color w:val="111111"/>
          <w:sz w:val="18"/>
        </w:rPr>
        <w:t xml:space="preserve">    4.6 Tests et recette</w:t>
      </w:r>
      <w:r>
        <w:rPr>
          <w:rFonts w:ascii="Times New Roman" w:hAnsi="Times New Roman"/>
          <w:b w:val="0"/>
          <w:color w:val="111111"/>
          <w:sz w:val="18"/>
        </w:rPr>
        <w:tab/>
        <w:t>46</w:t>
        <w:br/>
      </w:r>
      <w:r>
        <w:rPr>
          <w:rFonts w:ascii="Times New Roman" w:hAnsi="Times New Roman"/>
          <w:b w:val="0"/>
          <w:color w:val="111111"/>
          <w:sz w:val="18"/>
        </w:rPr>
        <w:t xml:space="preserve">        4.6.1 Stratégie de validation</w:t>
      </w:r>
      <w:r>
        <w:rPr>
          <w:rFonts w:ascii="Times New Roman" w:hAnsi="Times New Roman"/>
          <w:b w:val="0"/>
          <w:color w:val="111111"/>
          <w:sz w:val="18"/>
        </w:rPr>
        <w:tab/>
        <w:t>46</w:t>
        <w:br/>
      </w:r>
      <w:r>
        <w:rPr>
          <w:rFonts w:ascii="Times New Roman" w:hAnsi="Times New Roman"/>
          <w:b w:val="0"/>
          <w:color w:val="111111"/>
          <w:sz w:val="18"/>
        </w:rPr>
        <w:t xml:space="preserve">        4.6.2 Tests backend : 44/44</w:t>
      </w:r>
      <w:r>
        <w:rPr>
          <w:rFonts w:ascii="Times New Roman" w:hAnsi="Times New Roman"/>
          <w:b w:val="0"/>
          <w:color w:val="111111"/>
          <w:sz w:val="18"/>
        </w:rPr>
        <w:tab/>
        <w:t>46</w:t>
        <w:br/>
      </w:r>
      <w:r>
        <w:rPr>
          <w:rFonts w:ascii="Times New Roman" w:hAnsi="Times New Roman"/>
          <w:b w:val="0"/>
          <w:color w:val="111111"/>
          <w:sz w:val="18"/>
        </w:rPr>
        <w:t xml:space="preserve">        4.6.3 Qualité statique et build frontend</w:t>
      </w:r>
      <w:r>
        <w:rPr>
          <w:rFonts w:ascii="Times New Roman" w:hAnsi="Times New Roman"/>
          <w:b w:val="0"/>
          <w:color w:val="111111"/>
          <w:sz w:val="18"/>
        </w:rPr>
        <w:tab/>
        <w:t>47</w:t>
        <w:br/>
      </w:r>
      <w:r>
        <w:rPr>
          <w:rFonts w:ascii="Times New Roman" w:hAnsi="Times New Roman"/>
          <w:b w:val="0"/>
          <w:color w:val="111111"/>
          <w:sz w:val="18"/>
        </w:rPr>
        <w:t xml:space="preserve">        4.6.4 Recette Playwright : 37/38</w:t>
      </w:r>
      <w:r>
        <w:rPr>
          <w:rFonts w:ascii="Times New Roman" w:hAnsi="Times New Roman"/>
          <w:b w:val="0"/>
          <w:color w:val="111111"/>
          <w:sz w:val="18"/>
        </w:rPr>
        <w:tab/>
        <w:t>47</w:t>
        <w:br/>
      </w:r>
      <w:r>
        <w:rPr>
          <w:rFonts w:ascii="Times New Roman" w:hAnsi="Times New Roman"/>
          <w:b w:val="0"/>
          <w:color w:val="111111"/>
          <w:sz w:val="18"/>
        </w:rPr>
        <w:t xml:space="preserve">        4.6.5 Lecture critique des résultats</w:t>
      </w:r>
      <w:r>
        <w:rPr>
          <w:rFonts w:ascii="Times New Roman" w:hAnsi="Times New Roman"/>
          <w:b w:val="0"/>
          <w:color w:val="111111"/>
          <w:sz w:val="18"/>
        </w:rPr>
        <w:tab/>
        <w:t>47</w:t>
        <w:br/>
      </w:r>
      <w:r>
        <w:rPr>
          <w:rFonts w:ascii="Times New Roman" w:hAnsi="Times New Roman"/>
          <w:b w:val="0"/>
          <w:color w:val="111111"/>
          <w:sz w:val="18"/>
        </w:rPr>
        <w:t xml:space="preserve">    4.7 Préparation du déploiement</w:t>
      </w:r>
      <w:r>
        <w:rPr>
          <w:rFonts w:ascii="Times New Roman" w:hAnsi="Times New Roman"/>
          <w:b w:val="0"/>
          <w:color w:val="111111"/>
          <w:sz w:val="18"/>
        </w:rPr>
        <w:tab/>
        <w:t>48</w:t>
        <w:br/>
      </w:r>
      <w:r>
        <w:rPr>
          <w:rFonts w:ascii="Times New Roman" w:hAnsi="Times New Roman"/>
          <w:b w:val="0"/>
          <w:color w:val="111111"/>
          <w:sz w:val="18"/>
        </w:rPr>
        <w:t xml:space="preserve">    4.8 Résultats, limites et enseignements</w:t>
      </w:r>
      <w:r>
        <w:rPr>
          <w:rFonts w:ascii="Times New Roman" w:hAnsi="Times New Roman"/>
          <w:b w:val="0"/>
          <w:color w:val="111111"/>
          <w:sz w:val="18"/>
        </w:rPr>
        <w:tab/>
        <w:t>48</w:t>
        <w:br/>
      </w:r>
      <w:r>
        <w:rPr>
          <w:rFonts w:ascii="Times New Roman" w:hAnsi="Times New Roman"/>
          <w:b w:val="0"/>
          <w:color w:val="111111"/>
          <w:sz w:val="18"/>
        </w:rPr>
        <w:t xml:space="preserve">        4.8.1 Résultats obtenus</w:t>
      </w:r>
      <w:r>
        <w:rPr>
          <w:rFonts w:ascii="Times New Roman" w:hAnsi="Times New Roman"/>
          <w:b w:val="0"/>
          <w:color w:val="111111"/>
          <w:sz w:val="18"/>
        </w:rPr>
        <w:tab/>
        <w:t>66</w:t>
        <w:br/>
      </w:r>
      <w:r>
        <w:rPr>
          <w:rFonts w:ascii="Times New Roman" w:hAnsi="Times New Roman"/>
          <w:b w:val="0"/>
          <w:color w:val="111111"/>
          <w:sz w:val="18"/>
        </w:rPr>
        <w:t xml:space="preserve">        4.8.2 Limites confirmées par l’audit</w:t>
      </w:r>
      <w:r>
        <w:rPr>
          <w:rFonts w:ascii="Times New Roman" w:hAnsi="Times New Roman"/>
          <w:b w:val="0"/>
          <w:color w:val="111111"/>
          <w:sz w:val="18"/>
        </w:rPr>
        <w:tab/>
        <w:t>66</w:t>
        <w:br/>
      </w:r>
      <w:r>
        <w:rPr>
          <w:rFonts w:ascii="Times New Roman" w:hAnsi="Times New Roman"/>
          <w:b w:val="0"/>
          <w:color w:val="111111"/>
          <w:sz w:val="18"/>
        </w:rPr>
        <w:t xml:space="preserve">        4.8.3 Perspectives réalistes</w:t>
      </w:r>
      <w:r>
        <w:rPr>
          <w:rFonts w:ascii="Times New Roman" w:hAnsi="Times New Roman"/>
          <w:b w:val="0"/>
          <w:color w:val="111111"/>
          <w:sz w:val="18"/>
        </w:rPr>
        <w:tab/>
        <w:t>67</w:t>
        <w:br/>
      </w:r>
      <w:r>
        <w:rPr>
          <w:rFonts w:ascii="Times New Roman" w:hAnsi="Times New Roman"/>
          <w:b w:val="0"/>
          <w:color w:val="111111"/>
          <w:sz w:val="18"/>
        </w:rPr>
        <w:t xml:space="preserve">    Conclusion du chapitre 4</w:t>
      </w:r>
      <w:r>
        <w:rPr>
          <w:rFonts w:ascii="Times New Roman" w:hAnsi="Times New Roman"/>
          <w:b w:val="0"/>
          <w:color w:val="111111"/>
          <w:sz w:val="18"/>
        </w:rPr>
        <w:tab/>
        <w:t>68</w:t>
        <w:br/>
      </w:r>
      <w:r>
        <w:rPr>
          <w:rFonts w:ascii="Times New Roman" w:hAnsi="Times New Roman"/>
          <w:b/>
          <w:color w:val="003C2A"/>
          <w:sz w:val="18"/>
        </w:rPr>
        <w:t>Conclusion générale et perspectives</w:t>
      </w:r>
      <w:r>
        <w:rPr>
          <w:rFonts w:ascii="Times New Roman" w:hAnsi="Times New Roman"/>
          <w:b/>
          <w:color w:val="003C2A"/>
          <w:sz w:val="18"/>
        </w:rPr>
        <w:tab/>
        <w:t>69</w:t>
        <w:br/>
      </w:r>
      <w:r>
        <w:rPr>
          <w:rFonts w:ascii="Times New Roman" w:hAnsi="Times New Roman"/>
          <w:b/>
          <w:color w:val="003C2A"/>
          <w:sz w:val="18"/>
        </w:rPr>
        <w:t>Références bibliographiques</w:t>
      </w:r>
      <w:r>
        <w:rPr>
          <w:rFonts w:ascii="Times New Roman" w:hAnsi="Times New Roman"/>
          <w:b/>
          <w:color w:val="003C2A"/>
          <w:sz w:val="18"/>
        </w:rPr>
        <w:tab/>
        <w:t>70</w:t>
        <w:br/>
      </w:r>
      <w:r>
        <w:rPr>
          <w:rFonts w:ascii="Times New Roman" w:hAnsi="Times New Roman"/>
          <w:b w:val="0"/>
          <w:color w:val="111111"/>
          <w:sz w:val="18"/>
        </w:rPr>
        <w:t xml:space="preserve">    Annexe A — Principales routes frontend</w:t>
      </w:r>
      <w:r>
        <w:rPr>
          <w:rFonts w:ascii="Times New Roman" w:hAnsi="Times New Roman"/>
          <w:b w:val="0"/>
          <w:color w:val="111111"/>
          <w:sz w:val="18"/>
        </w:rPr>
        <w:tab/>
        <w:t>71</w:t>
        <w:br/>
      </w:r>
      <w:r>
        <w:rPr>
          <w:rFonts w:ascii="Times New Roman" w:hAnsi="Times New Roman"/>
          <w:b w:val="0"/>
          <w:color w:val="111111"/>
          <w:sz w:val="18"/>
        </w:rPr>
        <w:t xml:space="preserve">    Annexe B — Principaux groupes d'API</w:t>
      </w:r>
      <w:r>
        <w:rPr>
          <w:rFonts w:ascii="Times New Roman" w:hAnsi="Times New Roman"/>
          <w:b w:val="0"/>
          <w:color w:val="111111"/>
          <w:sz w:val="18"/>
        </w:rPr>
        <w:tab/>
        <w:t>71</w:t>
        <w:br/>
      </w:r>
      <w:r>
        <w:rPr>
          <w:rFonts w:ascii="Times New Roman" w:hAnsi="Times New Roman"/>
          <w:b w:val="0"/>
          <w:color w:val="111111"/>
          <w:sz w:val="18"/>
        </w:rPr>
        <w:t xml:space="preserve">    Annexe C — Lancement local</w:t>
      </w:r>
      <w:r>
        <w:rPr>
          <w:rFonts w:ascii="Times New Roman" w:hAnsi="Times New Roman"/>
          <w:b w:val="0"/>
          <w:color w:val="111111"/>
          <w:sz w:val="18"/>
        </w:rPr>
        <w:tab/>
        <w:t>71</w:t>
        <w:br/>
      </w:r>
      <w:r>
        <w:rPr>
          <w:rFonts w:ascii="Times New Roman" w:hAnsi="Times New Roman"/>
          <w:b w:val="0"/>
          <w:color w:val="111111"/>
          <w:sz w:val="18"/>
        </w:rPr>
        <w:t xml:space="preserve">    Annexe D — Données personnelles et institutionnelles à renseigner</w:t>
      </w:r>
      <w:r>
        <w:rPr>
          <w:rFonts w:ascii="Times New Roman" w:hAnsi="Times New Roman"/>
          <w:b w:val="0"/>
          <w:color w:val="111111"/>
          <w:sz w:val="18"/>
        </w:rPr>
        <w:tab/>
        <w:t>71</w:t>
      </w:r>
      <w:r>
        <w:fldChar w:fldCharType="end"/>
      </w:r>
    </w:p>
    <w:p>
      <w:r>
        <w:rPr>
          <w:rFonts w:ascii="Times New Roman" w:hAnsi="Times New Roman"/>
          <w:color w:val="111111"/>
          <w:sz w:val="24"/>
        </w:rPr>
        <w:br w:type="page"/>
      </w:r>
    </w:p>
    <w:p>
      <w:pPr>
        <w:pStyle w:val="Heading1"/>
      </w:pPr>
      <w:r>
        <w:rPr>
          <w:rFonts w:ascii="Times New Roman" w:hAnsi="Times New Roman"/>
          <w:color w:val="111111"/>
          <w:sz w:val="24"/>
        </w:rPr>
        <w:t>Table des figures</w:t>
      </w:r>
    </w:p>
    <w:p>
      <w:pPr>
        <w:tabs>
          <w:tab w:pos="8504" w:val="right" w:leader="dot"/>
          <w:tab w:pos="8504" w:val="right" w:leader="dot"/>
        </w:tabs>
        <w:spacing w:line="252" w:lineRule="auto" w:after="0"/>
      </w:pPr>
      <w:r>
        <w:fldChar w:fldCharType="begin"/>
      </w:r>
      <w:r>
        <w:instrText xml:space="preserve">TOC \h \z \t "Figure Caption,1"</w:instrText>
      </w:r>
      <w:r>
        <w:fldChar w:fldCharType="separate"/>
      </w:r>
      <w:r>
        <w:rPr>
          <w:rFonts w:ascii="Times New Roman" w:hAnsi="Times New Roman"/>
          <w:b/>
          <w:color w:val="003C2A"/>
          <w:sz w:val="18"/>
        </w:rPr>
        <w:t>Figure 1.1 — Identité visuelle G-ROD</w:t>
      </w:r>
      <w:r>
        <w:rPr>
          <w:rFonts w:ascii="Times New Roman" w:hAnsi="Times New Roman"/>
          <w:b/>
          <w:color w:val="003C2A"/>
          <w:sz w:val="18"/>
        </w:rPr>
        <w:tab/>
        <w:t>10</w:t>
        <w:br/>
      </w:r>
      <w:r>
        <w:rPr>
          <w:rFonts w:ascii="Times New Roman" w:hAnsi="Times New Roman"/>
          <w:b/>
          <w:color w:val="003C2A"/>
          <w:sz w:val="18"/>
        </w:rPr>
        <w:t>Figure 1.2 — Schéma de production de Morocco Copper Foundry</w:t>
      </w:r>
      <w:r>
        <w:rPr>
          <w:rFonts w:ascii="Times New Roman" w:hAnsi="Times New Roman"/>
          <w:b/>
          <w:color w:val="003C2A"/>
          <w:sz w:val="18"/>
        </w:rPr>
        <w:tab/>
        <w:t>13</w:t>
        <w:br/>
      </w:r>
      <w:r>
        <w:rPr>
          <w:rFonts w:ascii="Times New Roman" w:hAnsi="Times New Roman"/>
          <w:b/>
          <w:color w:val="003C2A"/>
          <w:sz w:val="18"/>
        </w:rPr>
        <w:t>Figure 1.3 — Illustration de l'environnement industriel</w:t>
      </w:r>
      <w:r>
        <w:rPr>
          <w:rFonts w:ascii="Times New Roman" w:hAnsi="Times New Roman"/>
          <w:b/>
          <w:color w:val="003C2A"/>
          <w:sz w:val="18"/>
        </w:rPr>
        <w:tab/>
        <w:t>13</w:t>
        <w:br/>
      </w:r>
      <w:r>
        <w:rPr>
          <w:rFonts w:ascii="Times New Roman" w:hAnsi="Times New Roman"/>
          <w:b/>
          <w:color w:val="003C2A"/>
          <w:sz w:val="18"/>
        </w:rPr>
        <w:t>Figure 2.1 — Planification prévisionnelle du projet</w:t>
      </w:r>
      <w:r>
        <w:rPr>
          <w:rFonts w:ascii="Times New Roman" w:hAnsi="Times New Roman"/>
          <w:b/>
          <w:color w:val="003C2A"/>
          <w:sz w:val="18"/>
        </w:rPr>
        <w:tab/>
        <w:t>24</w:t>
        <w:br/>
      </w:r>
      <w:r>
        <w:rPr>
          <w:rFonts w:ascii="Times New Roman" w:hAnsi="Times New Roman"/>
          <w:b/>
          <w:color w:val="003C2A"/>
          <w:sz w:val="18"/>
        </w:rPr>
        <w:t>Figure 3.1 — Architecture globale de la plateforme G-ROD</w:t>
      </w:r>
      <w:r>
        <w:rPr>
          <w:rFonts w:ascii="Times New Roman" w:hAnsi="Times New Roman"/>
          <w:b/>
          <w:color w:val="003C2A"/>
          <w:sz w:val="18"/>
        </w:rPr>
        <w:tab/>
        <w:t>32</w:t>
        <w:br/>
      </w:r>
      <w:r>
        <w:rPr>
          <w:rFonts w:ascii="Times New Roman" w:hAnsi="Times New Roman"/>
          <w:b/>
          <w:color w:val="003C2A"/>
          <w:sz w:val="18"/>
        </w:rPr>
        <w:t>Figure 3.2 — Diagramme global des cas d’utilisation</w:t>
      </w:r>
      <w:r>
        <w:rPr>
          <w:rFonts w:ascii="Times New Roman" w:hAnsi="Times New Roman"/>
          <w:b/>
          <w:color w:val="003C2A"/>
          <w:sz w:val="18"/>
        </w:rPr>
        <w:tab/>
        <w:t>33</w:t>
        <w:br/>
      </w:r>
      <w:r>
        <w:rPr>
          <w:rFonts w:ascii="Times New Roman" w:hAnsi="Times New Roman"/>
          <w:b/>
          <w:color w:val="003C2A"/>
          <w:sz w:val="18"/>
        </w:rPr>
        <w:t>Figure 3.3 — Diagramme de séquence d’une demande de devis</w:t>
      </w:r>
      <w:r>
        <w:rPr>
          <w:rFonts w:ascii="Times New Roman" w:hAnsi="Times New Roman"/>
          <w:b/>
          <w:color w:val="003C2A"/>
          <w:sz w:val="18"/>
        </w:rPr>
        <w:tab/>
        <w:t>34</w:t>
        <w:br/>
      </w:r>
      <w:r>
        <w:rPr>
          <w:rFonts w:ascii="Times New Roman" w:hAnsi="Times New Roman"/>
          <w:b/>
          <w:color w:val="003C2A"/>
          <w:sz w:val="18"/>
        </w:rPr>
        <w:t>Figure 3.4 — Diagramme de séquence de l’authentification JWT</w:t>
      </w:r>
      <w:r>
        <w:rPr>
          <w:rFonts w:ascii="Times New Roman" w:hAnsi="Times New Roman"/>
          <w:b/>
          <w:color w:val="003C2A"/>
          <w:sz w:val="18"/>
        </w:rPr>
        <w:tab/>
        <w:t>35</w:t>
        <w:br/>
      </w:r>
      <w:r>
        <w:rPr>
          <w:rFonts w:ascii="Times New Roman" w:hAnsi="Times New Roman"/>
          <w:b/>
          <w:color w:val="003C2A"/>
          <w:sz w:val="18"/>
        </w:rPr>
        <w:t>Figure 3.5 — Diagramme de séquence du traitement administratif</w:t>
      </w:r>
      <w:r>
        <w:rPr>
          <w:rFonts w:ascii="Times New Roman" w:hAnsi="Times New Roman"/>
          <w:b/>
          <w:color w:val="003C2A"/>
          <w:sz w:val="18"/>
        </w:rPr>
        <w:tab/>
        <w:t>36</w:t>
        <w:br/>
      </w:r>
      <w:r>
        <w:rPr>
          <w:rFonts w:ascii="Times New Roman" w:hAnsi="Times New Roman"/>
          <w:b/>
          <w:color w:val="003C2A"/>
          <w:sz w:val="18"/>
        </w:rPr>
        <w:t>Figure 3.6 — Modèle métier JPA constaté dans le code</w:t>
      </w:r>
      <w:r>
        <w:rPr>
          <w:rFonts w:ascii="Times New Roman" w:hAnsi="Times New Roman"/>
          <w:b/>
          <w:color w:val="003C2A"/>
          <w:sz w:val="18"/>
        </w:rPr>
        <w:tab/>
        <w:t>37</w:t>
        <w:br/>
      </w:r>
      <w:r>
        <w:rPr>
          <w:rFonts w:ascii="Times New Roman" w:hAnsi="Times New Roman"/>
          <w:b/>
          <w:color w:val="003C2A"/>
          <w:sz w:val="18"/>
        </w:rPr>
        <w:t>Figure 4.1 — Réception et tri des matières premières</w:t>
      </w:r>
      <w:r>
        <w:rPr>
          <w:rFonts w:ascii="Times New Roman" w:hAnsi="Times New Roman"/>
          <w:b/>
          <w:color w:val="003C2A"/>
          <w:sz w:val="18"/>
        </w:rPr>
        <w:tab/>
        <w:t>42</w:t>
        <w:br/>
      </w:r>
      <w:r>
        <w:rPr>
          <w:rFonts w:ascii="Times New Roman" w:hAnsi="Times New Roman"/>
          <w:b/>
          <w:color w:val="003C2A"/>
          <w:sz w:val="18"/>
        </w:rPr>
        <w:t>Figure 4.2 — Contrôle en laboratoire</w:t>
      </w:r>
      <w:r>
        <w:rPr>
          <w:rFonts w:ascii="Times New Roman" w:hAnsi="Times New Roman"/>
          <w:b/>
          <w:color w:val="003C2A"/>
          <w:sz w:val="18"/>
        </w:rPr>
        <w:tab/>
        <w:t>43</w:t>
        <w:br/>
      </w:r>
      <w:r>
        <w:rPr>
          <w:rFonts w:ascii="Times New Roman" w:hAnsi="Times New Roman"/>
          <w:b/>
          <w:color w:val="003C2A"/>
          <w:sz w:val="18"/>
        </w:rPr>
        <w:t>Figure 4.3 — Page d’accueil publique</w:t>
      </w:r>
      <w:r>
        <w:rPr>
          <w:rFonts w:ascii="Times New Roman" w:hAnsi="Times New Roman"/>
          <w:b/>
          <w:color w:val="003C2A"/>
          <w:sz w:val="18"/>
        </w:rPr>
        <w:tab/>
        <w:t>49</w:t>
        <w:br/>
      </w:r>
      <w:r>
        <w:rPr>
          <w:rFonts w:ascii="Times New Roman" w:hAnsi="Times New Roman"/>
          <w:b/>
          <w:color w:val="003C2A"/>
          <w:sz w:val="18"/>
        </w:rPr>
        <w:t>Figure 4.4 — Catalogue : recherche et mode liste</w:t>
      </w:r>
      <w:r>
        <w:rPr>
          <w:rFonts w:ascii="Times New Roman" w:hAnsi="Times New Roman"/>
          <w:b/>
          <w:color w:val="003C2A"/>
          <w:sz w:val="18"/>
        </w:rPr>
        <w:tab/>
        <w:t>50</w:t>
        <w:br/>
      </w:r>
      <w:r>
        <w:rPr>
          <w:rFonts w:ascii="Times New Roman" w:hAnsi="Times New Roman"/>
          <w:b/>
          <w:color w:val="003C2A"/>
          <w:sz w:val="18"/>
        </w:rPr>
        <w:t>Figure 4.5 — Fiche produit et aperçu 3D</w:t>
      </w:r>
      <w:r>
        <w:rPr>
          <w:rFonts w:ascii="Times New Roman" w:hAnsi="Times New Roman"/>
          <w:b/>
          <w:color w:val="003C2A"/>
          <w:sz w:val="18"/>
        </w:rPr>
        <w:tab/>
        <w:t>51</w:t>
        <w:br/>
      </w:r>
      <w:r>
        <w:rPr>
          <w:rFonts w:ascii="Times New Roman" w:hAnsi="Times New Roman"/>
          <w:b/>
          <w:color w:val="003C2A"/>
          <w:sz w:val="18"/>
        </w:rPr>
        <w:t>Figure 4.6 — Formulaire de demande de devis</w:t>
      </w:r>
      <w:r>
        <w:rPr>
          <w:rFonts w:ascii="Times New Roman" w:hAnsi="Times New Roman"/>
          <w:b/>
          <w:color w:val="003C2A"/>
          <w:sz w:val="18"/>
        </w:rPr>
        <w:tab/>
        <w:t>52</w:t>
        <w:br/>
      </w:r>
      <w:r>
        <w:rPr>
          <w:rFonts w:ascii="Times New Roman" w:hAnsi="Times New Roman"/>
          <w:b/>
          <w:color w:val="003C2A"/>
          <w:sz w:val="18"/>
        </w:rPr>
        <w:t>Figure 4.7 — Ressources techniques publiques</w:t>
      </w:r>
      <w:r>
        <w:rPr>
          <w:rFonts w:ascii="Times New Roman" w:hAnsi="Times New Roman"/>
          <w:b/>
          <w:color w:val="003C2A"/>
          <w:sz w:val="18"/>
        </w:rPr>
        <w:tab/>
        <w:t>53</w:t>
        <w:br/>
      </w:r>
      <w:r>
        <w:rPr>
          <w:rFonts w:ascii="Times New Roman" w:hAnsi="Times New Roman"/>
          <w:b/>
          <w:color w:val="003C2A"/>
          <w:sz w:val="18"/>
        </w:rPr>
        <w:t>Figure 4.8 — Catalogue en affichage mobile</w:t>
      </w:r>
      <w:r>
        <w:rPr>
          <w:rFonts w:ascii="Times New Roman" w:hAnsi="Times New Roman"/>
          <w:b/>
          <w:color w:val="003C2A"/>
          <w:sz w:val="18"/>
        </w:rPr>
        <w:tab/>
        <w:t>54</w:t>
        <w:br/>
      </w:r>
      <w:r>
        <w:rPr>
          <w:rFonts w:ascii="Times New Roman" w:hAnsi="Times New Roman"/>
          <w:b/>
          <w:color w:val="003C2A"/>
          <w:sz w:val="18"/>
        </w:rPr>
        <w:t>Figure 4.9 — Dashboard commercial Admin</w:t>
      </w:r>
      <w:r>
        <w:rPr>
          <w:rFonts w:ascii="Times New Roman" w:hAnsi="Times New Roman"/>
          <w:b/>
          <w:color w:val="003C2A"/>
          <w:sz w:val="18"/>
        </w:rPr>
        <w:tab/>
        <w:t>55</w:t>
        <w:br/>
      </w:r>
      <w:r>
        <w:rPr>
          <w:rFonts w:ascii="Times New Roman" w:hAnsi="Times New Roman"/>
          <w:b/>
          <w:color w:val="003C2A"/>
          <w:sz w:val="18"/>
        </w:rPr>
        <w:t>Figure 4.10 — Pipeline commercial des demandes</w:t>
      </w:r>
      <w:r>
        <w:rPr>
          <w:rFonts w:ascii="Times New Roman" w:hAnsi="Times New Roman"/>
          <w:b/>
          <w:color w:val="003C2A"/>
          <w:sz w:val="18"/>
        </w:rPr>
        <w:tab/>
        <w:t>56</w:t>
        <w:br/>
      </w:r>
      <w:r>
        <w:rPr>
          <w:rFonts w:ascii="Times New Roman" w:hAnsi="Times New Roman"/>
          <w:b/>
          <w:color w:val="003C2A"/>
          <w:sz w:val="18"/>
        </w:rPr>
        <w:t>Figure 4.11 — Gestion des demandes</w:t>
      </w:r>
      <w:r>
        <w:rPr>
          <w:rFonts w:ascii="Times New Roman" w:hAnsi="Times New Roman"/>
          <w:b/>
          <w:color w:val="003C2A"/>
          <w:sz w:val="18"/>
        </w:rPr>
        <w:tab/>
        <w:t>21</w:t>
        <w:br/>
      </w:r>
      <w:r>
        <w:rPr>
          <w:rFonts w:ascii="Times New Roman" w:hAnsi="Times New Roman"/>
          <w:b/>
          <w:color w:val="003C2A"/>
          <w:sz w:val="18"/>
        </w:rPr>
        <w:t>Figure 4.12 — Gestion des clients</w:t>
      </w:r>
      <w:r>
        <w:rPr>
          <w:rFonts w:ascii="Times New Roman" w:hAnsi="Times New Roman"/>
          <w:b/>
          <w:color w:val="003C2A"/>
          <w:sz w:val="18"/>
        </w:rPr>
        <w:tab/>
        <w:t>44</w:t>
        <w:br/>
      </w:r>
      <w:r>
        <w:rPr>
          <w:rFonts w:ascii="Times New Roman" w:hAnsi="Times New Roman"/>
          <w:b/>
          <w:color w:val="003C2A"/>
          <w:sz w:val="18"/>
        </w:rPr>
        <w:t>Figure 4.13 — Gestion des produits</w:t>
      </w:r>
      <w:r>
        <w:rPr>
          <w:rFonts w:ascii="Times New Roman" w:hAnsi="Times New Roman"/>
          <w:b/>
          <w:color w:val="003C2A"/>
          <w:sz w:val="18"/>
        </w:rPr>
        <w:tab/>
        <w:t>44</w:t>
        <w:br/>
      </w:r>
      <w:r>
        <w:rPr>
          <w:rFonts w:ascii="Times New Roman" w:hAnsi="Times New Roman"/>
          <w:b/>
          <w:color w:val="003C2A"/>
          <w:sz w:val="18"/>
        </w:rPr>
        <w:t>Figure 4.14 — Gestion des demandes de documents</w:t>
      </w:r>
      <w:r>
        <w:rPr>
          <w:rFonts w:ascii="Times New Roman" w:hAnsi="Times New Roman"/>
          <w:b/>
          <w:color w:val="003C2A"/>
          <w:sz w:val="18"/>
        </w:rPr>
        <w:tab/>
        <w:t>60</w:t>
        <w:br/>
      </w:r>
      <w:r>
        <w:rPr>
          <w:rFonts w:ascii="Times New Roman" w:hAnsi="Times New Roman"/>
          <w:b/>
          <w:color w:val="003C2A"/>
          <w:sz w:val="18"/>
        </w:rPr>
        <w:t>Figure 4.15 — Gestion des ressources techniques</w:t>
      </w:r>
      <w:r>
        <w:rPr>
          <w:rFonts w:ascii="Times New Roman" w:hAnsi="Times New Roman"/>
          <w:b/>
          <w:color w:val="003C2A"/>
          <w:sz w:val="18"/>
        </w:rPr>
        <w:tab/>
        <w:t>61</w:t>
        <w:br/>
      </w:r>
      <w:r>
        <w:rPr>
          <w:rFonts w:ascii="Times New Roman" w:hAnsi="Times New Roman"/>
          <w:b/>
          <w:color w:val="003C2A"/>
          <w:sz w:val="18"/>
        </w:rPr>
        <w:t>Figure 4.16 — Centre de notifications</w:t>
      </w:r>
      <w:r>
        <w:rPr>
          <w:rFonts w:ascii="Times New Roman" w:hAnsi="Times New Roman"/>
          <w:b/>
          <w:color w:val="003C2A"/>
          <w:sz w:val="18"/>
        </w:rPr>
        <w:tab/>
        <w:t>62</w:t>
        <w:br/>
      </w:r>
      <w:r>
        <w:rPr>
          <w:rFonts w:ascii="Times New Roman" w:hAnsi="Times New Roman"/>
          <w:b/>
          <w:color w:val="003C2A"/>
          <w:sz w:val="18"/>
        </w:rPr>
        <w:t>Figure 4.17 — Mon compte et sécurité</w:t>
      </w:r>
      <w:r>
        <w:rPr>
          <w:rFonts w:ascii="Times New Roman" w:hAnsi="Times New Roman"/>
          <w:b/>
          <w:color w:val="003C2A"/>
          <w:sz w:val="18"/>
        </w:rPr>
        <w:tab/>
        <w:t>63</w:t>
        <w:br/>
      </w:r>
      <w:r>
        <w:rPr>
          <w:rFonts w:ascii="Times New Roman" w:hAnsi="Times New Roman"/>
          <w:b/>
          <w:color w:val="003C2A"/>
          <w:sz w:val="18"/>
        </w:rPr>
        <w:t>Figure 4.18 — Navigation Admin sur écran mobile</w:t>
      </w:r>
      <w:r>
        <w:rPr>
          <w:rFonts w:ascii="Times New Roman" w:hAnsi="Times New Roman"/>
          <w:b/>
          <w:color w:val="003C2A"/>
          <w:sz w:val="18"/>
        </w:rPr>
        <w:tab/>
        <w:t>64</w:t>
        <w:br/>
      </w:r>
      <w:r>
        <w:rPr>
          <w:rFonts w:ascii="Times New Roman" w:hAnsi="Times New Roman"/>
          <w:b/>
          <w:color w:val="003C2A"/>
          <w:sz w:val="18"/>
        </w:rPr>
        <w:t>Figure 4.19 — Connexion sécurisée à l’administration</w:t>
      </w:r>
      <w:r>
        <w:rPr>
          <w:rFonts w:ascii="Times New Roman" w:hAnsi="Times New Roman"/>
          <w:b/>
          <w:color w:val="003C2A"/>
          <w:sz w:val="18"/>
        </w:rPr>
        <w:tab/>
        <w:t>65</w:t>
        <w:br/>
      </w:r>
      <w:r>
        <w:rPr>
          <w:rFonts w:ascii="Times New Roman" w:hAnsi="Times New Roman"/>
          <w:b/>
          <w:color w:val="003C2A"/>
          <w:sz w:val="18"/>
        </w:rPr>
        <w:t>Figure 4.20 — Synthèse des tests automatisés</w:t>
      </w:r>
      <w:r>
        <w:rPr>
          <w:rFonts w:ascii="Times New Roman" w:hAnsi="Times New Roman"/>
          <w:b/>
          <w:color w:val="003C2A"/>
          <w:sz w:val="18"/>
        </w:rPr>
        <w:tab/>
        <w:t>66</w:t>
      </w:r>
      <w:r>
        <w:fldChar w:fldCharType="end"/>
      </w:r>
    </w:p>
    <w:p>
      <w:r>
        <w:rPr>
          <w:rFonts w:ascii="Times New Roman" w:hAnsi="Times New Roman"/>
          <w:color w:val="111111"/>
          <w:sz w:val="24"/>
        </w:rPr>
        <w:br w:type="page"/>
      </w:r>
    </w:p>
    <w:p>
      <w:pPr>
        <w:pStyle w:val="Heading1"/>
      </w:pPr>
      <w:r>
        <w:rPr>
          <w:rFonts w:ascii="Times New Roman" w:hAnsi="Times New Roman"/>
          <w:color w:val="111111"/>
          <w:sz w:val="24"/>
        </w:rPr>
        <w:t>Liste des tableaux</w:t>
      </w:r>
    </w:p>
    <w:p>
      <w:pPr>
        <w:tabs>
          <w:tab w:pos="8504" w:val="right" w:leader="dot"/>
          <w:tab w:pos="8504" w:val="right" w:leader="dot"/>
        </w:tabs>
        <w:spacing w:line="252" w:lineRule="auto" w:after="0"/>
      </w:pPr>
      <w:r>
        <w:fldChar w:fldCharType="begin"/>
      </w:r>
      <w:r>
        <w:instrText xml:space="preserve">TOC \h \z \t "Table Caption,1"</w:instrText>
      </w:r>
      <w:r>
        <w:fldChar w:fldCharType="separate"/>
      </w:r>
      <w:r>
        <w:rPr>
          <w:rFonts w:ascii="Times New Roman" w:hAnsi="Times New Roman"/>
          <w:b/>
          <w:color w:val="003C2A"/>
          <w:sz w:val="18"/>
        </w:rPr>
        <w:t>Tableau 1.1 — Gamme de produits présentée sur la plateforme</w:t>
      </w:r>
      <w:r>
        <w:rPr>
          <w:rFonts w:ascii="Times New Roman" w:hAnsi="Times New Roman"/>
          <w:b/>
          <w:color w:val="003C2A"/>
          <w:sz w:val="18"/>
        </w:rPr>
        <w:tab/>
        <w:t>11</w:t>
        <w:br/>
      </w:r>
      <w:r>
        <w:rPr>
          <w:rFonts w:ascii="Times New Roman" w:hAnsi="Times New Roman"/>
          <w:b/>
          <w:color w:val="003C2A"/>
          <w:sz w:val="18"/>
        </w:rPr>
        <w:t>Tableau 1.2 — Parties prenantes et attentes principales</w:t>
      </w:r>
      <w:r>
        <w:rPr>
          <w:rFonts w:ascii="Times New Roman" w:hAnsi="Times New Roman"/>
          <w:b/>
          <w:color w:val="003C2A"/>
          <w:sz w:val="18"/>
        </w:rPr>
        <w:tab/>
        <w:t>14</w:t>
        <w:br/>
      </w:r>
      <w:r>
        <w:rPr>
          <w:rFonts w:ascii="Times New Roman" w:hAnsi="Times New Roman"/>
          <w:b/>
          <w:color w:val="003C2A"/>
          <w:sz w:val="18"/>
        </w:rPr>
        <w:t>Tableau 2.1 — Synthèse du benchmark industriel B2B</w:t>
      </w:r>
      <w:r>
        <w:rPr>
          <w:rFonts w:ascii="Times New Roman" w:hAnsi="Times New Roman"/>
          <w:b/>
          <w:color w:val="003C2A"/>
          <w:sz w:val="18"/>
        </w:rPr>
        <w:tab/>
        <w:t>19</w:t>
        <w:br/>
      </w:r>
      <w:r>
        <w:rPr>
          <w:rFonts w:ascii="Times New Roman" w:hAnsi="Times New Roman"/>
          <w:b/>
          <w:color w:val="003C2A"/>
          <w:sz w:val="18"/>
        </w:rPr>
        <w:t>Tableau 2.2 — Acteurs et responsabilités</w:t>
      </w:r>
      <w:r>
        <w:rPr>
          <w:rFonts w:ascii="Times New Roman" w:hAnsi="Times New Roman"/>
          <w:b/>
          <w:color w:val="003C2A"/>
          <w:sz w:val="18"/>
        </w:rPr>
        <w:tab/>
        <w:t>19</w:t>
        <w:br/>
      </w:r>
      <w:r>
        <w:rPr>
          <w:rFonts w:ascii="Times New Roman" w:hAnsi="Times New Roman"/>
          <w:b/>
          <w:color w:val="003C2A"/>
          <w:sz w:val="18"/>
        </w:rPr>
        <w:t>Tableau 2.3 — Besoins fonctionnels du site public</w:t>
      </w:r>
      <w:r>
        <w:rPr>
          <w:rFonts w:ascii="Times New Roman" w:hAnsi="Times New Roman"/>
          <w:b/>
          <w:color w:val="003C2A"/>
          <w:sz w:val="18"/>
        </w:rPr>
        <w:tab/>
        <w:t>20</w:t>
        <w:br/>
      </w:r>
      <w:r>
        <w:rPr>
          <w:rFonts w:ascii="Times New Roman" w:hAnsi="Times New Roman"/>
          <w:b/>
          <w:color w:val="003C2A"/>
          <w:sz w:val="18"/>
        </w:rPr>
        <w:t>Tableau 2.4 — Besoins fonctionnels de l'administration</w:t>
      </w:r>
      <w:r>
        <w:rPr>
          <w:rFonts w:ascii="Times New Roman" w:hAnsi="Times New Roman"/>
          <w:b/>
          <w:color w:val="003C2A"/>
          <w:sz w:val="18"/>
        </w:rPr>
        <w:tab/>
        <w:t>20</w:t>
        <w:br/>
      </w:r>
      <w:r>
        <w:rPr>
          <w:rFonts w:ascii="Times New Roman" w:hAnsi="Times New Roman"/>
          <w:b/>
          <w:color w:val="003C2A"/>
          <w:sz w:val="18"/>
        </w:rPr>
        <w:t>Tableau 2.5 — Exigences non fonctionnelles</w:t>
      </w:r>
      <w:r>
        <w:rPr>
          <w:rFonts w:ascii="Times New Roman" w:hAnsi="Times New Roman"/>
          <w:b/>
          <w:color w:val="003C2A"/>
          <w:sz w:val="18"/>
        </w:rPr>
        <w:tab/>
        <w:t>20</w:t>
        <w:br/>
      </w:r>
      <w:r>
        <w:rPr>
          <w:rFonts w:ascii="Times New Roman" w:hAnsi="Times New Roman"/>
          <w:b/>
          <w:color w:val="003C2A"/>
          <w:sz w:val="18"/>
        </w:rPr>
        <w:t>Tableau 2.6 — Planification par phases</w:t>
      </w:r>
      <w:r>
        <w:rPr>
          <w:rFonts w:ascii="Times New Roman" w:hAnsi="Times New Roman"/>
          <w:b/>
          <w:color w:val="003C2A"/>
          <w:sz w:val="18"/>
        </w:rPr>
        <w:tab/>
        <w:t>22</w:t>
        <w:br/>
      </w:r>
      <w:r>
        <w:rPr>
          <w:rFonts w:ascii="Times New Roman" w:hAnsi="Times New Roman"/>
          <w:b/>
          <w:color w:val="003C2A"/>
          <w:sz w:val="18"/>
        </w:rPr>
        <w:t>Tableau 2.7 — Principaux risques du projet</w:t>
      </w:r>
      <w:r>
        <w:rPr>
          <w:rFonts w:ascii="Times New Roman" w:hAnsi="Times New Roman"/>
          <w:b/>
          <w:color w:val="003C2A"/>
          <w:sz w:val="18"/>
        </w:rPr>
        <w:tab/>
        <w:t>22</w:t>
        <w:br/>
      </w:r>
      <w:r>
        <w:rPr>
          <w:rFonts w:ascii="Times New Roman" w:hAnsi="Times New Roman"/>
          <w:b/>
          <w:color w:val="003C2A"/>
          <w:sz w:val="18"/>
        </w:rPr>
        <w:t>Tableau 3.1 — Comparaison des choix techniques</w:t>
      </w:r>
      <w:r>
        <w:rPr>
          <w:rFonts w:ascii="Times New Roman" w:hAnsi="Times New Roman"/>
          <w:b/>
          <w:color w:val="003C2A"/>
          <w:sz w:val="18"/>
        </w:rPr>
        <w:tab/>
        <w:t>26</w:t>
        <w:br/>
      </w:r>
      <w:r>
        <w:rPr>
          <w:rFonts w:ascii="Times New Roman" w:hAnsi="Times New Roman"/>
          <w:b/>
          <w:color w:val="003C2A"/>
          <w:sz w:val="18"/>
        </w:rPr>
        <w:t>Tableau 3.2 — Comparaison des solutions frontend</w:t>
      </w:r>
      <w:r>
        <w:rPr>
          <w:rFonts w:ascii="Times New Roman" w:hAnsi="Times New Roman"/>
          <w:b/>
          <w:color w:val="003C2A"/>
          <w:sz w:val="18"/>
        </w:rPr>
        <w:tab/>
        <w:t>27</w:t>
        <w:br/>
      </w:r>
      <w:r>
        <w:rPr>
          <w:rFonts w:ascii="Times New Roman" w:hAnsi="Times New Roman"/>
          <w:b/>
          <w:color w:val="003C2A"/>
          <w:sz w:val="18"/>
        </w:rPr>
        <w:t>Tableau 3.3 — Comparaison des solutions backend</w:t>
      </w:r>
      <w:r>
        <w:rPr>
          <w:rFonts w:ascii="Times New Roman" w:hAnsi="Times New Roman"/>
          <w:b/>
          <w:color w:val="003C2A"/>
          <w:sz w:val="18"/>
        </w:rPr>
        <w:tab/>
        <w:t>27</w:t>
        <w:br/>
      </w:r>
      <w:r>
        <w:rPr>
          <w:rFonts w:ascii="Times New Roman" w:hAnsi="Times New Roman"/>
          <w:b/>
          <w:color w:val="003C2A"/>
          <w:sz w:val="18"/>
        </w:rPr>
        <w:t>Tableau 3.4 — Comparaison des bases de données</w:t>
      </w:r>
      <w:r>
        <w:rPr>
          <w:rFonts w:ascii="Times New Roman" w:hAnsi="Times New Roman"/>
          <w:b/>
          <w:color w:val="003C2A"/>
          <w:sz w:val="18"/>
        </w:rPr>
        <w:tab/>
        <w:t>28</w:t>
        <w:br/>
      </w:r>
      <w:r>
        <w:rPr>
          <w:rFonts w:ascii="Times New Roman" w:hAnsi="Times New Roman"/>
          <w:b/>
          <w:color w:val="003C2A"/>
          <w:sz w:val="18"/>
        </w:rPr>
        <w:t>Tableau 3.5 — Principaux cas d'utilisation</w:t>
      </w:r>
      <w:r>
        <w:rPr>
          <w:rFonts w:ascii="Times New Roman" w:hAnsi="Times New Roman"/>
          <w:b/>
          <w:color w:val="003C2A"/>
          <w:sz w:val="18"/>
        </w:rPr>
        <w:tab/>
        <w:t>29</w:t>
        <w:br/>
      </w:r>
      <w:r>
        <w:rPr>
          <w:rFonts w:ascii="Times New Roman" w:hAnsi="Times New Roman"/>
          <w:b/>
          <w:color w:val="003C2A"/>
          <w:sz w:val="18"/>
        </w:rPr>
        <w:t>Tableau 3.6 — Entités métier</w:t>
      </w:r>
      <w:r>
        <w:rPr>
          <w:rFonts w:ascii="Times New Roman" w:hAnsi="Times New Roman"/>
          <w:b/>
          <w:color w:val="003C2A"/>
          <w:sz w:val="18"/>
        </w:rPr>
        <w:tab/>
        <w:t>26</w:t>
        <w:br/>
      </w:r>
      <w:r>
        <w:rPr>
          <w:rFonts w:ascii="Times New Roman" w:hAnsi="Times New Roman"/>
          <w:b/>
          <w:color w:val="003C2A"/>
          <w:sz w:val="18"/>
        </w:rPr>
        <w:t>Tableau 4.1 — Technologies et outils</w:t>
      </w:r>
      <w:r>
        <w:rPr>
          <w:rFonts w:ascii="Times New Roman" w:hAnsi="Times New Roman"/>
          <w:b/>
          <w:color w:val="003C2A"/>
          <w:sz w:val="18"/>
        </w:rPr>
        <w:tab/>
        <w:t>41</w:t>
        <w:br/>
      </w:r>
      <w:r>
        <w:rPr>
          <w:rFonts w:ascii="Times New Roman" w:hAnsi="Times New Roman"/>
          <w:b/>
          <w:color w:val="003C2A"/>
          <w:sz w:val="18"/>
        </w:rPr>
        <w:t>Tableau 4.2 — Synthèse des tests</w:t>
      </w:r>
      <w:r>
        <w:rPr>
          <w:rFonts w:ascii="Times New Roman" w:hAnsi="Times New Roman"/>
          <w:b/>
          <w:color w:val="003C2A"/>
          <w:sz w:val="18"/>
        </w:rPr>
        <w:tab/>
        <w:t>46</w:t>
        <w:br/>
      </w:r>
      <w:r>
        <w:rPr>
          <w:rFonts w:ascii="Times New Roman" w:hAnsi="Times New Roman"/>
          <w:b/>
          <w:color w:val="003C2A"/>
          <w:sz w:val="18"/>
        </w:rPr>
        <w:t>Tableau 4.3 — Résultats détaillés de la validation finale</w:t>
      </w:r>
      <w:r>
        <w:rPr>
          <w:rFonts w:ascii="Times New Roman" w:hAnsi="Times New Roman"/>
          <w:b/>
          <w:color w:val="003C2A"/>
          <w:sz w:val="18"/>
        </w:rPr>
        <w:tab/>
        <w:t>47</w:t>
      </w:r>
      <w:r>
        <w:fldChar w:fldCharType="end"/>
      </w:r>
    </w:p>
    <w:p>
      <w:r>
        <w:rPr>
          <w:rFonts w:ascii="Times New Roman" w:hAnsi="Times New Roman"/>
          <w:color w:val="111111"/>
          <w:sz w:val="24"/>
        </w:rPr>
        <w:br w:type="page"/>
      </w:r>
    </w:p>
    <w:p>
      <w:pPr>
        <w:pStyle w:val="Heading1"/>
      </w:pPr>
      <w:r>
        <w:rPr>
          <w:rFonts w:ascii="Times New Roman" w:hAnsi="Times New Roman"/>
          <w:color w:val="111111"/>
          <w:sz w:val="24"/>
        </w:rPr>
        <w:t>Liste des acronymes</w:t>
      </w:r>
    </w:p>
    <w:tbl>
      <w:tblPr>
        <w:tblStyle w:val="TableGrid"/>
        <w:tblW w:type="dxa" w:w="8788"/>
        <w:jc w:val="left"/>
        <w:tblLayout w:type="fixed"/>
        <w:tblLook w:firstColumn="1" w:firstRow="1" w:lastColumn="0" w:lastRow="0" w:noHBand="0" w:noVBand="1" w:val="04A0"/>
        <w:tblInd w:w="120" w:type="dxa"/>
      </w:tblPr>
      <w:tblGrid>
        <w:gridCol w:w="1743"/>
        <w:gridCol w:w="7045"/>
      </w:tblGrid>
      <w:tr>
        <w:trPr>
          <w:tblHeader w:val="true"/>
        </w:trPr>
        <w:tc>
          <w:tcPr>
            <w:tcW w:type="dxa" w:w="1743"/>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Acronyme</w:t>
            </w:r>
          </w:p>
        </w:tc>
        <w:tc>
          <w:tcPr>
            <w:tcW w:type="dxa" w:w="7045"/>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Signification</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API</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Application Programming Interface</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B2B</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Business to Business</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CRUD</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Create, Read, Update, Delete</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DTO</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Data Transfer Object</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HTTP</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Hypertext Transfer Protocol</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JWT</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JSON Web Token</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MCF</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Morocco Copper Foundry</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ORM</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Object-Relational Mapping</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PDF</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Portable Document Format</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PWA</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Progressive Web Application</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REST</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Representational State Transfer</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SPA</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Single Page Application</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UML</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Unified Modeling Language</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WebAuthn</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Web Authentication API</w:t>
            </w:r>
          </w:p>
        </w:tc>
      </w:tr>
    </w:tbl>
    <w:p>
      <w:pPr>
        <w:spacing w:after="40"/>
      </w:pPr>
    </w:p>
    <w:p>
      <w:r>
        <w:rPr>
          <w:rFonts w:ascii="Times New Roman" w:hAnsi="Times New Roman"/>
          <w:color w:val="111111"/>
          <w:sz w:val="24"/>
        </w:rPr>
        <w:br w:type="page"/>
      </w:r>
    </w:p>
    <w:p>
      <w:pPr>
        <w:sectPr w:rsidR="00FC693F" w:rsidRPr="0006063C" w:rsidSect="00034616">
          <w:headerReference w:type="default" r:id="rId19"/>
          <w:footerReference w:type="default" r:id="rId20"/>
          <w:pgSz w:w="11906" w:h="16838"/>
          <w:pgMar w:top="1417" w:right="1417" w:bottom="1417" w:left="1701" w:header="709" w:footer="709" w:gutter="0"/>
          <w:cols w:space="720"/>
          <w:docGrid w:linePitch="360"/>
          <w:pgNumType w:fmt="lowerRoman" w:start="1"/>
        </w:sectPr>
      </w:pPr>
    </w:p>
    <w:p>
      <w:pPr>
        <w:pStyle w:val="Heading1"/>
      </w:pPr>
      <w:r>
        <w:rPr>
          <w:rFonts w:ascii="Times New Roman" w:hAnsi="Times New Roman"/>
          <w:color w:val="111111"/>
          <w:sz w:val="24"/>
        </w:rPr>
        <w:t>Introduction générale</w:t>
      </w:r>
    </w:p>
    <w:p>
      <w:r>
        <w:rPr>
          <w:rFonts w:ascii="Times New Roman" w:hAnsi="Times New Roman" w:eastAsia="Times New Roman"/>
          <w:color w:val="111111"/>
          <w:sz w:val="24"/>
        </w:rPr>
        <w:t>La transformation numérique touche désormais l'ensemble des secteurs industriels. Pour une entreprise opérant sur un marché B2B, la qualité de la présence numérique ne se limite plus à présenter une activité : elle doit faciliter l'accès à l'information technique, structurer la prise de contact, accélérer le traitement des demandes et garantir la cohérence des données partagées avec les prospects et les clients.</w:t>
      </w:r>
    </w:p>
    <w:p>
      <w:r>
        <w:rPr>
          <w:rFonts w:ascii="Times New Roman" w:hAnsi="Times New Roman" w:eastAsia="Times New Roman"/>
          <w:color w:val="111111"/>
          <w:sz w:val="24"/>
        </w:rPr>
        <w:t>Morocco Copper Foundry s'inscrit dans une dynamique industrielle fondée sur la valorisation du cuivre recyclé. Dans ce contexte, la marque G-ROD avait besoin d'une plateforme capable de présenter son identité, ses engagements, ses procédés et sa gamme de produits, tout en offrant des parcours concrets de demande de devis et de documentation. Le projet devait également proposer à l'équipe interne un espace unique pour administrer le catalogue et suivre les interactions commerciales.</w:t>
      </w:r>
    </w:p>
    <w:p>
      <w:r>
        <w:rPr>
          <w:rFonts w:ascii="Times New Roman" w:hAnsi="Times New Roman" w:eastAsia="Times New Roman"/>
          <w:color w:val="111111"/>
          <w:sz w:val="24"/>
        </w:rPr>
        <w:t>La problématique centrale peut ainsi être formulée de la manière suivante : comment concevoir une plateforme web moderne, sécurisée et évolutive permettant à G-ROD de valoriser son offre industrielle et de centraliser le cycle de traitement des demandes clients ? La réponse apportée repose sur une application web responsive comprenant un site public et un espace administrateur, reliés à une API métier et à une base de données relationnelle.</w:t>
      </w:r>
    </w:p>
    <w:p>
      <w:r>
        <w:rPr>
          <w:rFonts w:ascii="Times New Roman" w:hAnsi="Times New Roman" w:eastAsia="Times New Roman"/>
          <w:color w:val="111111"/>
          <w:sz w:val="24"/>
        </w:rPr>
        <w:t>Le travail a été conduit de manière itérative : analyse de l'existant, définition des parcours, développement progressif des modules, amélioration de l'expérience utilisateur, renforcement de la sécurité, automatisation des tests et préparation du déploiement. Cette démarche a permis de faire évoluer la solution tout en vérifiant régulièrement son fonctionnement sur plusieurs tailles d'écran.</w:t>
      </w:r>
    </w:p>
    <w:p>
      <w:r>
        <w:rPr>
          <w:rFonts w:ascii="Times New Roman" w:hAnsi="Times New Roman" w:eastAsia="Times New Roman"/>
          <w:color w:val="111111"/>
          <w:sz w:val="24"/>
        </w:rPr>
        <w:t>Le présent rapport est organisé en quatre chapitres. Le premier présente l'entreprise et le contexte industriel. Le deuxième expose la problématique, les besoins et l'organisation du projet. Le troisième décrit l'étude technique et la conception. Enfin, le quatrième détaille la réalisation, les fonctionnalités obtenues, la stratégie de tests et la préparation du déploiement.</w:t>
      </w:r>
    </w:p>
    <w:p>
      <w:pPr>
        <w:pStyle w:val="Heading2"/>
      </w:pPr>
      <w:r>
        <w:rPr>
          <w:rFonts w:ascii="Times New Roman" w:hAnsi="Times New Roman" w:eastAsia="Times New Roman" w:cs="Times New Roman"/>
          <w:b/>
          <w:color w:val="111111"/>
          <w:sz w:val="24"/>
        </w:rPr>
        <w:t>Problématique</w:t>
      </w:r>
    </w:p>
    <w:p>
      <w:pPr>
        <w:jc w:val="both"/>
      </w:pPr>
      <w:r>
        <w:rPr>
          <w:rFonts w:ascii="Times New Roman" w:hAnsi="Times New Roman" w:eastAsia="Times New Roman" w:cs="Times New Roman"/>
          <w:color w:val="111111"/>
          <w:sz w:val="24"/>
        </w:rPr>
        <w:t>Morocco Copper Foundry dispose d’une activité industrielle qui doit être expliquée à des interlocuteurs B2B ayant des attentes précises : nature du produit, usage, pureté, dimensions, norme et disponibilité d’une documentation. Avant la plateforme, ces informations n’étaient pas réunies dans un parcours numérique unique permettant de passer directement de la découverte d’un produit à une demande structurée. Le problème traité n’est donc pas seulement la création d’un site vitrine. Il concerne aussi la qualité des informations reçues par l’équipe commerciale et la capacité à retrouver l’historique d’une société, d’un produit ou d’un document demandé.</w:t>
      </w:r>
    </w:p>
    <w:p>
      <w:pPr>
        <w:jc w:val="both"/>
      </w:pPr>
      <w:r>
        <w:rPr>
          <w:rFonts w:ascii="Times New Roman" w:hAnsi="Times New Roman" w:eastAsia="Times New Roman" w:cs="Times New Roman"/>
          <w:color w:val="111111"/>
          <w:sz w:val="24"/>
        </w:rPr>
        <w:t>Une demande imprécise entraîne des échanges supplémentaires avant même qu’une étude commerciale puisse commencer. Inversement, un formulaire trop rigide peut décourager un acheteur qui ne possède pas encore toutes les valeurs techniques. Dans le cadre de ce projet, nous avons cherché un équilibre : guider l’utilisateur avec des champs métier et un indicateur de complétude, tout en conservant des zones libres pour les cas particuliers. L’administration devait ensuite rendre ces informations lisibles, filtrables et prioritaires, y compris lorsque le volume de demandes augmente.</w:t>
      </w:r>
    </w:p>
    <w:p>
      <w:pPr>
        <w:pStyle w:val="Heading2"/>
      </w:pPr>
      <w:r>
        <w:rPr>
          <w:rFonts w:ascii="Times New Roman" w:hAnsi="Times New Roman" w:eastAsia="Times New Roman" w:cs="Times New Roman"/>
          <w:b/>
          <w:color w:val="111111"/>
          <w:sz w:val="24"/>
        </w:rPr>
        <w:t>Objectifs du projet</w:t>
      </w:r>
    </w:p>
    <w:p>
      <w:pPr>
        <w:jc w:val="both"/>
      </w:pPr>
      <w:r>
        <w:rPr>
          <w:rFonts w:ascii="Times New Roman" w:hAnsi="Times New Roman" w:eastAsia="Times New Roman" w:cs="Times New Roman"/>
          <w:color w:val="111111"/>
          <w:sz w:val="24"/>
        </w:rPr>
        <w:t>L’objectif principal consiste à fournir une plateforme B2B cohérente de bout en bout. Pour le visiteur, elle doit présenter l’entreprise, le processus de production, les produits et les ressources disponibles, puis faciliter une prise de contact exploitable. Pour l’administrateur, elle doit centraliser les demandes, proposer une lecture par statut et priorité, retrouver l’historique d’un client et maintenir le contenu utile. Les objectifs techniques associés sont la séparation claire entre frontend et API, la persistance des données, la protection des routes administratives, la validation des fichiers et la préparation d’un déploiement reproductible.</w:t>
      </w:r>
    </w:p>
    <w:p>
      <w:pPr>
        <w:jc w:val="both"/>
      </w:pPr>
      <w:r>
        <w:rPr>
          <w:rFonts w:ascii="Times New Roman" w:hAnsi="Times New Roman" w:eastAsia="Times New Roman" w:cs="Times New Roman"/>
          <w:color w:val="111111"/>
          <w:sz w:val="24"/>
        </w:rPr>
        <w:t>Le projet ne cherche pas à remplacer un ERP, à calculer automatiquement un prix industriel ou à produire des plans de fabrication. Il ne contient pas non plus de configurateur CAO. Les aperçus 3D servent à mieux comprendre les familles de produits et restent des représentations génériques. Cette limite de périmètre a été conservée dans le rapport afin que les résultats présentés correspondent exactement à la Release Candidate disponible.</w:t>
      </w:r>
    </w:p>
    <w:p>
      <w:pPr>
        <w:pStyle w:val="Heading2"/>
      </w:pPr>
      <w:r>
        <w:rPr>
          <w:rFonts w:ascii="Times New Roman" w:hAnsi="Times New Roman" w:eastAsia="Times New Roman" w:cs="Times New Roman"/>
          <w:b/>
          <w:color w:val="111111"/>
          <w:sz w:val="24"/>
        </w:rPr>
        <w:t>Démarche suivie</w:t>
      </w:r>
    </w:p>
    <w:p>
      <w:pPr>
        <w:jc w:val="both"/>
      </w:pPr>
      <w:r>
        <w:rPr>
          <w:rFonts w:ascii="Times New Roman" w:hAnsi="Times New Roman" w:eastAsia="Times New Roman" w:cs="Times New Roman"/>
          <w:color w:val="111111"/>
          <w:sz w:val="24"/>
        </w:rPr>
        <w:t>Le travail a été conduit par incréments. Une première étape a porté sur la compréhension du domaine et la définition des flux publics et administratifs. Les pages et les API ont ensuite été développées, puis consolidées par des corrections de navigation, d’affichage responsive, de gestion des images, de présentation des caractéristiques produits et de lisibilité en mode sombre. La dernière phase a regroupé les tests automatisés, la recette des principaux parcours, l’audit de sécurité, la préparation de la configuration de production et la création d’une Release Candidate locale.</w:t>
      </w:r>
    </w:p>
    <w:p>
      <w:pPr>
        <w:jc w:val="both"/>
      </w:pPr>
      <w:r>
        <w:rPr>
          <w:rFonts w:ascii="Times New Roman" w:hAnsi="Times New Roman" w:eastAsia="Times New Roman" w:cs="Times New Roman"/>
          <w:color w:val="111111"/>
          <w:sz w:val="24"/>
        </w:rPr>
        <w:t>La validation s’appuie sur des preuves reproductibles : tests Maven sur un profil H2 isolé, analyse ESLint, build de production Vite et scénarios Playwright. Les captures du chapitre 4 ont été produites avec des données fictives dans cet environnement de test. Aucune donnée client réelle n’a été utilisée. Cette précaution répond à la fois à la confidentialité du projet et à la nécessité de documenter des écrans suffisamment remplis pour être compris.</w:t>
      </w:r>
    </w:p>
    <w:p>
      <w:pPr>
        <w:pStyle w:val="Heading2"/>
      </w:pPr>
      <w:r>
        <w:rPr>
          <w:rFonts w:ascii="Times New Roman" w:hAnsi="Times New Roman" w:eastAsia="Times New Roman" w:cs="Times New Roman"/>
          <w:b/>
          <w:color w:val="111111"/>
          <w:sz w:val="24"/>
        </w:rPr>
        <w:t>Organisation du rapport</w:t>
      </w:r>
    </w:p>
    <w:p>
      <w:pPr>
        <w:jc w:val="both"/>
      </w:pPr>
      <w:r>
        <w:rPr>
          <w:rFonts w:ascii="Times New Roman" w:hAnsi="Times New Roman" w:eastAsia="Times New Roman" w:cs="Times New Roman"/>
          <w:color w:val="111111"/>
          <w:sz w:val="24"/>
        </w:rPr>
        <w:t>Le premier chapitre présente l’entreprise, son contexte industriel et le positionnement de G-ROD. Le deuxième formalise le problème, les besoins, le benchmark et la planification. Le troisième justifie la pile technique et décrit l’architecture à l’aide de six diagrammes. Le quatrième relie la réalisation observable aux choix de conception, puis expose les résultats de test, les limites issues de l’audit et les perspectives. Les annexes regroupent enfin les routes, les groupes d’API et les procédures utiles au lancement local.</w:t>
      </w:r>
    </w:p>
    <w:p>
      <w:r>
        <w:rPr>
          <w:rFonts w:ascii="Times New Roman" w:hAnsi="Times New Roman"/>
          <w:color w:val="111111"/>
          <w:sz w:val="24"/>
        </w:rPr>
        <w:br w:type="page"/>
      </w:r>
    </w:p>
    <w:p>
      <w:pPr>
        <w:pStyle w:val="Heading1"/>
      </w:pPr>
      <w:r>
        <w:rPr>
          <w:rFonts w:ascii="Times New Roman" w:hAnsi="Times New Roman" w:eastAsia="Times New Roman"/>
          <w:b/>
          <w:color w:val="111111"/>
          <w:sz w:val="24"/>
        </w:rPr>
        <w:t>1. Contexte général et environnement du projet</w:t>
      </w:r>
    </w:p>
    <w:p>
      <w:pPr>
        <w:spacing w:after="560"/>
        <w:jc w:val="center"/>
      </w:pPr>
      <w:r>
        <w:rPr>
          <w:rFonts w:ascii="Times New Roman" w:hAnsi="Times New Roman" w:eastAsia="Times New Roman"/>
          <w:i/>
          <w:color w:val="111111"/>
          <w:sz w:val="24"/>
        </w:rPr>
        <w:t>Présenter Morocco Copper Foundry, son activité et le positionnement de la plateforme G-ROD.</w:t>
      </w:r>
    </w:p>
    <w:p>
      <w:pPr>
        <w:jc w:val="center"/>
      </w:pPr>
      <w:r>
        <w:rPr>
          <w:rFonts w:ascii="Times New Roman" w:hAnsi="Times New Roman" w:eastAsia="Arial"/>
          <w:color w:val="111111"/>
          <w:sz w:val="24"/>
        </w:rPr>
        <w:t>●</w:t>
      </w:r>
    </w:p>
    <w:p>
      <w:r>
        <w:rPr>
          <w:rFonts w:ascii="Times New Roman" w:hAnsi="Times New Roman"/>
          <w:color w:val="111111"/>
          <w:sz w:val="24"/>
        </w:rPr>
        <w:br w:type="page"/>
      </w:r>
    </w:p>
    <w:p>
      <w:pPr>
        <w:pStyle w:val="Heading2"/>
      </w:pPr>
      <w:r>
        <w:rPr>
          <w:rFonts w:ascii="Times New Roman" w:hAnsi="Times New Roman"/>
          <w:color w:val="111111"/>
          <w:sz w:val="24"/>
        </w:rPr>
        <w:t>Introduction du chapitre</w:t>
      </w:r>
    </w:p>
    <w:p>
      <w:pPr>
        <w:jc w:val="both"/>
      </w:pPr>
      <w:r>
        <w:rPr>
          <w:rFonts w:ascii="Times New Roman" w:hAnsi="Times New Roman"/>
          <w:color w:val="111111"/>
          <w:sz w:val="24"/>
        </w:rPr>
        <w:t>Ce chapitre présente l’organisme d’accueil, son activité industrielle, la gamme G-ROD et le contexte ayant motivé la réalisation de la plateforme.</w:t>
      </w:r>
    </w:p>
    <w:p>
      <w:pPr>
        <w:pStyle w:val="Heading2"/>
      </w:pPr>
      <w:r>
        <w:rPr>
          <w:rFonts w:ascii="Times New Roman" w:hAnsi="Times New Roman"/>
          <w:color w:val="111111"/>
          <w:sz w:val="24"/>
        </w:rPr>
        <w:t>1.1 Présentation de l'entreprise</w:t>
      </w:r>
    </w:p>
    <w:p>
      <w:r>
        <w:rPr>
          <w:rFonts w:ascii="Times New Roman" w:hAnsi="Times New Roman"/>
          <w:color w:val="111111"/>
          <w:sz w:val="24"/>
        </w:rPr>
        <w:t>Morocco Copper Foundry, abrégée MCF, est une entreprise marocaine spécialisée dans la valorisation des métaux non ferreux, avec un positionnement centré sur le cuivre recyclé. La communication institutionnelle de G-ROD présente une ambition industrielle associant performance, innovation, responsabilité environnementale et création de valeur au Maroc. [13]</w:t>
      </w:r>
    </w:p>
    <w:p>
      <w:pPr>
        <w:jc w:val="center"/>
      </w:pPr>
      <w:r>
        <w:rPr>
          <w:rFonts w:ascii="Times New Roman" w:hAnsi="Times New Roman"/>
          <w:color w:val="111111"/>
          <w:sz w:val="24"/>
        </w:rPr>
        <w:drawing>
          <wp:inline xmlns:a="http://schemas.openxmlformats.org/drawingml/2006/main" xmlns:pic="http://schemas.openxmlformats.org/drawingml/2006/picture">
            <wp:extent cx="2520000" cy="425523"/>
            <wp:docPr id="12" name="Picture 2" descr="Logo de la marque industrielle G-ROD"/>
            <wp:cNvGraphicFramePr>
              <a:graphicFrameLocks noChangeAspect="1"/>
            </wp:cNvGraphicFramePr>
            <a:graphic>
              <a:graphicData uri="http://schemas.openxmlformats.org/drawingml/2006/picture">
                <pic:pic>
                  <pic:nvPicPr>
                    <pic:cNvPr id="3" name="grod-logo.png"/>
                    <pic:cNvPicPr/>
                  </pic:nvPicPr>
                  <pic:blipFill>
                    <a:blip r:embed="rId12"/>
                    <a:stretch>
                      <a:fillRect/>
                    </a:stretch>
                  </pic:blipFill>
                  <pic:spPr>
                    <a:xfrm>
                      <a:off x="0" y="0"/>
                      <a:ext cx="2520000" cy="425523"/>
                    </a:xfrm>
                    <a:prstGeom prst="rect"/>
                  </pic:spPr>
                </pic:pic>
              </a:graphicData>
            </a:graphic>
          </wp:inline>
        </w:drawing>
      </w:r>
    </w:p>
    <w:p>
      <w:pPr>
        <w:pStyle w:val="FigureCaption"/>
        <w:jc w:val="center"/>
      </w:pPr>
      <w:bookmarkStart w:id="1000" w:name="fig_1_1"/>
      <w:r>
        <w:rPr>
          <w:rFonts w:ascii="Times New Roman" w:hAnsi="Times New Roman"/>
          <w:color w:val="111111"/>
          <w:sz w:val="20"/>
        </w:rPr>
        <w:t>Figure 1.</w:t>
      </w:r>
      <w:r>
        <w:fldChar w:fldCharType="begin"/>
      </w:r>
      <w:r>
        <w:instrText xml:space="preserve">SEQ Figure1 \* ARABIC</w:instrText>
      </w:r>
      <w:r>
        <w:fldChar w:fldCharType="separate"/>
      </w:r>
      <w:r>
        <w:rPr>
          <w:rFonts w:ascii="Times New Roman" w:hAnsi="Times New Roman"/>
          <w:color w:val="111111"/>
          <w:sz w:val="20"/>
        </w:rPr>
        <w:t>2</w:t>
      </w:r>
      <w:r>
        <w:fldChar w:fldCharType="end"/>
      </w:r>
      <w:bookmarkEnd w:id="1000"/>
      <w:r>
        <w:rPr>
          <w:rFonts w:ascii="Times New Roman" w:hAnsi="Times New Roman"/>
          <w:color w:val="111111"/>
          <w:sz w:val="20"/>
        </w:rPr>
        <w:t xml:space="preserve"> — Identité visuelle G-ROD</w:t>
      </w:r>
    </w:p>
    <w:p>
      <w:pPr>
        <w:pStyle w:val="Heading3"/>
      </w:pPr>
      <w:r>
        <w:rPr>
          <w:rFonts w:ascii="Times New Roman" w:hAnsi="Times New Roman"/>
          <w:color w:val="111111"/>
          <w:sz w:val="24"/>
        </w:rPr>
        <w:t>1.1.1 Historique et implantation</w:t>
      </w:r>
    </w:p>
    <w:p>
      <w:r>
        <w:rPr>
          <w:rFonts w:ascii="Times New Roman" w:hAnsi="Times New Roman"/>
          <w:color w:val="111111"/>
          <w:sz w:val="24"/>
        </w:rPr>
        <w:t>Le projet industriel trouve son origine dans la volonté de structurer une filière nationale de valorisation des métaux non ferreux. La documentation institutionnelle situe la création de MCF en 2020 et son implantation à Youssoufia. L'entreprise vise à transformer une ressource recyclable en produits industriels répondant aux besoins des marchés locaux et internationaux. [13]</w:t>
      </w:r>
    </w:p>
    <w:p>
      <w:r>
        <w:rPr>
          <w:rFonts w:ascii="Times New Roman" w:hAnsi="Times New Roman" w:eastAsia="Times New Roman"/>
          <w:color w:val="111111"/>
          <w:sz w:val="24"/>
        </w:rPr>
        <w:t>La trajectoire présentée par l'entreprise associe une montée en production progressive, le développement de produits issus du cuivre recyclé et une perspective d'extension de capacité. Les informations chiffrées et les échéances futures devront être confirmées par l'encadrant avant la version finale du rapport.</w:t>
      </w:r>
    </w:p>
    <w:p>
      <w:pPr>
        <w:pStyle w:val="Placeholder"/>
        <w:jc w:val="both"/>
      </w:pPr>
      <w:r>
        <w:rPr>
          <w:rFonts w:ascii="Times New Roman" w:hAnsi="Times New Roman"/>
          <w:color w:val="111111"/>
          <w:sz w:val="24"/>
        </w:rPr>
        <w:t>Les informations institutionnelles retenues dans ce chapitre proviennent de la brochure communiquée avec le projet [13]. Les chiffres non confirmés par cette source ne sont pas reproduits.</w:t>
      </w:r>
    </w:p>
    <w:p>
      <w:pPr>
        <w:pStyle w:val="Heading3"/>
      </w:pPr>
      <w:r>
        <w:rPr>
          <w:rFonts w:ascii="Times New Roman" w:hAnsi="Times New Roman"/>
          <w:color w:val="111111"/>
          <w:sz w:val="24"/>
        </w:rPr>
        <w:t>1.1.2 Domaine d'activité</w:t>
      </w:r>
    </w:p>
    <w:p>
      <w:r>
        <w:rPr>
          <w:rFonts w:ascii="Times New Roman" w:hAnsi="Times New Roman" w:eastAsia="Times New Roman"/>
          <w:color w:val="111111"/>
          <w:sz w:val="24"/>
        </w:rPr>
        <w:t>MCF intervient dans la transformation et la valorisation du cuivre. Son approche participe à l'économie circulaire en donnant une nouvelle valeur à des matières recyclables et en réduisant le recours aux matières premières vierges. Le cuivre constitue une ressource stratégique pour les réseaux électriques, les énergies renouvelables, les câbles, les équipements industriels, le bâtiment et les infrastructures.</w:t>
      </w:r>
    </w:p>
    <w:p>
      <w:r>
        <w:rPr>
          <w:rFonts w:ascii="Times New Roman" w:hAnsi="Times New Roman" w:eastAsia="Times New Roman"/>
          <w:color w:val="111111"/>
          <w:sz w:val="24"/>
        </w:rPr>
        <w:t>L'activité couvre notamment la réception des matières premières, leur tri, le contrôle du poids, la transformation métallurgique, le contrôle de conformité, le stockage et l'expédition. Cette chaîne industrielle explique l'importance d'une communication technique fiable : les caractéristiques, dimensions, normes, conditionnements et disponibilités doivent être présentés avec prudence et confirmés selon les lots et les demandes.</w:t>
      </w:r>
    </w:p>
    <w:p>
      <w:pPr>
        <w:pStyle w:val="Heading3"/>
      </w:pPr>
      <w:r>
        <w:rPr>
          <w:rFonts w:ascii="Times New Roman" w:hAnsi="Times New Roman"/>
          <w:color w:val="111111"/>
          <w:sz w:val="24"/>
        </w:rPr>
        <w:t>1.1.3 Gamme de produits</w:t>
      </w:r>
    </w:p>
    <w:p>
      <w:r>
        <w:rPr>
          <w:rFonts w:ascii="Times New Roman" w:hAnsi="Times New Roman" w:eastAsia="Times New Roman"/>
          <w:color w:val="111111"/>
          <w:sz w:val="24"/>
        </w:rPr>
        <w:t>La gamme présentée sur la plateforme comprend huit familles de produits : Copper Rod, Copper Anodes, Copper Bus Bars, Copper Flat Bars, Copper Tubes, Copper Sheets, Copper Wire et Custom Copper Parts. Chaque famille répond à des usages électriques, industriels, métallurgiques ou de fabrication sur mesure.</w:t>
      </w:r>
    </w:p>
    <w:p>
      <w:pPr>
        <w:pStyle w:val="TableCaption"/>
        <w:jc w:val="center"/>
      </w:pPr>
      <w:bookmarkStart w:id="1001" w:name="tab_1_1"/>
      <w:r>
        <w:rPr>
          <w:rFonts w:ascii="Times New Roman" w:hAnsi="Times New Roman"/>
          <w:color w:val="111111"/>
          <w:sz w:val="20"/>
        </w:rPr>
        <w:t>Tableau 1.</w:t>
      </w:r>
      <w:r>
        <w:fldChar w:fldCharType="begin"/>
      </w:r>
      <w:r>
        <w:instrText xml:space="preserve">SEQ Tableau1 \* ARABIC</w:instrText>
      </w:r>
      <w:r>
        <w:fldChar w:fldCharType="separate"/>
      </w:r>
      <w:r>
        <w:rPr>
          <w:rFonts w:ascii="Times New Roman" w:hAnsi="Times New Roman"/>
          <w:color w:val="111111"/>
          <w:sz w:val="20"/>
        </w:rPr>
        <w:t>2</w:t>
      </w:r>
      <w:r>
        <w:fldChar w:fldCharType="end"/>
      </w:r>
      <w:bookmarkEnd w:id="1001"/>
      <w:r>
        <w:rPr>
          <w:rFonts w:ascii="Times New Roman" w:hAnsi="Times New Roman"/>
          <w:color w:val="111111"/>
          <w:sz w:val="20"/>
        </w:rPr>
        <w:t xml:space="preserve"> — Gamme de produits présentée sur la plateforme</w:t>
      </w:r>
    </w:p>
    <w:tbl>
      <w:tblPr>
        <w:tblStyle w:val="TableGrid"/>
        <w:tblW w:type="dxa" w:w="8788"/>
        <w:jc w:val="left"/>
        <w:tblLayout w:type="fixed"/>
        <w:tblLook w:firstColumn="1" w:firstRow="1" w:lastColumn="0" w:lastRow="0" w:noHBand="0" w:noVBand="1" w:val="04A0"/>
        <w:tblInd w:w="120" w:type="dxa"/>
      </w:tblPr>
      <w:tblGrid>
        <w:gridCol w:w="2421"/>
        <w:gridCol w:w="6367"/>
      </w:tblGrid>
      <w:tr>
        <w:trPr>
          <w:tblHeader w:val="true"/>
        </w:trPr>
        <w:tc>
          <w:tcPr>
            <w:tcW w:type="dxa" w:w="242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Produit</w:t>
            </w:r>
          </w:p>
        </w:tc>
        <w:tc>
          <w:tcPr>
            <w:tcW w:type="dxa" w:w="6367"/>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Positionnement fonctionnel</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Copper Rod</w:t>
            </w:r>
          </w:p>
        </w:tc>
        <w:tc>
          <w:tcPr>
            <w:tcW w:type="dxa" w:w="636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Barres rondes en cuivre destinées aux applications électriques et industrielles.</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Copper Anodes</w:t>
            </w:r>
          </w:p>
        </w:tc>
        <w:tc>
          <w:tcPr>
            <w:tcW w:type="dxa" w:w="636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Anodes pour procédés électrolytiques et métallurgiques.</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Copper Bus Bars</w:t>
            </w:r>
          </w:p>
        </w:tc>
        <w:tc>
          <w:tcPr>
            <w:tcW w:type="dxa" w:w="636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Barres conductrices pour tableaux et installations électriques.</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Copper Flat Bars</w:t>
            </w:r>
          </w:p>
        </w:tc>
        <w:tc>
          <w:tcPr>
            <w:tcW w:type="dxa" w:w="636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Méplats adaptés aux usages électriques et techniques.</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Copper Tubes</w:t>
            </w:r>
          </w:p>
        </w:tc>
        <w:tc>
          <w:tcPr>
            <w:tcW w:type="dxa" w:w="636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Tubes pour plomberie, climatisation et installations industrielles.</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Copper Sheets</w:t>
            </w:r>
          </w:p>
        </w:tc>
        <w:tc>
          <w:tcPr>
            <w:tcW w:type="dxa" w:w="636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Feuilles et plaques pour fabrication, revêtement et électricité.</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Copper Wire</w:t>
            </w:r>
          </w:p>
        </w:tc>
        <w:tc>
          <w:tcPr>
            <w:tcW w:type="dxa" w:w="636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Fil conducteur pour câbles, bobinages et connexions.</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Custom Copper Parts</w:t>
            </w:r>
          </w:p>
        </w:tc>
        <w:tc>
          <w:tcPr>
            <w:tcW w:type="dxa" w:w="636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Pièces sur mesure réalisées selon un besoin ou un plan technique.</w:t>
            </w:r>
          </w:p>
        </w:tc>
      </w:tr>
    </w:tbl>
    <w:p>
      <w:pPr>
        <w:spacing w:after="40"/>
      </w:pPr>
    </w:p>
    <w:p>
      <w:pPr>
        <w:pStyle w:val="Heading3"/>
      </w:pPr>
      <w:r>
        <w:rPr>
          <w:rFonts w:ascii="Times New Roman" w:hAnsi="Times New Roman"/>
          <w:color w:val="111111"/>
          <w:sz w:val="24"/>
        </w:rPr>
        <w:t>1.1.4 Valeurs et positionnement</w:t>
      </w:r>
    </w:p>
    <w:p>
      <w:r>
        <w:rPr>
          <w:rFonts w:ascii="Times New Roman" w:hAnsi="Times New Roman" w:eastAsia="Times New Roman"/>
          <w:color w:val="111111"/>
          <w:sz w:val="24"/>
        </w:rPr>
        <w:t>Le positionnement institutionnel met en avant l'intégrité, l'innovation, la durabilité, l'excellence, l'engagement social et la collaboration. Ces valeurs se traduisent dans la plateforme par une identité visuelle industrielle, une information structurée, des parcours simples et une attention particulière portée à la protection des données transmises par les visiteurs.</w:t>
      </w:r>
    </w:p>
    <w:p>
      <w:pPr>
        <w:pStyle w:val="Heading2"/>
      </w:pPr>
      <w:r>
        <w:rPr>
          <w:rFonts w:ascii="Times New Roman" w:hAnsi="Times New Roman"/>
          <w:color w:val="111111"/>
          <w:sz w:val="24"/>
        </w:rPr>
        <w:t>1.2 Contexte de transformation numérique</w:t>
      </w:r>
    </w:p>
    <w:p>
      <w:r>
        <w:rPr>
          <w:rFonts w:ascii="Times New Roman" w:hAnsi="Times New Roman" w:eastAsia="Times New Roman"/>
          <w:color w:val="111111"/>
          <w:sz w:val="24"/>
        </w:rPr>
        <w:t>Avant la mise en place d'une plateforme structurée, la présentation commerciale et le traitement des demandes peuvent être dispersés entre des échanges informels, des fichiers et plusieurs canaux de communication. Cette dispersion rend plus difficile la mise à jour du catalogue, la recherche d'une demande, le suivi d'un client et la conservation d'un historique exploitable.</w:t>
      </w:r>
    </w:p>
    <w:p>
      <w:r>
        <w:rPr>
          <w:rFonts w:ascii="Times New Roman" w:hAnsi="Times New Roman" w:eastAsia="Times New Roman"/>
          <w:color w:val="111111"/>
          <w:sz w:val="24"/>
        </w:rPr>
        <w:t>La plateforme G-ROD répond à ce contexte par un point d'entrée public unique et un espace interne dédié. Le site public informe, oriente et collecte. L'espace administrateur centralise, qualifie et traite. Cette séparation des responsabilités améliore la lisibilité de l'expérience et limite l'exposition des fonctions sensibles.</w:t>
      </w:r>
    </w:p>
    <w:p>
      <w:pPr>
        <w:pStyle w:val="Heading2"/>
      </w:pPr>
      <w:r>
        <w:rPr>
          <w:rFonts w:ascii="Times New Roman" w:hAnsi="Times New Roman"/>
          <w:color w:val="111111"/>
          <w:sz w:val="24"/>
        </w:rPr>
        <w:t>1.3 Positionnement du projet</w:t>
      </w:r>
    </w:p>
    <w:p>
      <w:r>
        <w:rPr>
          <w:rFonts w:ascii="Times New Roman" w:hAnsi="Times New Roman" w:eastAsia="Times New Roman"/>
          <w:color w:val="111111"/>
          <w:sz w:val="24"/>
        </w:rPr>
        <w:t>Le projet se situe à l'intersection de la communication institutionnelle, de la gestion de catalogue et du suivi commercial. Il ne s'agit pas uniquement d'un site vitrine : la solution gère des données métier, des statuts, des documents, des notifications et des accès authentifiés.</w:t>
      </w:r>
    </w:p>
    <w:p>
      <w:pPr>
        <w:pStyle w:val="ListBullet"/>
      </w:pPr>
      <w:r>
        <w:rPr>
          <w:rFonts w:ascii="Times New Roman" w:hAnsi="Times New Roman" w:eastAsia="Times New Roman"/>
          <w:color w:val="111111"/>
          <w:sz w:val="24"/>
        </w:rPr>
        <w:t>valoriser l'identité et les engagements industriels de G-ROD ;</w:t>
      </w:r>
    </w:p>
    <w:p>
      <w:pPr>
        <w:pStyle w:val="ListBullet"/>
      </w:pPr>
      <w:r>
        <w:rPr>
          <w:rFonts w:ascii="Times New Roman" w:hAnsi="Times New Roman" w:eastAsia="Times New Roman"/>
          <w:color w:val="111111"/>
          <w:sz w:val="24"/>
        </w:rPr>
        <w:t>rendre le catalogue accessible et compréhensible ;</w:t>
      </w:r>
    </w:p>
    <w:p>
      <w:pPr>
        <w:pStyle w:val="ListBullet"/>
      </w:pPr>
      <w:r>
        <w:rPr>
          <w:rFonts w:ascii="Times New Roman" w:hAnsi="Times New Roman" w:eastAsia="Times New Roman"/>
          <w:color w:val="111111"/>
          <w:sz w:val="24"/>
        </w:rPr>
        <w:t>faciliter les demandes de devis et de documents techniques ;</w:t>
      </w:r>
    </w:p>
    <w:p>
      <w:pPr>
        <w:pStyle w:val="ListBullet"/>
      </w:pPr>
      <w:r>
        <w:rPr>
          <w:rFonts w:ascii="Times New Roman" w:hAnsi="Times New Roman" w:eastAsia="Times New Roman"/>
          <w:color w:val="111111"/>
          <w:sz w:val="24"/>
        </w:rPr>
        <w:t>donner à l'équipe administrative une vision consolidée de l'activité ;</w:t>
      </w:r>
    </w:p>
    <w:p>
      <w:pPr>
        <w:pStyle w:val="ListBullet"/>
      </w:pPr>
      <w:r>
        <w:rPr>
          <w:rFonts w:ascii="Times New Roman" w:hAnsi="Times New Roman" w:eastAsia="Times New Roman"/>
          <w:color w:val="111111"/>
          <w:sz w:val="24"/>
        </w:rPr>
        <w:t>garantir la sécurité et la traçabilité des opérations sensibles ;</w:t>
      </w:r>
    </w:p>
    <w:p>
      <w:pPr>
        <w:pStyle w:val="ListBullet"/>
      </w:pPr>
      <w:r>
        <w:rPr>
          <w:rFonts w:ascii="Times New Roman" w:hAnsi="Times New Roman" w:eastAsia="Times New Roman"/>
          <w:color w:val="111111"/>
          <w:sz w:val="24"/>
        </w:rPr>
        <w:t>préparer une architecture exploitable en environnement de production.</w:t>
      </w:r>
    </w:p>
    <w:p>
      <w:pPr>
        <w:pStyle w:val="Heading2"/>
      </w:pPr>
      <w:r>
        <w:rPr>
          <w:rFonts w:ascii="Times New Roman" w:hAnsi="Times New Roman"/>
          <w:color w:val="111111"/>
          <w:sz w:val="24"/>
        </w:rPr>
        <w:t>1.4 Processus industriel représenté</w:t>
      </w:r>
    </w:p>
    <w:p>
      <w:r>
        <w:rPr>
          <w:rFonts w:ascii="Times New Roman" w:hAnsi="Times New Roman" w:eastAsia="Times New Roman"/>
          <w:color w:val="111111"/>
          <w:sz w:val="24"/>
        </w:rPr>
        <w:t>La plateforme comporte une page consacrée au processus de production. Elle relie l'image institutionnelle au parcours numérique et permet de présenter les grandes étapes allant de la réception des matières à l'expédition des produits finis.</w:t>
      </w:r>
    </w:p>
    <w:p>
      <w:pPr>
        <w:jc w:val="center"/>
      </w:pPr>
      <w:r>
        <w:rPr>
          <w:rFonts w:ascii="Times New Roman" w:hAnsi="Times New Roman"/>
          <w:color w:val="111111"/>
          <w:sz w:val="24"/>
        </w:rPr>
        <w:drawing>
          <wp:inline xmlns:a="http://schemas.openxmlformats.org/drawingml/2006/main" xmlns:pic="http://schemas.openxmlformats.org/drawingml/2006/picture">
            <wp:extent cx="5760000" cy="3840000"/>
            <wp:docPr id="13" name="Picture 3" descr="Schéma des étapes de production du cuivre chez MCF"/>
            <wp:cNvGraphicFramePr>
              <a:graphicFrameLocks noChangeAspect="1"/>
            </wp:cNvGraphicFramePr>
            <a:graphic>
              <a:graphicData uri="http://schemas.openxmlformats.org/drawingml/2006/picture">
                <pic:pic>
                  <pic:nvPicPr>
                    <pic:cNvPr id="4" name="mcf-flow-chart-production.png"/>
                    <pic:cNvPicPr/>
                  </pic:nvPicPr>
                  <pic:blipFill>
                    <a:blip r:embed="rId13"/>
                    <a:stretch>
                      <a:fillRect/>
                    </a:stretch>
                  </pic:blipFill>
                  <pic:spPr>
                    <a:xfrm>
                      <a:off x="0" y="0"/>
                      <a:ext cx="5760000" cy="3840000"/>
                    </a:xfrm>
                    <a:prstGeom prst="rect"/>
                  </pic:spPr>
                </pic:pic>
              </a:graphicData>
            </a:graphic>
          </wp:inline>
        </w:drawing>
      </w:r>
    </w:p>
    <w:p>
      <w:pPr>
        <w:pStyle w:val="FigureCaption"/>
        <w:jc w:val="center"/>
      </w:pPr>
      <w:bookmarkStart w:id="1002" w:name="fig_1_2"/>
      <w:r>
        <w:rPr>
          <w:rFonts w:ascii="Times New Roman" w:hAnsi="Times New Roman"/>
          <w:color w:val="111111"/>
          <w:sz w:val="20"/>
        </w:rPr>
        <w:t>Figure 1.</w:t>
      </w:r>
      <w:r>
        <w:fldChar w:fldCharType="begin"/>
      </w:r>
      <w:r>
        <w:instrText xml:space="preserve">SEQ Figure1 \* ARABIC</w:instrText>
      </w:r>
      <w:r>
        <w:fldChar w:fldCharType="separate"/>
      </w:r>
      <w:r>
        <w:rPr>
          <w:rFonts w:ascii="Times New Roman" w:hAnsi="Times New Roman"/>
          <w:color w:val="111111"/>
          <w:sz w:val="20"/>
        </w:rPr>
        <w:t>3</w:t>
      </w:r>
      <w:r>
        <w:fldChar w:fldCharType="end"/>
      </w:r>
      <w:bookmarkEnd w:id="1002"/>
      <w:r>
        <w:rPr>
          <w:rFonts w:ascii="Times New Roman" w:hAnsi="Times New Roman"/>
          <w:color w:val="111111"/>
          <w:sz w:val="20"/>
        </w:rPr>
        <w:t xml:space="preserve"> — Schéma de production de Morocco Copper Foundry</w:t>
      </w:r>
    </w:p>
    <w:p>
      <w:pPr>
        <w:jc w:val="center"/>
      </w:pPr>
      <w:r>
        <w:rPr>
          <w:rFonts w:ascii="Times New Roman" w:hAnsi="Times New Roman"/>
          <w:color w:val="111111"/>
          <w:sz w:val="24"/>
        </w:rPr>
        <w:drawing>
          <wp:inline xmlns:a="http://schemas.openxmlformats.org/drawingml/2006/main" xmlns:pic="http://schemas.openxmlformats.org/drawingml/2006/picture">
            <wp:extent cx="5580000" cy="2715517"/>
            <wp:docPr id="14" name="Picture 4" descr="Vue d'une installation industrielle liée au cuivre"/>
            <wp:cNvGraphicFramePr>
              <a:graphicFrameLocks noChangeAspect="1"/>
            </wp:cNvGraphicFramePr>
            <a:graphic>
              <a:graphicData uri="http://schemas.openxmlformats.org/drawingml/2006/picture">
                <pic:pic>
                  <pic:nvPicPr>
                    <pic:cNvPr id="5" name="process-hero-furnace-wide.jpg"/>
                    <pic:cNvPicPr/>
                  </pic:nvPicPr>
                  <pic:blipFill>
                    <a:blip r:embed="rId14"/>
                    <a:stretch>
                      <a:fillRect/>
                    </a:stretch>
                  </pic:blipFill>
                  <pic:spPr>
                    <a:xfrm>
                      <a:off x="0" y="0"/>
                      <a:ext cx="5580000" cy="2715517"/>
                    </a:xfrm>
                    <a:prstGeom prst="rect"/>
                  </pic:spPr>
                </pic:pic>
              </a:graphicData>
            </a:graphic>
          </wp:inline>
        </w:drawing>
      </w:r>
    </w:p>
    <w:p>
      <w:pPr>
        <w:pStyle w:val="FigureCaption"/>
        <w:jc w:val="center"/>
      </w:pPr>
      <w:bookmarkStart w:id="1003" w:name="fig_1_3"/>
      <w:r>
        <w:rPr>
          <w:rFonts w:ascii="Times New Roman" w:hAnsi="Times New Roman"/>
          <w:color w:val="111111"/>
          <w:sz w:val="20"/>
        </w:rPr>
        <w:t>Figure 1.</w:t>
      </w:r>
      <w:r>
        <w:fldChar w:fldCharType="begin"/>
      </w:r>
      <w:r>
        <w:instrText xml:space="preserve">SEQ Figure1 \* ARABIC</w:instrText>
      </w:r>
      <w:r>
        <w:fldChar w:fldCharType="separate"/>
      </w:r>
      <w:r>
        <w:rPr>
          <w:rFonts w:ascii="Times New Roman" w:hAnsi="Times New Roman"/>
          <w:color w:val="111111"/>
          <w:sz w:val="20"/>
        </w:rPr>
        <w:t>4</w:t>
      </w:r>
      <w:r>
        <w:fldChar w:fldCharType="end"/>
      </w:r>
      <w:bookmarkEnd w:id="1003"/>
      <w:r>
        <w:rPr>
          <w:rFonts w:ascii="Times New Roman" w:hAnsi="Times New Roman"/>
          <w:color w:val="111111"/>
          <w:sz w:val="20"/>
        </w:rPr>
        <w:t xml:space="preserve"> — Illustration de l'environnement industriel</w:t>
      </w:r>
    </w:p>
    <w:p>
      <w:pPr>
        <w:pStyle w:val="Heading2"/>
      </w:pPr>
      <w:r>
        <w:rPr>
          <w:rFonts w:ascii="Times New Roman" w:hAnsi="Times New Roman"/>
          <w:color w:val="111111"/>
          <w:sz w:val="24"/>
        </w:rPr>
        <w:t>1.5 Apports attendus</w:t>
      </w:r>
    </w:p>
    <w:p>
      <w:r>
        <w:rPr>
          <w:rFonts w:ascii="Times New Roman" w:hAnsi="Times New Roman" w:eastAsia="Times New Roman"/>
          <w:color w:val="111111"/>
          <w:sz w:val="24"/>
        </w:rPr>
        <w:t>Pour l'entreprise, le principal apport réside dans la centralisation : l'information produit, les demandes commerciales, les demandes documentaires et les actions administratives sont regroupées dans une seule solution. Pour les clients, le bénéfice est un accès plus rapide aux produits, aux documents publics et aux formulaires adaptés. Pour le projet de fin d'études, cette plateforme constitue un cas complet mobilisant conception d'interfaces, développement full stack, sécurité, persistance, gestion de fichiers, tests et préparation au déploiement.</w:t>
      </w:r>
    </w:p>
    <w:p>
      <w:pPr>
        <w:pStyle w:val="Heading2"/>
      </w:pPr>
      <w:r>
        <w:rPr>
          <w:rFonts w:ascii="Times New Roman" w:hAnsi="Times New Roman" w:eastAsia="Times New Roman" w:cs="Times New Roman"/>
          <w:b/>
          <w:color w:val="111111"/>
          <w:sz w:val="24"/>
        </w:rPr>
        <w:t>1.6 Parties prenantes et usages visés</w:t>
      </w:r>
    </w:p>
    <w:p>
      <w:pPr>
        <w:jc w:val="both"/>
      </w:pPr>
      <w:r>
        <w:rPr>
          <w:rFonts w:ascii="Times New Roman" w:hAnsi="Times New Roman" w:eastAsia="Times New Roman" w:cs="Times New Roman"/>
          <w:color w:val="111111"/>
          <w:sz w:val="24"/>
        </w:rPr>
        <w:t>La plateforme met en relation plusieurs usages qui existaient auparavant sous des formes séparées. L’acheteur industriel consulte le catalogue pour vérifier qu’une famille de produit correspond à son besoin. Le bureau d’études s’intéresse davantage aux dimensions, aux normes et aux documents. L’équipe commerciale reçoit la demande et doit identifier rapidement la société, le produit, la quantité et le délai. Enfin, l’administrateur maintient les contenus et suit l’évolution des dossiers. Le modèle retenu ne crée pas de compte client public : le parcours reste volontairement direct et la sécurisation forte est concentrée sur l’espace interne.</w:t>
      </w:r>
    </w:p>
    <w:p>
      <w:pPr>
        <w:pStyle w:val="TableCaption"/>
        <w:jc w:val="center"/>
      </w:pPr>
      <w:bookmarkStart w:id="1004" w:name="tab_1_2"/>
      <w:r>
        <w:rPr>
          <w:rFonts w:ascii="Times New Roman" w:hAnsi="Times New Roman"/>
          <w:color w:val="111111"/>
          <w:sz w:val="20"/>
        </w:rPr>
        <w:t>Tableau 1.</w:t>
      </w:r>
      <w:r>
        <w:fldChar w:fldCharType="begin"/>
      </w:r>
      <w:r>
        <w:instrText xml:space="preserve">SEQ Tableau1 \* ARABIC</w:instrText>
      </w:r>
      <w:r>
        <w:fldChar w:fldCharType="separate"/>
      </w:r>
      <w:r>
        <w:rPr>
          <w:rFonts w:ascii="Times New Roman" w:hAnsi="Times New Roman"/>
          <w:color w:val="111111"/>
          <w:sz w:val="20"/>
        </w:rPr>
        <w:t>3</w:t>
      </w:r>
      <w:r>
        <w:fldChar w:fldCharType="end"/>
      </w:r>
      <w:bookmarkEnd w:id="1004"/>
      <w:r>
        <w:rPr>
          <w:rFonts w:ascii="Times New Roman" w:hAnsi="Times New Roman"/>
          <w:color w:val="111111"/>
          <w:sz w:val="20"/>
        </w:rPr>
        <w:t xml:space="preserve"> — Parties prenantes et attentes principales</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1984"/>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Partie prenante</w:t>
            </w:r>
          </w:p>
        </w:tc>
        <w:tc>
          <w:tcPr>
            <w:tcW w:type="dxa" w:w="3061"/>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Attente observée</w:t>
            </w:r>
          </w:p>
        </w:tc>
        <w:tc>
          <w:tcPr>
            <w:tcW w:type="dxa" w:w="345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Réponse apportée</w:t>
            </w:r>
          </w:p>
        </w:tc>
        <w:trPr>
          <w:tblHeader/>
        </w:trPr>
      </w:tr>
      <w:tr>
        <w:tc>
          <w:tcPr>
            <w:tcW w:type="dxa" w:w="1984"/>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Acheteur industriel</w:t>
            </w:r>
          </w:p>
        </w:tc>
        <w:tc>
          <w:tcPr>
            <w:tcW w:type="dxa" w:w="3061"/>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Identifier rapidement un produit et transmettre un besoin</w:t>
            </w:r>
          </w:p>
        </w:tc>
        <w:tc>
          <w:tcPr>
            <w:tcW w:type="dxa" w:w="345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Catalogue, recherche, fiche produit et devis</w:t>
            </w:r>
          </w:p>
        </w:tc>
      </w:tr>
      <w:tr>
        <w:tc>
          <w:tcPr>
            <w:tcW w:type="dxa" w:w="1984"/>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Bureau d’études</w:t>
            </w:r>
          </w:p>
        </w:tc>
        <w:tc>
          <w:tcPr>
            <w:tcW w:type="dxa" w:w="3061"/>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Préciser dimensions, norme et plan</w:t>
            </w:r>
          </w:p>
        </w:tc>
        <w:tc>
          <w:tcPr>
            <w:tcW w:type="dxa" w:w="345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Champs techniques et pièce jointe contrôlée</w:t>
            </w:r>
          </w:p>
        </w:tc>
      </w:tr>
      <w:tr>
        <w:tc>
          <w:tcPr>
            <w:tcW w:type="dxa" w:w="1984"/>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Équipe commerciale</w:t>
            </w:r>
          </w:p>
        </w:tc>
        <w:tc>
          <w:tcPr>
            <w:tcW w:type="dxa" w:w="3061"/>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Qualifier et prioriser les opportunités</w:t>
            </w:r>
          </w:p>
        </w:tc>
        <w:tc>
          <w:tcPr>
            <w:tcW w:type="dxa" w:w="345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Pipeline, score, filtres et statuts</w:t>
            </w:r>
          </w:p>
        </w:tc>
      </w:tr>
      <w:tr>
        <w:tc>
          <w:tcPr>
            <w:tcW w:type="dxa" w:w="1984"/>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Administrateur</w:t>
            </w:r>
          </w:p>
        </w:tc>
        <w:tc>
          <w:tcPr>
            <w:tcW w:type="dxa" w:w="3061"/>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Maintenir produits, ressources et suivi</w:t>
            </w:r>
          </w:p>
        </w:tc>
        <w:tc>
          <w:tcPr>
            <w:tcW w:type="dxa" w:w="345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Espace protégé et écrans de gestion</w:t>
            </w:r>
          </w:p>
        </w:tc>
      </w:tr>
    </w:tbl>
    <w:p/>
    <w:p>
      <w:pPr>
        <w:pStyle w:val="Heading2"/>
      </w:pPr>
      <w:r>
        <w:rPr>
          <w:rFonts w:ascii="Times New Roman" w:hAnsi="Times New Roman" w:eastAsia="Times New Roman" w:cs="Times New Roman"/>
          <w:b/>
          <w:color w:val="111111"/>
          <w:sz w:val="24"/>
        </w:rPr>
        <w:t>1.7 Cohérence avec le processus industriel</w:t>
      </w:r>
    </w:p>
    <w:p>
      <w:pPr>
        <w:jc w:val="both"/>
      </w:pPr>
      <w:r>
        <w:rPr>
          <w:rFonts w:ascii="Times New Roman" w:hAnsi="Times New Roman" w:eastAsia="Times New Roman" w:cs="Times New Roman"/>
          <w:color w:val="111111"/>
          <w:sz w:val="24"/>
        </w:rPr>
        <w:t>Le schéma de production fourni par l’entreprise donne au site un ancrage concret. Il présente la réception et le tri des matières premières, le contrôle des pesées, le stockage, la transformation, le laboratoire, la conformité et l’expédition. La plateforme ne pilote aucun de ces équipements. Elle reprend seulement cette lecture pour expliquer, à un visiteur non spécialiste, comment une matière est contrôlée puis transformée avant d’être proposée sous différentes formes. Cette distinction évite de confondre information institutionnelle et système de supervision industrielle.</w:t>
      </w:r>
    </w:p>
    <w:p>
      <w:pPr>
        <w:jc w:val="both"/>
      </w:pPr>
      <w:r>
        <w:rPr>
          <w:rFonts w:ascii="Times New Roman" w:hAnsi="Times New Roman" w:eastAsia="Times New Roman" w:cs="Times New Roman"/>
          <w:color w:val="111111"/>
          <w:sz w:val="24"/>
        </w:rPr>
        <w:t>Les produits du catalogue correspondent aux familles manipulées dans les échanges B2B : rod, anodes, bus bars, flat bars, tubes, sheets, wire et pièces personnalisées. Les informations affichées ont été structurées autour de la pureté, des dimensions et des normes. Lorsque la valeur exacte dépend du cahier des charges, le texte le signale au lieu de présenter une mesure arbitraire. Ce choix a notamment permis de supprimer les zones vides observées dans les premières versions tout en restant prudent sur les données techniques non validées par l’entreprise.</w:t>
      </w:r>
    </w:p>
    <w:p>
      <w:pPr>
        <w:pStyle w:val="Heading2"/>
      </w:pPr>
      <w:r>
        <w:rPr>
          <w:rFonts w:ascii="Times New Roman" w:hAnsi="Times New Roman" w:eastAsia="Times New Roman" w:cs="Times New Roman"/>
          <w:b/>
          <w:color w:val="111111"/>
          <w:sz w:val="24"/>
        </w:rPr>
        <w:t>1.8 Valeur apportée par la centralisation</w:t>
      </w:r>
    </w:p>
    <w:p>
      <w:pPr>
        <w:jc w:val="both"/>
      </w:pPr>
      <w:r>
        <w:rPr>
          <w:rFonts w:ascii="Times New Roman" w:hAnsi="Times New Roman" w:eastAsia="Times New Roman" w:cs="Times New Roman"/>
          <w:color w:val="111111"/>
          <w:sz w:val="24"/>
        </w:rPr>
        <w:t>Le bénéfice le plus visible est la continuité du parcours. Une personne peut partir d’une recherche, ouvrir une fiche, visualiser une géométrie, consulter une ressource ou envoyer une demande préremplie avec le produit choisi. Côté administration, les mêmes informations alimentent les compteurs, la liste, le pipeline et l’historique client. Il n’est donc pas nécessaire de ressaisir manuellement le nom du produit pour rapprocher les écrans. Cette continuité provient de l’usage d’une API commune et de références métier partagées entre les pages.</w:t>
      </w:r>
    </w:p>
    <w:p>
      <w:pPr>
        <w:jc w:val="both"/>
      </w:pPr>
      <w:r>
        <w:rPr>
          <w:rFonts w:ascii="Times New Roman" w:hAnsi="Times New Roman" w:eastAsia="Times New Roman" w:cs="Times New Roman"/>
          <w:color w:val="111111"/>
          <w:sz w:val="24"/>
        </w:rPr>
        <w:t>La centralisation ne signifie pas que tous les processus de l’entreprise sont automatisés. Le chiffrage reste une décision humaine et les documents restreints sont transmis selon le traitement retenu par l’équipe. La plateforme aide à préparer et suivre le dossier ; elle ne remplace pas la validation technique, commerciale ou qualité. Cette frontière est importante pour apprécier correctement le résultat du projet.</w:t>
      </w:r>
    </w:p>
    <w:p>
      <w:pPr>
        <w:pStyle w:val="Heading2"/>
      </w:pPr>
      <w:r>
        <w:rPr>
          <w:rFonts w:ascii="Times New Roman" w:hAnsi="Times New Roman"/>
          <w:color w:val="111111"/>
          <w:sz w:val="24"/>
        </w:rPr>
        <w:t>Conclusion du chapitre 1</w:t>
      </w:r>
    </w:p>
    <w:p>
      <w:r>
        <w:rPr>
          <w:rFonts w:ascii="Times New Roman" w:hAnsi="Times New Roman" w:eastAsia="Times New Roman"/>
          <w:color w:val="111111"/>
          <w:sz w:val="24"/>
        </w:rPr>
        <w:t>Ce chapitre a présenté l'environnement industriel de G-ROD et les motivations de la transformation numérique. Le chapitre suivant formalise la problématique, les acteurs, les besoins et la démarche de réalisation.</w:t>
      </w:r>
    </w:p>
    <w:p>
      <w:r>
        <w:rPr>
          <w:rFonts w:ascii="Times New Roman" w:hAnsi="Times New Roman"/>
          <w:color w:val="111111"/>
          <w:sz w:val="24"/>
        </w:rPr>
        <w:br w:type="page"/>
      </w:r>
    </w:p>
    <w:p>
      <w:pPr>
        <w:spacing w:before="1600" w:after="240"/>
        <w:jc w:val="center"/>
      </w:pPr>
      <w:r>
        <w:rPr>
          <w:rFonts w:ascii="Times New Roman" w:hAnsi="Times New Roman" w:eastAsia="Arial"/>
          <w:b/>
          <w:color w:val="111111"/>
          <w:sz w:val="24"/>
        </w:rPr>
        <w:t>CHAPITRE 2</w:t>
      </w:r>
    </w:p>
    <w:p>
      <w:pPr>
        <w:pStyle w:val="Heading1"/>
      </w:pPr>
      <w:r>
        <w:rPr>
          <w:rFonts w:ascii="Times New Roman" w:hAnsi="Times New Roman" w:eastAsia="Times New Roman"/>
          <w:b/>
          <w:color w:val="111111"/>
          <w:sz w:val="24"/>
        </w:rPr>
        <w:t>2. Analyse de l'existant et cadrage du projet</w:t>
      </w:r>
    </w:p>
    <w:p>
      <w:pPr>
        <w:spacing w:after="560"/>
        <w:jc w:val="center"/>
      </w:pPr>
      <w:r>
        <w:rPr>
          <w:rFonts w:ascii="Times New Roman" w:hAnsi="Times New Roman" w:eastAsia="Times New Roman"/>
          <w:i/>
          <w:color w:val="111111"/>
          <w:sz w:val="24"/>
        </w:rPr>
        <w:t>Transformer le besoin métier en exigences vérifiables et organiser la réalisation.</w:t>
      </w:r>
    </w:p>
    <w:p>
      <w:pPr>
        <w:jc w:val="center"/>
      </w:pPr>
      <w:r>
        <w:rPr>
          <w:rFonts w:ascii="Times New Roman" w:hAnsi="Times New Roman" w:eastAsia="Arial"/>
          <w:color w:val="111111"/>
          <w:sz w:val="24"/>
        </w:rPr>
        <w:t>●</w:t>
      </w:r>
    </w:p>
    <w:p>
      <w:r>
        <w:rPr>
          <w:rFonts w:ascii="Times New Roman" w:hAnsi="Times New Roman"/>
          <w:color w:val="111111"/>
          <w:sz w:val="24"/>
        </w:rPr>
        <w:br w:type="page"/>
      </w:r>
    </w:p>
    <w:p>
      <w:pPr>
        <w:pStyle w:val="Heading2"/>
      </w:pPr>
      <w:r>
        <w:rPr>
          <w:rFonts w:ascii="Times New Roman" w:hAnsi="Times New Roman"/>
          <w:color w:val="111111"/>
          <w:sz w:val="24"/>
        </w:rPr>
        <w:t>Introduction du chapitre</w:t>
      </w:r>
    </w:p>
    <w:p>
      <w:pPr>
        <w:jc w:val="both"/>
      </w:pPr>
      <w:r>
        <w:rPr>
          <w:rFonts w:ascii="Times New Roman" w:hAnsi="Times New Roman"/>
          <w:color w:val="111111"/>
          <w:sz w:val="24"/>
        </w:rPr>
        <w:t>Ce chapitre analyse l’existant, précise les acteurs, formalise les besoins fonctionnels et non fonctionnels, puis expose l’organisation retenue pour conduire le projet.</w:t>
      </w:r>
    </w:p>
    <w:p>
      <w:pPr>
        <w:pStyle w:val="Heading2"/>
      </w:pPr>
      <w:r>
        <w:rPr>
          <w:rFonts w:ascii="Times New Roman" w:hAnsi="Times New Roman"/>
          <w:color w:val="111111"/>
          <w:sz w:val="24"/>
        </w:rPr>
        <w:t>2.1 Problématique identifiée</w:t>
      </w:r>
    </w:p>
    <w:p>
      <w:r>
        <w:rPr>
          <w:rFonts w:ascii="Times New Roman" w:hAnsi="Times New Roman" w:eastAsia="Times New Roman"/>
          <w:color w:val="111111"/>
          <w:sz w:val="24"/>
        </w:rPr>
        <w:t>L'entreprise doit présenter une offre industrielle comportant plusieurs familles de produits et de nombreuses caractéristiques techniques. Elle doit parallèlement recevoir des demandes provenant de prospects, distinguer les demandes de devis des demandes documentaires, suivre leur statut et conserver un historique par client. L'objectif est donc de concevoir une solution accessible au public sans compromettre les fonctions de gestion réservées à l'administrateur.</w:t>
      </w:r>
    </w:p>
    <w:p>
      <w:r>
        <w:rPr>
          <w:rFonts w:ascii="Times New Roman" w:hAnsi="Times New Roman" w:eastAsia="Times New Roman"/>
          <w:color w:val="111111"/>
          <w:sz w:val="24"/>
        </w:rPr>
        <w:t>La problématique a été décomposée en trois axes : l'expérience publique, le pilotage administratif et la fiabilité technique. L'expérience publique doit être claire sur ordinateur, tablette et mobile. Le pilotage administratif doit rester efficace lorsque le volume de données augmente. La fiabilité technique doit couvrir l'authentification, la validation, les fichiers, les erreurs, les sauvegardes et les tests.</w:t>
      </w:r>
    </w:p>
    <w:p>
      <w:pPr>
        <w:pStyle w:val="Heading2"/>
      </w:pPr>
      <w:r>
        <w:rPr>
          <w:rFonts w:ascii="Times New Roman" w:hAnsi="Times New Roman"/>
          <w:color w:val="111111"/>
          <w:sz w:val="24"/>
        </w:rPr>
        <w:t>2.2 Analyse de l'existant</w:t>
      </w:r>
    </w:p>
    <w:p>
      <w:r>
        <w:rPr>
          <w:rFonts w:ascii="Times New Roman" w:hAnsi="Times New Roman" w:eastAsia="Times New Roman"/>
          <w:color w:val="111111"/>
          <w:sz w:val="24"/>
        </w:rPr>
        <w:t>L'analyse de l'existant a mis en évidence le besoin d'une présentation plus cohérente des produits, d'une meilleure visibilité sur le statut des demandes et d'un point central pour administrer les contenus. La conception a donc retenu deux espaces complémentaires : un site public orienté visiteurs et un espace administrateur orienté traitement métier.</w:t>
      </w:r>
    </w:p>
    <w:p>
      <w:pPr>
        <w:pStyle w:val="Placeholder"/>
        <w:jc w:val="both"/>
      </w:pPr>
      <w:r>
        <w:rPr>
          <w:rFonts w:ascii="Times New Roman" w:hAnsi="Times New Roman"/>
          <w:color w:val="111111"/>
          <w:sz w:val="24"/>
        </w:rPr>
        <w:t>Le dépôt ne contient pas de description formellement validée de l’ancien processus métier. Le rapport limite donc l’analyse de l’existant aux besoins observables dans l’application et n’attribue pas à l’entreprise des outils ou des pratiques qui n’ont pas été confirmés.</w:t>
      </w:r>
    </w:p>
    <w:p>
      <w:pPr>
        <w:pStyle w:val="Heading2"/>
      </w:pPr>
      <w:r>
        <w:rPr>
          <w:rFonts w:ascii="Times New Roman" w:hAnsi="Times New Roman" w:eastAsia="Times New Roman" w:cs="Times New Roman"/>
          <w:b/>
          <w:color w:val="111111"/>
          <w:sz w:val="24"/>
        </w:rPr>
        <w:t>2.3 Benchmark de plateformes industrielles B2B</w:t>
      </w:r>
    </w:p>
    <w:p>
      <w:pPr>
        <w:pStyle w:val="Heading3"/>
      </w:pPr>
      <w:r>
        <w:rPr>
          <w:rFonts w:ascii="Times New Roman" w:hAnsi="Times New Roman" w:eastAsia="Times New Roman" w:cs="Times New Roman"/>
          <w:b/>
          <w:color w:val="111111"/>
          <w:sz w:val="24"/>
        </w:rPr>
        <w:t>2.3.1 Objectif et méthode</w:t>
      </w:r>
    </w:p>
    <w:p>
      <w:pPr>
        <w:jc w:val="both"/>
      </w:pPr>
      <w:r>
        <w:rPr>
          <w:rFonts w:ascii="Times New Roman" w:hAnsi="Times New Roman" w:eastAsia="Times New Roman" w:cs="Times New Roman"/>
          <w:color w:val="111111"/>
          <w:sz w:val="24"/>
        </w:rPr>
        <w:t>Le benchmark a été réalisé sur quatre acteurs industriels disposant de contenus publics officiels : Wieland, KME, Aurubis et Nexans. L’objectif n’était pas de reproduire leurs portails ni de comparer des fonctions internes non accessibles. L’analyse s’est limitée à ce qu’un acheteur peut réellement observer : organisation du catalogue, accès à la documentation, niveau de détail des fiches, moteurs de recherche et mécanismes de prise de contact. Les constats sont donc utilisés comme références d’ergonomie et non comme preuve sur leurs systèmes d’information internes.</w:t>
      </w:r>
    </w:p>
    <w:p>
      <w:pPr>
        <w:pStyle w:val="Heading3"/>
      </w:pPr>
      <w:r>
        <w:rPr>
          <w:rFonts w:ascii="Times New Roman" w:hAnsi="Times New Roman" w:eastAsia="Times New Roman" w:cs="Times New Roman"/>
          <w:b/>
          <w:color w:val="111111"/>
          <w:sz w:val="24"/>
        </w:rPr>
        <w:t>2.3.2 Wieland</w:t>
      </w:r>
    </w:p>
    <w:p>
      <w:pPr>
        <w:jc w:val="both"/>
      </w:pPr>
      <w:r>
        <w:rPr>
          <w:rFonts w:ascii="Times New Roman" w:hAnsi="Times New Roman" w:eastAsia="Times New Roman" w:cs="Times New Roman"/>
          <w:color w:val="111111"/>
          <w:sz w:val="24"/>
        </w:rPr>
        <w:t>Wieland organise son offre autour des produits et de leurs domaines d’application. La navigation donne une place importante aux formes de cuivre, aux alliages et aux usages, ce qui aide un visiteur à raisonner soit par matière, soit par besoin [9]. Pour G-ROD, cette observation a confirmé l’intérêt de conserver à la fois un catalogue explicite et un assistant de recherche par application. La plateforme réalisée reste plus limitée : elle couvre huit familles et ne propose pas de sélection métallurgique détaillée. Cette différence est cohérente avec son périmètre de projet de fin d’études.</w:t>
      </w:r>
    </w:p>
    <w:p>
      <w:pPr>
        <w:pStyle w:val="Heading3"/>
      </w:pPr>
      <w:r>
        <w:rPr>
          <w:rFonts w:ascii="Times New Roman" w:hAnsi="Times New Roman" w:eastAsia="Times New Roman" w:cs="Times New Roman"/>
          <w:b/>
          <w:color w:val="111111"/>
          <w:sz w:val="24"/>
        </w:rPr>
        <w:t>2.3.3 KME</w:t>
      </w:r>
    </w:p>
    <w:p>
      <w:pPr>
        <w:jc w:val="both"/>
      </w:pPr>
      <w:r>
        <w:rPr>
          <w:rFonts w:ascii="Times New Roman" w:hAnsi="Times New Roman" w:eastAsia="Times New Roman" w:cs="Times New Roman"/>
          <w:color w:val="111111"/>
          <w:sz w:val="24"/>
        </w:rPr>
        <w:t>Le site KME met en avant un centre de téléchargement qui regroupe brochures, fiches et documents associés aux activités industrielles [10]. Cette organisation montre qu’un catalogue seul ne suffit pas dans un contexte B2B : les acheteurs recherchent aussi des éléments de conformité et de préparation technique. G-ROD reprend cette idée sous une forme adaptée, avec une page publique de ressources, des filtres par type et un formulaire distinct lorsqu’un document doit être demandé. L’administration peut ajouter une ressource, la lier à un produit et choisir si son téléchargement est public ou restreint.</w:t>
      </w:r>
    </w:p>
    <w:p>
      <w:pPr>
        <w:pStyle w:val="Heading3"/>
      </w:pPr>
      <w:r>
        <w:rPr>
          <w:rFonts w:ascii="Times New Roman" w:hAnsi="Times New Roman" w:eastAsia="Times New Roman" w:cs="Times New Roman"/>
          <w:b/>
          <w:color w:val="111111"/>
          <w:sz w:val="24"/>
        </w:rPr>
        <w:t>2.3.4 Aurubis</w:t>
      </w:r>
    </w:p>
    <w:p>
      <w:pPr>
        <w:jc w:val="both"/>
      </w:pPr>
      <w:r>
        <w:rPr>
          <w:rFonts w:ascii="Times New Roman" w:hAnsi="Times New Roman" w:eastAsia="Times New Roman" w:cs="Times New Roman"/>
          <w:color w:val="111111"/>
          <w:sz w:val="24"/>
        </w:rPr>
        <w:t>Aurubis présente plusieurs produits en cuivre et met également en avant des services destinés à ses partenaires [11]. Cette combinaison entre information industrielle et relation commerciale a été retenue comme un repère pour la page d’accueil de G-ROD. Le site ne se limite pas à afficher des images : il propose des points d’entrée directs vers le catalogue, les documents et le devis. En revanche, aucun portail partenaire avancé n’a été développé. Les visiteurs publics n’ont pas de compte et le suivi détaillé reste réservé à l’administrateur.</w:t>
      </w:r>
    </w:p>
    <w:p>
      <w:pPr>
        <w:pStyle w:val="Heading3"/>
      </w:pPr>
      <w:r>
        <w:rPr>
          <w:rFonts w:ascii="Times New Roman" w:hAnsi="Times New Roman" w:eastAsia="Times New Roman" w:cs="Times New Roman"/>
          <w:b/>
          <w:color w:val="111111"/>
          <w:sz w:val="24"/>
        </w:rPr>
        <w:t>2.3.5 Nexans</w:t>
      </w:r>
    </w:p>
    <w:p>
      <w:pPr>
        <w:jc w:val="both"/>
      </w:pPr>
      <w:r>
        <w:rPr>
          <w:rFonts w:ascii="Times New Roman" w:hAnsi="Times New Roman" w:eastAsia="Times New Roman" w:cs="Times New Roman"/>
          <w:color w:val="111111"/>
          <w:sz w:val="24"/>
        </w:rPr>
        <w:t>Le catalogue Nexans illustre une recherche structurée dans une offre technique étendue, avec des catégories et des informations destinées à guider la sélection [12]. Dans G-ROD, le volume est nettement plus faible, mais la même logique de réduction de l’effort de recherche apparaît à travers le champ texte, le filtre par application, le tri, le choix entre cartes et liste et l’affichage des produits actifs. L’interface recommande également un produit à partir des critères disponibles. Il s’agit d’une aide déterministe fondée sur les données du catalogue, et non d’un moteur d’intelligence artificielle entraîné.</w:t>
      </w:r>
    </w:p>
    <w:p>
      <w:pPr>
        <w:pStyle w:val="TableCaption"/>
        <w:jc w:val="center"/>
      </w:pPr>
      <w:bookmarkStart w:id="1005" w:name="tab_2_2"/>
      <w:r>
        <w:rPr>
          <w:rFonts w:ascii="Times New Roman" w:hAnsi="Times New Roman"/>
          <w:color w:val="111111"/>
          <w:sz w:val="20"/>
        </w:rPr>
        <w:t>Tableau 2.</w:t>
      </w:r>
      <w:r>
        <w:fldChar w:fldCharType="begin"/>
      </w:r>
      <w:r>
        <w:instrText xml:space="preserve">SEQ Tableau2 \* ARABIC</w:instrText>
      </w:r>
      <w:r>
        <w:fldChar w:fldCharType="separate"/>
      </w:r>
      <w:r>
        <w:rPr>
          <w:rFonts w:ascii="Times New Roman" w:hAnsi="Times New Roman"/>
          <w:color w:val="111111"/>
          <w:sz w:val="20"/>
        </w:rPr>
        <w:t>1</w:t>
      </w:r>
      <w:r>
        <w:fldChar w:fldCharType="end"/>
      </w:r>
      <w:bookmarkEnd w:id="1005"/>
      <w:r>
        <w:rPr>
          <w:rFonts w:ascii="Times New Roman" w:hAnsi="Times New Roman"/>
          <w:color w:val="111111"/>
          <w:sz w:val="20"/>
        </w:rPr>
        <w:t xml:space="preserve"> — Synthèse du benchmark industriel B2B</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c>
          <w:tcPr>
            <w:tcW w:type="dxa" w:w="1361"/>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Solution</w:t>
            </w:r>
          </w:p>
        </w:tc>
        <w:tc>
          <w:tcPr>
            <w:tcW w:type="dxa" w:w="209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Élément observé</w:t>
            </w:r>
          </w:p>
        </w:tc>
        <w:tc>
          <w:tcPr>
            <w:tcW w:type="dxa" w:w="2835"/>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Apport retenu pour G-ROD</w:t>
            </w:r>
          </w:p>
        </w:tc>
        <w:tc>
          <w:tcPr>
            <w:tcW w:type="dxa" w:w="2211"/>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Limite de comparaison</w:t>
            </w:r>
          </w:p>
        </w:tc>
        <w:trPr>
          <w:tblHeader/>
        </w:trPr>
      </w:tr>
      <w:tr>
        <w:tc>
          <w:tcPr>
            <w:tcW w:type="dxa" w:w="1361"/>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Wieland</w:t>
            </w:r>
          </w:p>
        </w:tc>
        <w:tc>
          <w:tcPr>
            <w:tcW w:type="dxa" w:w="209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Produits et applications</w:t>
            </w:r>
          </w:p>
        </w:tc>
        <w:tc>
          <w:tcPr>
            <w:tcW w:type="dxa" w:w="2835"/>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Double entrée catalogue/application</w:t>
            </w:r>
          </w:p>
        </w:tc>
        <w:tc>
          <w:tcPr>
            <w:tcW w:type="dxa" w:w="2211"/>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Gamme et alliages beaucoup plus étendus</w:t>
            </w:r>
          </w:p>
        </w:tc>
      </w:tr>
      <w:tr>
        <w:tc>
          <w:tcPr>
            <w:tcW w:type="dxa" w:w="1361"/>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KME</w:t>
            </w:r>
          </w:p>
        </w:tc>
        <w:tc>
          <w:tcPr>
            <w:tcW w:type="dxa" w:w="209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Centre de téléchargement</w:t>
            </w:r>
          </w:p>
        </w:tc>
        <w:tc>
          <w:tcPr>
            <w:tcW w:type="dxa" w:w="2835"/>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Ressources filtrables et liées aux produits</w:t>
            </w:r>
          </w:p>
        </w:tc>
        <w:tc>
          <w:tcPr>
            <w:tcW w:type="dxa" w:w="2211"/>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Documents internes non observables</w:t>
            </w:r>
          </w:p>
        </w:tc>
      </w:tr>
      <w:tr>
        <w:tc>
          <w:tcPr>
            <w:tcW w:type="dxa" w:w="1361"/>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Aurubis</w:t>
            </w:r>
          </w:p>
        </w:tc>
        <w:tc>
          <w:tcPr>
            <w:tcW w:type="dxa" w:w="209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Produits et relation partenaires</w:t>
            </w:r>
          </w:p>
        </w:tc>
        <w:tc>
          <w:tcPr>
            <w:tcW w:type="dxa" w:w="2835"/>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Passerelles vers demandes commerciales</w:t>
            </w:r>
          </w:p>
        </w:tc>
        <w:tc>
          <w:tcPr>
            <w:tcW w:type="dxa" w:w="2211"/>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Pas de portail partenaire livré</w:t>
            </w:r>
          </w:p>
        </w:tc>
      </w:tr>
      <w:tr>
        <w:tc>
          <w:tcPr>
            <w:tcW w:type="dxa" w:w="1361"/>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Nexans</w:t>
            </w:r>
          </w:p>
        </w:tc>
        <w:tc>
          <w:tcPr>
            <w:tcW w:type="dxa" w:w="209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Catalogue technique structuré</w:t>
            </w:r>
          </w:p>
        </w:tc>
        <w:tc>
          <w:tcPr>
            <w:tcW w:type="dxa" w:w="2835"/>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Recherche, filtres, tri et fiches</w:t>
            </w:r>
          </w:p>
        </w:tc>
        <w:tc>
          <w:tcPr>
            <w:tcW w:type="dxa" w:w="2211"/>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Secteur et profondeur de catalogue différents</w:t>
            </w:r>
          </w:p>
        </w:tc>
      </w:tr>
    </w:tbl>
    <w:p/>
    <w:p>
      <w:pPr>
        <w:pStyle w:val="Heading3"/>
      </w:pPr>
      <w:r>
        <w:rPr>
          <w:rFonts w:ascii="Times New Roman" w:hAnsi="Times New Roman" w:eastAsia="Times New Roman" w:cs="Times New Roman"/>
          <w:b/>
          <w:color w:val="111111"/>
          <w:sz w:val="24"/>
        </w:rPr>
        <w:t>2.3.6 Enseignements pour le cadrage</w:t>
      </w:r>
    </w:p>
    <w:p>
      <w:pPr>
        <w:jc w:val="both"/>
      </w:pPr>
      <w:r>
        <w:rPr>
          <w:rFonts w:ascii="Times New Roman" w:hAnsi="Times New Roman" w:eastAsia="Times New Roman" w:cs="Times New Roman"/>
          <w:color w:val="111111"/>
          <w:sz w:val="24"/>
        </w:rPr>
        <w:t>Trois enseignements ont guidé le cadrage. Premièrement, la documentation doit rester accessible depuis le produit et depuis un espace dédié. Deuxièmement, les filtres n’ont de valeur que si les données du catalogue sont réellement renseignées. Troisièmement, un appel à l’action commercial doit rester visible sans interrompre la consultation. Ces principes se retrouvent dans les parcours présentés au chapitre 4. Le benchmark n’a pas conduit à ajouter des fonctions étrangères au besoin, telles qu’un paiement en ligne, un calcul tarifaire automatique ou un extranet client complet.</w:t>
      </w:r>
    </w:p>
    <w:p>
      <w:pPr>
        <w:pStyle w:val="Heading2"/>
      </w:pPr>
      <w:r>
        <w:rPr>
          <w:rFonts w:ascii="Times New Roman" w:hAnsi="Times New Roman"/>
          <w:color w:val="111111"/>
          <w:sz w:val="24"/>
        </w:rPr>
        <w:t>2.4 Acteurs du système</w:t>
      </w:r>
    </w:p>
    <w:p>
      <w:pPr>
        <w:pStyle w:val="TableCaption"/>
        <w:jc w:val="center"/>
      </w:pPr>
      <w:bookmarkStart w:id="1006" w:name="tab_2_1"/>
      <w:r>
        <w:rPr>
          <w:rFonts w:ascii="Times New Roman" w:hAnsi="Times New Roman"/>
          <w:color w:val="111111"/>
          <w:sz w:val="20"/>
        </w:rPr>
        <w:t>Tableau 2.</w:t>
      </w:r>
      <w:r>
        <w:fldChar w:fldCharType="begin"/>
      </w:r>
      <w:r>
        <w:instrText xml:space="preserve">SEQ Tableau2 \* ARABIC</w:instrText>
      </w:r>
      <w:r>
        <w:fldChar w:fldCharType="separate"/>
      </w:r>
      <w:r>
        <w:rPr>
          <w:rFonts w:ascii="Times New Roman" w:hAnsi="Times New Roman"/>
          <w:color w:val="111111"/>
          <w:sz w:val="20"/>
        </w:rPr>
        <w:t>2</w:t>
      </w:r>
      <w:r>
        <w:fldChar w:fldCharType="end"/>
      </w:r>
      <w:bookmarkEnd w:id="1006"/>
      <w:r>
        <w:rPr>
          <w:rFonts w:ascii="Times New Roman" w:hAnsi="Times New Roman"/>
          <w:color w:val="111111"/>
          <w:sz w:val="20"/>
        </w:rPr>
        <w:t xml:space="preserve"> — Acteurs et responsabilités</w:t>
      </w:r>
    </w:p>
    <w:tbl>
      <w:tblPr>
        <w:tblStyle w:val="TableGrid"/>
        <w:tblW w:type="dxa" w:w="8788"/>
        <w:jc w:val="left"/>
        <w:tblLayout w:type="fixed"/>
        <w:tblLook w:firstColumn="1" w:firstRow="1" w:lastColumn="0" w:lastRow="0" w:noHBand="0" w:noVBand="1" w:val="04A0"/>
        <w:tblInd w:w="120" w:type="dxa"/>
      </w:tblPr>
      <w:tblGrid>
        <w:gridCol w:w="1695"/>
        <w:gridCol w:w="4962"/>
        <w:gridCol w:w="2131"/>
      </w:tblGrid>
      <w:tr>
        <w:trPr>
          <w:tblHeader w:val="true"/>
        </w:trPr>
        <w:tc>
          <w:tcPr>
            <w:tcW w:type="dxa" w:w="1695"/>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Acteur</w:t>
            </w:r>
          </w:p>
        </w:tc>
        <w:tc>
          <w:tcPr>
            <w:tcW w:type="dxa" w:w="4962"/>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Responsabilités principales</w:t>
            </w:r>
          </w:p>
        </w:tc>
        <w:tc>
          <w:tcPr>
            <w:tcW w:type="dxa" w:w="213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Niveau d'accès</w:t>
            </w:r>
          </w:p>
        </w:tc>
      </w:tr>
      <w:tr>
        <w:tc>
          <w:tcPr>
            <w:tcW w:type="dxa" w:w="169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Visiteur</w:t>
            </w:r>
          </w:p>
        </w:tc>
        <w:tc>
          <w:tcPr>
            <w:tcW w:type="dxa" w:w="496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Consulter les pages publiques, le catalogue, les ressources et le processus.</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Public</w:t>
            </w:r>
          </w:p>
        </w:tc>
      </w:tr>
      <w:tr>
        <w:tc>
          <w:tcPr>
            <w:tcW w:type="dxa" w:w="169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Prospect / client</w:t>
            </w:r>
          </w:p>
        </w:tc>
        <w:tc>
          <w:tcPr>
            <w:tcW w:type="dxa" w:w="496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Envoyer une demande de devis ou de document et joindre un plan si nécessaire.</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Public avec validation</w:t>
            </w:r>
          </w:p>
        </w:tc>
      </w:tr>
      <w:tr>
        <w:tc>
          <w:tcPr>
            <w:tcW w:type="dxa" w:w="169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Administrateur</w:t>
            </w:r>
          </w:p>
        </w:tc>
        <w:tc>
          <w:tcPr>
            <w:tcW w:type="dxa" w:w="496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Gérer le catalogue, traiter les demandes, consulter les clients, publier les ressources et suivre les notifications.</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Authentifié</w:t>
            </w:r>
          </w:p>
        </w:tc>
      </w:tr>
    </w:tbl>
    <w:p>
      <w:pPr>
        <w:spacing w:after="40"/>
      </w:pPr>
    </w:p>
    <w:p>
      <w:pPr>
        <w:pStyle w:val="Heading2"/>
      </w:pPr>
      <w:r>
        <w:rPr>
          <w:rFonts w:ascii="Times New Roman" w:hAnsi="Times New Roman"/>
          <w:color w:val="111111"/>
          <w:sz w:val="24"/>
        </w:rPr>
        <w:t>2.5 Besoins fonctionnels</w:t>
      </w:r>
    </w:p>
    <w:p>
      <w:pPr>
        <w:pStyle w:val="Heading3"/>
      </w:pPr>
      <w:r>
        <w:rPr>
          <w:rFonts w:ascii="Times New Roman" w:hAnsi="Times New Roman"/>
          <w:color w:val="111111"/>
          <w:sz w:val="24"/>
        </w:rPr>
        <w:t>2.5.1 Site public</w:t>
      </w:r>
    </w:p>
    <w:p>
      <w:pPr>
        <w:pStyle w:val="TableCaption"/>
        <w:jc w:val="center"/>
      </w:pPr>
      <w:bookmarkStart w:id="1007" w:name="tab_2_3"/>
      <w:r>
        <w:rPr>
          <w:rFonts w:ascii="Times New Roman" w:hAnsi="Times New Roman"/>
          <w:color w:val="111111"/>
          <w:sz w:val="20"/>
        </w:rPr>
        <w:t>Tableau 2.</w:t>
      </w:r>
      <w:r>
        <w:fldChar w:fldCharType="begin"/>
      </w:r>
      <w:r>
        <w:instrText xml:space="preserve">SEQ Tableau2 \* ARABIC</w:instrText>
      </w:r>
      <w:r>
        <w:fldChar w:fldCharType="separate"/>
      </w:r>
      <w:r>
        <w:rPr>
          <w:rFonts w:ascii="Times New Roman" w:hAnsi="Times New Roman"/>
          <w:color w:val="111111"/>
          <w:sz w:val="20"/>
        </w:rPr>
        <w:t>3</w:t>
      </w:r>
      <w:r>
        <w:fldChar w:fldCharType="end"/>
      </w:r>
      <w:bookmarkEnd w:id="1007"/>
      <w:r>
        <w:rPr>
          <w:rFonts w:ascii="Times New Roman" w:hAnsi="Times New Roman"/>
          <w:color w:val="111111"/>
          <w:sz w:val="20"/>
        </w:rPr>
        <w:t xml:space="preserve"> — Besoins fonctionnels du site public</w:t>
      </w:r>
    </w:p>
    <w:tbl>
      <w:tblPr>
        <w:tblStyle w:val="TableGrid"/>
        <w:tblW w:type="dxa" w:w="8788"/>
        <w:jc w:val="left"/>
        <w:tblLayout w:type="fixed"/>
        <w:tblLook w:firstColumn="1" w:firstRow="1" w:lastColumn="0" w:lastRow="0" w:noHBand="0" w:noVBand="1" w:val="04A0"/>
        <w:tblInd w:w="120" w:type="dxa"/>
      </w:tblPr>
      <w:tblGrid>
        <w:gridCol w:w="1259"/>
        <w:gridCol w:w="5882"/>
        <w:gridCol w:w="1647"/>
      </w:tblGrid>
      <w:tr>
        <w:trPr>
          <w:tblHeader w:val="true"/>
        </w:trPr>
        <w:tc>
          <w:tcPr>
            <w:tcW w:type="dxa" w:w="1259"/>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Identifiant</w:t>
            </w:r>
          </w:p>
        </w:tc>
        <w:tc>
          <w:tcPr>
            <w:tcW w:type="dxa" w:w="5882"/>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Besoin</w:t>
            </w:r>
          </w:p>
        </w:tc>
        <w:tc>
          <w:tcPr>
            <w:tcW w:type="dxa" w:w="1647"/>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Priorité</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FP-01</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Présenter l'entreprise, ses valeurs, son processus et ses partenaires.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FP-02</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Afficher les produits actifs issus de la base de données.</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FP-03</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Rechercher, filtrer et trier le catalogue.</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FP-04</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Consulter une fiche produit et un aperçu 3D lorsqu'il est disponible.</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FP-05</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Envoyer une demande de devis avec informations et pièce jointe optionnelle.</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FP-06</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Consulter ou demander un document technique.</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FP-07</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Utiliser une recherche rapide fondée sur les pages et données disponibles.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Moyenne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FP-08</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Utiliser la plateforme sur mobile et l'installer comme PWA lorsque le navigateur le permet.</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Moyenne</w:t>
            </w:r>
          </w:p>
        </w:tc>
      </w:tr>
    </w:tbl>
    <w:p>
      <w:pPr>
        <w:spacing w:after="40"/>
      </w:pPr>
    </w:p>
    <w:p>
      <w:pPr>
        <w:pStyle w:val="Heading3"/>
      </w:pPr>
      <w:r>
        <w:rPr>
          <w:rFonts w:ascii="Times New Roman" w:hAnsi="Times New Roman"/>
          <w:color w:val="111111"/>
          <w:sz w:val="24"/>
        </w:rPr>
        <w:t>2.5.2 Espace administrateur</w:t>
      </w:r>
    </w:p>
    <w:p>
      <w:pPr>
        <w:pStyle w:val="TableCaption"/>
        <w:jc w:val="center"/>
      </w:pPr>
      <w:bookmarkStart w:id="1008" w:name="tab_2_4"/>
      <w:r>
        <w:rPr>
          <w:rFonts w:ascii="Times New Roman" w:hAnsi="Times New Roman"/>
          <w:color w:val="111111"/>
          <w:sz w:val="20"/>
        </w:rPr>
        <w:t>Tableau 2.</w:t>
      </w:r>
      <w:r>
        <w:fldChar w:fldCharType="begin"/>
      </w:r>
      <w:r>
        <w:instrText xml:space="preserve">SEQ Tableau2 \* ARABIC</w:instrText>
      </w:r>
      <w:r>
        <w:fldChar w:fldCharType="separate"/>
      </w:r>
      <w:r>
        <w:rPr>
          <w:rFonts w:ascii="Times New Roman" w:hAnsi="Times New Roman"/>
          <w:color w:val="111111"/>
          <w:sz w:val="20"/>
        </w:rPr>
        <w:t>4</w:t>
      </w:r>
      <w:r>
        <w:fldChar w:fldCharType="end"/>
      </w:r>
      <w:bookmarkEnd w:id="1008"/>
      <w:r>
        <w:rPr>
          <w:rFonts w:ascii="Times New Roman" w:hAnsi="Times New Roman"/>
          <w:color w:val="111111"/>
          <w:sz w:val="20"/>
        </w:rPr>
        <w:t xml:space="preserve"> — Besoins fonctionnels de l'administration</w:t>
      </w:r>
    </w:p>
    <w:tbl>
      <w:tblPr>
        <w:tblStyle w:val="TableGrid"/>
        <w:tblW w:type="dxa" w:w="8788"/>
        <w:jc w:val="left"/>
        <w:tblLayout w:type="fixed"/>
        <w:tblLook w:firstColumn="1" w:firstRow="1" w:lastColumn="0" w:lastRow="0" w:noHBand="0" w:noVBand="1" w:val="04A0"/>
        <w:tblInd w:w="120" w:type="dxa"/>
      </w:tblPr>
      <w:tblGrid>
        <w:gridCol w:w="1259"/>
        <w:gridCol w:w="5882"/>
        <w:gridCol w:w="1647"/>
      </w:tblGrid>
      <w:tr>
        <w:trPr>
          <w:tblHeader w:val="true"/>
        </w:trPr>
        <w:tc>
          <w:tcPr>
            <w:tcW w:type="dxa" w:w="1259"/>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Identifiant</w:t>
            </w:r>
          </w:p>
        </w:tc>
        <w:tc>
          <w:tcPr>
            <w:tcW w:type="dxa" w:w="5882"/>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Besoin</w:t>
            </w:r>
          </w:p>
        </w:tc>
        <w:tc>
          <w:tcPr>
            <w:tcW w:type="dxa" w:w="1647"/>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Priorité</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FA-01</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Authentifier l'administrateur et protéger les routes sensibles.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Critique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FA-02</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Présenter un tableau de bord fondé sur les données réelles.</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FA-03</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Traiter, filtrer et paginer les demandes commerciales.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FA-04</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Gérer les produits, leurs images, leurs caractéristiques et leur état actif.</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FA-05</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Consulter les clients et leur historique de demandes.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FA-06</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Traiter les demandes de documents et publier les ressources techniques.</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FA-07</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Afficher des notifications persistantes avec état lu/non lu.</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FA-08</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Gérer le mot de passe, les préférences et l'authentification Passkey.</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Moyenne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FA-09</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Adapter la sidebar au desktop et au mobile sans dupliquer la logique.</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Moyenne</w:t>
            </w:r>
          </w:p>
        </w:tc>
      </w:tr>
    </w:tbl>
    <w:p>
      <w:pPr>
        <w:spacing w:after="40"/>
      </w:pPr>
    </w:p>
    <w:p>
      <w:pPr>
        <w:pStyle w:val="Heading2"/>
      </w:pPr>
      <w:r>
        <w:rPr>
          <w:rFonts w:ascii="Times New Roman" w:hAnsi="Times New Roman"/>
          <w:color w:val="111111"/>
          <w:sz w:val="24"/>
        </w:rPr>
        <w:t>2.6 Exigences non fonctionnelles</w:t>
      </w:r>
    </w:p>
    <w:p>
      <w:pPr>
        <w:pStyle w:val="TableCaption"/>
        <w:jc w:val="center"/>
      </w:pPr>
      <w:bookmarkStart w:id="1009" w:name="tab_2_5"/>
      <w:r>
        <w:rPr>
          <w:rFonts w:ascii="Times New Roman" w:hAnsi="Times New Roman"/>
          <w:color w:val="111111"/>
          <w:sz w:val="20"/>
        </w:rPr>
        <w:t>Tableau 2.</w:t>
      </w:r>
      <w:r>
        <w:fldChar w:fldCharType="begin"/>
      </w:r>
      <w:r>
        <w:instrText xml:space="preserve">SEQ Tableau2 \* ARABIC</w:instrText>
      </w:r>
      <w:r>
        <w:fldChar w:fldCharType="separate"/>
      </w:r>
      <w:r>
        <w:rPr>
          <w:rFonts w:ascii="Times New Roman" w:hAnsi="Times New Roman"/>
          <w:color w:val="111111"/>
          <w:sz w:val="20"/>
        </w:rPr>
        <w:t>5</w:t>
      </w:r>
      <w:r>
        <w:fldChar w:fldCharType="end"/>
      </w:r>
      <w:bookmarkEnd w:id="1009"/>
      <w:r>
        <w:rPr>
          <w:rFonts w:ascii="Times New Roman" w:hAnsi="Times New Roman"/>
          <w:color w:val="111111"/>
          <w:sz w:val="20"/>
        </w:rPr>
        <w:t xml:space="preserve"> — Exigences non fonctionnelles</w:t>
      </w:r>
    </w:p>
    <w:tbl>
      <w:tblPr>
        <w:tblStyle w:val="TableGrid"/>
        <w:tblW w:type="dxa" w:w="8788"/>
        <w:jc w:val="left"/>
        <w:tblLayout w:type="fixed"/>
        <w:tblLook w:firstColumn="1" w:firstRow="1" w:lastColumn="0" w:lastRow="0" w:noHBand="0" w:noVBand="1" w:val="04A0"/>
        <w:tblInd w:w="120" w:type="dxa"/>
      </w:tblPr>
      <w:tblGrid>
        <w:gridCol w:w="2131"/>
        <w:gridCol w:w="6657"/>
      </w:tblGrid>
      <w:tr>
        <w:trPr>
          <w:tblHeader w:val="true"/>
        </w:trPr>
        <w:tc>
          <w:tcPr>
            <w:tcW w:type="dxa" w:w="213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Catégorie</w:t>
            </w:r>
          </w:p>
        </w:tc>
        <w:tc>
          <w:tcPr>
            <w:tcW w:type="dxa" w:w="6657"/>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Exigence vérifiable</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Sécurité</w:t>
            </w:r>
          </w:p>
        </w:tc>
        <w:tc>
          <w:tcPr>
            <w:tcW w:type="dxa" w:w="665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Authentification, mots de passe chiffrés, autorisations, validation et protection des fichiers.</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Performance</w:t>
            </w:r>
          </w:p>
        </w:tc>
        <w:tc>
          <w:tcPr>
            <w:tcW w:type="dxa" w:w="665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Pagination côté serveur pour les listes volumineuses et chargement différé des scènes 3D.</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Ergonomie</w:t>
            </w:r>
          </w:p>
        </w:tc>
        <w:tc>
          <w:tcPr>
            <w:tcW w:type="dxa" w:w="665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Navigation cohérente, feedback d'erreur, filtres lisibles et design responsive.</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Maintenabilité</w:t>
            </w:r>
          </w:p>
        </w:tc>
        <w:tc>
          <w:tcPr>
            <w:tcW w:type="dxa" w:w="665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Séparation frontend/backend et organisation backend par couches.</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Fiabilité</w:t>
            </w:r>
          </w:p>
        </w:tc>
        <w:tc>
          <w:tcPr>
            <w:tcW w:type="dxa" w:w="665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Migrations Flyway, initialisation idempotente, sauvegarde et restauration documentées.</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Testabilité</w:t>
            </w:r>
          </w:p>
        </w:tc>
        <w:tc>
          <w:tcPr>
            <w:tcW w:type="dxa" w:w="665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Tests backend et scénarios navigateur isolés de la base métier.</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Déployabilité</w:t>
            </w:r>
          </w:p>
        </w:tc>
        <w:tc>
          <w:tcPr>
            <w:tcW w:type="dxa" w:w="665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Build reproductible et modèles Nginx/systemd pour un serveur Linux.</w:t>
            </w:r>
          </w:p>
        </w:tc>
      </w:tr>
    </w:tbl>
    <w:p>
      <w:pPr>
        <w:spacing w:after="40"/>
      </w:pPr>
    </w:p>
    <w:p>
      <w:pPr>
        <w:pStyle w:val="Heading2"/>
      </w:pPr>
      <w:r>
        <w:rPr>
          <w:rFonts w:ascii="Times New Roman" w:hAnsi="Times New Roman"/>
          <w:color w:val="111111"/>
          <w:sz w:val="24"/>
        </w:rPr>
        <w:t>2.7 Périmètre du projet</w:t>
      </w:r>
    </w:p>
    <w:p>
      <w:r>
        <w:rPr>
          <w:rFonts w:ascii="Times New Roman" w:hAnsi="Times New Roman" w:eastAsia="Times New Roman"/>
          <w:color w:val="111111"/>
          <w:sz w:val="24"/>
        </w:rPr>
        <w:t>Le périmètre livré couvre le site web public, l'administration, l'API REST, la base MySQL, la gestion locale des fichiers, les notifications internes, l'envoi externe optionnel par courriel ou SMS, la visualisation 3D, les tests et les éléments de déploiement. La solution n'est pas une application mobile native ; elle est responsive et installable comme application web progressive lorsque les conditions du navigateur sont réunies.</w:t>
      </w:r>
    </w:p>
    <w:p>
      <w:r>
        <w:rPr>
          <w:rFonts w:ascii="Times New Roman" w:hAnsi="Times New Roman" w:eastAsia="Times New Roman"/>
          <w:color w:val="111111"/>
          <w:sz w:val="24"/>
        </w:rPr>
        <w:t>Les fonctions de paiement, de commande en ligne, de facturation, de gestion de stock industriel ou d'intégration avec un ERP ne font pas partie de cette version. Cette délimitation évite de confondre la gestion des demandes commerciales avec un système transactionnel complet.</w:t>
      </w:r>
    </w:p>
    <w:p>
      <w:pPr>
        <w:pStyle w:val="Heading2"/>
      </w:pPr>
      <w:r>
        <w:rPr>
          <w:rFonts w:ascii="Times New Roman" w:hAnsi="Times New Roman"/>
          <w:color w:val="111111"/>
          <w:sz w:val="24"/>
        </w:rPr>
        <w:t>2.8 Méthodologie de travail</w:t>
      </w:r>
    </w:p>
    <w:p>
      <w:r>
        <w:rPr>
          <w:rFonts w:ascii="Times New Roman" w:hAnsi="Times New Roman" w:eastAsia="Times New Roman"/>
          <w:color w:val="111111"/>
          <w:sz w:val="24"/>
        </w:rPr>
        <w:t>La réalisation a suivi une démarche itérative inspirée des méthodes agiles. Chaque étape a associé observation, correction ciblée et vérification. Les retours visuels ont permis d'améliorer progressivement les pages publiques et administratives, tandis que les recettes techniques ont guidé le renforcement du backend, de la sécurité, de la pagination et du déploiement.</w:t>
      </w:r>
    </w:p>
    <w:p>
      <w:pPr>
        <w:pStyle w:val="ListNumber"/>
        <w:numPr>
          <w:ilvl w:val="0"/>
          <w:numId w:val="4"/>
        </w:numPr>
      </w:pPr>
      <w:r>
        <w:rPr>
          <w:rFonts w:ascii="Times New Roman" w:hAnsi="Times New Roman" w:eastAsia="Times New Roman"/>
          <w:color w:val="111111"/>
          <w:sz w:val="24"/>
        </w:rPr>
        <w:t>Analyser l'existant et identifier les besoins prioritaires.</w:t>
      </w:r>
    </w:p>
    <w:p>
      <w:pPr>
        <w:pStyle w:val="ListNumber"/>
      </w:pPr>
      <w:r>
        <w:rPr>
          <w:rFonts w:ascii="Times New Roman" w:hAnsi="Times New Roman" w:eastAsia="Times New Roman"/>
          <w:color w:val="111111"/>
          <w:sz w:val="24"/>
        </w:rPr>
        <w:t>Mettre en place l'architecture frontend, backend et base de données.</w:t>
      </w:r>
    </w:p>
    <w:p>
      <w:pPr>
        <w:pStyle w:val="ListNumber"/>
      </w:pPr>
      <w:r>
        <w:rPr>
          <w:rFonts w:ascii="Times New Roman" w:hAnsi="Times New Roman" w:eastAsia="Times New Roman"/>
          <w:color w:val="111111"/>
          <w:sz w:val="24"/>
        </w:rPr>
        <w:t>Développer les parcours publics et les fonctions administratives.</w:t>
      </w:r>
    </w:p>
    <w:p>
      <w:pPr>
        <w:pStyle w:val="ListNumber"/>
      </w:pPr>
      <w:r>
        <w:rPr>
          <w:rFonts w:ascii="Times New Roman" w:hAnsi="Times New Roman" w:eastAsia="Times New Roman"/>
          <w:color w:val="111111"/>
          <w:sz w:val="24"/>
        </w:rPr>
        <w:t>Corriger les incohérences fonctionnelles et visuelles observées.</w:t>
      </w:r>
    </w:p>
    <w:p>
      <w:pPr>
        <w:pStyle w:val="ListNumber"/>
      </w:pPr>
      <w:r>
        <w:rPr>
          <w:rFonts w:ascii="Times New Roman" w:hAnsi="Times New Roman" w:eastAsia="Times New Roman"/>
          <w:color w:val="111111"/>
          <w:sz w:val="24"/>
        </w:rPr>
        <w:t>Renforcer la sécurité, la gestion des fichiers et la persistance.</w:t>
      </w:r>
    </w:p>
    <w:p>
      <w:pPr>
        <w:pStyle w:val="ListNumber"/>
      </w:pPr>
      <w:r>
        <w:rPr>
          <w:rFonts w:ascii="Times New Roman" w:hAnsi="Times New Roman" w:eastAsia="Times New Roman"/>
          <w:color w:val="111111"/>
          <w:sz w:val="24"/>
        </w:rPr>
        <w:t>Ajouter des tests automatisés et effectuer une recette responsive.</w:t>
      </w:r>
    </w:p>
    <w:p>
      <w:pPr>
        <w:pStyle w:val="ListNumber"/>
      </w:pPr>
      <w:r>
        <w:rPr>
          <w:rFonts w:ascii="Times New Roman" w:hAnsi="Times New Roman" w:eastAsia="Times New Roman"/>
          <w:color w:val="111111"/>
          <w:sz w:val="24"/>
        </w:rPr>
        <w:t>Préparer la sauvegarde, le déploiement et une Release Candidate.</w:t>
      </w:r>
    </w:p>
    <w:p>
      <w:pPr>
        <w:pStyle w:val="Heading2"/>
      </w:pPr>
      <w:r>
        <w:rPr>
          <w:rFonts w:ascii="Times New Roman" w:hAnsi="Times New Roman"/>
          <w:color w:val="111111"/>
          <w:sz w:val="24"/>
        </w:rPr>
        <w:t>2.9 Planification</w:t>
      </w:r>
    </w:p>
    <w:p>
      <w:pPr>
        <w:pStyle w:val="TableCaption"/>
        <w:jc w:val="center"/>
      </w:pPr>
      <w:bookmarkStart w:id="1010" w:name="tab_2_6"/>
      <w:r>
        <w:rPr>
          <w:rFonts w:ascii="Times New Roman" w:hAnsi="Times New Roman"/>
          <w:color w:val="111111"/>
          <w:sz w:val="20"/>
        </w:rPr>
        <w:t>Tableau 2.</w:t>
      </w:r>
      <w:r>
        <w:fldChar w:fldCharType="begin"/>
      </w:r>
      <w:r>
        <w:instrText xml:space="preserve">SEQ Tableau2 \* ARABIC</w:instrText>
      </w:r>
      <w:r>
        <w:fldChar w:fldCharType="separate"/>
      </w:r>
      <w:r>
        <w:rPr>
          <w:rFonts w:ascii="Times New Roman" w:hAnsi="Times New Roman"/>
          <w:color w:val="111111"/>
          <w:sz w:val="20"/>
        </w:rPr>
        <w:t>6</w:t>
      </w:r>
      <w:r>
        <w:fldChar w:fldCharType="end"/>
      </w:r>
      <w:bookmarkEnd w:id="1010"/>
      <w:r>
        <w:rPr>
          <w:rFonts w:ascii="Times New Roman" w:hAnsi="Times New Roman"/>
          <w:color w:val="111111"/>
          <w:sz w:val="20"/>
        </w:rPr>
        <w:t xml:space="preserve"> — Planification par phases</w:t>
      </w:r>
    </w:p>
    <w:tbl>
      <w:tblPr>
        <w:tblStyle w:val="TableGrid"/>
        <w:tblW w:type="dxa" w:w="8788"/>
        <w:jc w:val="left"/>
        <w:tblLayout w:type="fixed"/>
        <w:tblLook w:firstColumn="1" w:firstRow="1" w:lastColumn="0" w:lastRow="0" w:noHBand="0" w:noVBand="1" w:val="04A0"/>
        <w:tblInd w:w="120" w:type="dxa"/>
      </w:tblPr>
      <w:tblGrid>
        <w:gridCol w:w="1840"/>
        <w:gridCol w:w="5107"/>
        <w:gridCol w:w="1841"/>
      </w:tblGrid>
      <w:tr>
        <w:trPr>
          <w:tblHeader w:val="true"/>
        </w:trPr>
        <w:tc>
          <w:tcPr>
            <w:tcW w:type="dxa" w:w="1840"/>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Phase</w:t>
            </w:r>
          </w:p>
        </w:tc>
        <w:tc>
          <w:tcPr>
            <w:tcW w:type="dxa" w:w="5107"/>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Livrables</w:t>
            </w:r>
          </w:p>
        </w:tc>
        <w:tc>
          <w:tcPr>
            <w:tcW w:type="dxa" w:w="184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Période</w:t>
            </w:r>
          </w:p>
        </w:tc>
      </w:tr>
      <w:tr>
        <w:tc>
          <w:tcPr>
            <w:tcW w:type="dxa" w:w="1840"/>
            <w:vAlign w:val="center"/>
            <w:tcMar>
              <w:top w:w="90" w:type="dxa"/>
              <w:bottom w:w="90" w:type="dxa"/>
              <w:start w:w="120" w:type="dxa"/>
              <w:end w:w="120" w:type="dxa"/>
            </w:tcMar>
          </w:tcPr>
          <w:p>
            <w:r>
              <w:rPr>
                <w:rFonts w:ascii="Times New Roman" w:hAnsi="Times New Roman"/>
                <w:color w:val="111111"/>
                <w:sz w:val="19"/>
              </w:rPr>
              <w:t>1. Cadrage et contexte</w:t>
            </w:r>
          </w:p>
        </w:tc>
        <w:tc>
          <w:tcPr>
            <w:tcW w:type="dxa" w:w="5107"/>
            <w:vAlign w:val="center"/>
            <w:tcMar>
              <w:top w:w="90" w:type="dxa"/>
              <w:bottom w:w="90" w:type="dxa"/>
              <w:start w:w="120" w:type="dxa"/>
              <w:end w:w="120" w:type="dxa"/>
            </w:tcMar>
          </w:tcPr>
          <w:p>
            <w:r>
              <w:rPr>
                <w:rFonts w:ascii="Times New Roman" w:hAnsi="Times New Roman"/>
                <w:color w:val="111111"/>
                <w:sz w:val="19"/>
              </w:rPr>
              <w:t>Besoins, acteurs, périmètre et architecture initiale.</w:t>
            </w:r>
          </w:p>
        </w:tc>
        <w:tc>
          <w:tcPr>
            <w:tcW w:type="dxa" w:w="1841"/>
            <w:vAlign w:val="center"/>
            <w:tcMar>
              <w:top w:w="90" w:type="dxa"/>
              <w:bottom w:w="90" w:type="dxa"/>
              <w:start w:w="120" w:type="dxa"/>
              <w:end w:w="120" w:type="dxa"/>
            </w:tcMar>
          </w:tcPr>
          <w:p>
            <w:r>
              <w:rPr>
                <w:rFonts w:ascii="Times New Roman" w:hAnsi="Times New Roman"/>
                <w:color w:val="111111"/>
                <w:sz w:val="19"/>
              </w:rPr>
              <w:t>01–31 mars 2026 — période reconstituée, à confirmer</w:t>
            </w:r>
          </w:p>
        </w:tc>
      </w:tr>
      <w:tr>
        <w:tc>
          <w:tcPr>
            <w:tcW w:type="dxa" w:w="1840"/>
            <w:shd w:fill="F7FAF8"/>
            <w:vAlign w:val="center"/>
            <w:tcMar>
              <w:top w:w="90" w:type="dxa"/>
              <w:bottom w:w="90" w:type="dxa"/>
              <w:start w:w="120" w:type="dxa"/>
              <w:end w:w="120" w:type="dxa"/>
            </w:tcMar>
          </w:tcPr>
          <w:p>
            <w:r>
              <w:rPr>
                <w:rFonts w:ascii="Times New Roman" w:hAnsi="Times New Roman"/>
                <w:color w:val="111111"/>
                <w:sz w:val="19"/>
              </w:rPr>
              <w:t>2. Analyse des besoins</w:t>
            </w:r>
          </w:p>
        </w:tc>
        <w:tc>
          <w:tcPr>
            <w:tcW w:type="dxa" w:w="5107"/>
            <w:shd w:fill="F7FAF8"/>
            <w:vAlign w:val="center"/>
            <w:tcMar>
              <w:top w:w="90" w:type="dxa"/>
              <w:bottom w:w="90" w:type="dxa"/>
              <w:start w:w="120" w:type="dxa"/>
              <w:end w:w="120" w:type="dxa"/>
            </w:tcMar>
          </w:tcPr>
          <w:p>
            <w:r>
              <w:rPr>
                <w:rFonts w:ascii="Times New Roman" w:hAnsi="Times New Roman"/>
                <w:color w:val="111111"/>
                <w:sz w:val="19"/>
              </w:rPr>
              <w:t>Parcours publics et administratifs, contraintes et priorités.</w:t>
            </w:r>
          </w:p>
        </w:tc>
        <w:tc>
          <w:tcPr>
            <w:tcW w:type="dxa" w:w="1841"/>
            <w:shd w:fill="F7FAF8"/>
            <w:vAlign w:val="center"/>
            <w:tcMar>
              <w:top w:w="90" w:type="dxa"/>
              <w:bottom w:w="90" w:type="dxa"/>
              <w:start w:w="120" w:type="dxa"/>
              <w:end w:w="120" w:type="dxa"/>
            </w:tcMar>
          </w:tcPr>
          <w:p>
            <w:r>
              <w:rPr>
                <w:rFonts w:ascii="Times New Roman" w:hAnsi="Times New Roman"/>
                <w:color w:val="111111"/>
                <w:sz w:val="19"/>
              </w:rPr>
              <w:t>01–30 avril 2026 — période reconstituée, à confirmer</w:t>
            </w:r>
          </w:p>
        </w:tc>
      </w:tr>
      <w:tr>
        <w:tc>
          <w:tcPr>
            <w:tcW w:type="dxa" w:w="1840"/>
            <w:vAlign w:val="center"/>
            <w:tcMar>
              <w:top w:w="90" w:type="dxa"/>
              <w:bottom w:w="90" w:type="dxa"/>
              <w:start w:w="120" w:type="dxa"/>
              <w:end w:w="120" w:type="dxa"/>
            </w:tcMar>
          </w:tcPr>
          <w:p>
            <w:r>
              <w:rPr>
                <w:rFonts w:ascii="Times New Roman" w:hAnsi="Times New Roman"/>
                <w:color w:val="111111"/>
                <w:sz w:val="19"/>
              </w:rPr>
              <w:t>3. Conception</w:t>
            </w:r>
          </w:p>
        </w:tc>
        <w:tc>
          <w:tcPr>
            <w:tcW w:type="dxa" w:w="5107"/>
            <w:vAlign w:val="center"/>
            <w:tcMar>
              <w:top w:w="90" w:type="dxa"/>
              <w:bottom w:w="90" w:type="dxa"/>
              <w:start w:w="120" w:type="dxa"/>
              <w:end w:w="120" w:type="dxa"/>
            </w:tcMar>
          </w:tcPr>
          <w:p>
            <w:r>
              <w:rPr>
                <w:rFonts w:ascii="Times New Roman" w:hAnsi="Times New Roman"/>
                <w:color w:val="111111"/>
                <w:sz w:val="19"/>
              </w:rPr>
              <w:t>Architecture, modèle métier et conception des interfaces.</w:t>
            </w:r>
          </w:p>
        </w:tc>
        <w:tc>
          <w:tcPr>
            <w:tcW w:type="dxa" w:w="1841"/>
            <w:vAlign w:val="center"/>
            <w:tcMar>
              <w:top w:w="90" w:type="dxa"/>
              <w:bottom w:w="90" w:type="dxa"/>
              <w:start w:w="120" w:type="dxa"/>
              <w:end w:w="120" w:type="dxa"/>
            </w:tcMar>
          </w:tcPr>
          <w:p>
            <w:r>
              <w:rPr>
                <w:rFonts w:ascii="Times New Roman" w:hAnsi="Times New Roman"/>
                <w:color w:val="111111"/>
                <w:sz w:val="19"/>
              </w:rPr>
              <w:t>01–31 mai 2026 — période reconstituée, à confirmer</w:t>
            </w:r>
          </w:p>
        </w:tc>
      </w:tr>
      <w:tr>
        <w:tc>
          <w:tcPr>
            <w:tcW w:type="dxa" w:w="1840"/>
            <w:shd w:fill="F7FAF8"/>
            <w:vAlign w:val="center"/>
            <w:tcMar>
              <w:top w:w="90" w:type="dxa"/>
              <w:bottom w:w="90" w:type="dxa"/>
              <w:start w:w="120" w:type="dxa"/>
              <w:end w:w="120" w:type="dxa"/>
            </w:tcMar>
          </w:tcPr>
          <w:p>
            <w:r>
              <w:rPr>
                <w:rFonts w:ascii="Times New Roman" w:hAnsi="Times New Roman"/>
                <w:color w:val="111111"/>
                <w:sz w:val="19"/>
              </w:rPr>
              <w:t>4. Développement initial</w:t>
            </w:r>
          </w:p>
        </w:tc>
        <w:tc>
          <w:tcPr>
            <w:tcW w:type="dxa" w:w="5107"/>
            <w:shd w:fill="F7FAF8"/>
            <w:vAlign w:val="center"/>
            <w:tcMar>
              <w:top w:w="90" w:type="dxa"/>
              <w:bottom w:w="90" w:type="dxa"/>
              <w:start w:w="120" w:type="dxa"/>
              <w:end w:w="120" w:type="dxa"/>
            </w:tcMar>
          </w:tcPr>
          <w:p>
            <w:r>
              <w:rPr>
                <w:rFonts w:ascii="Times New Roman" w:hAnsi="Times New Roman"/>
                <w:color w:val="111111"/>
                <w:sz w:val="19"/>
              </w:rPr>
              <w:t>Première réalisation frontend/backend et intégration.</w:t>
            </w:r>
          </w:p>
        </w:tc>
        <w:tc>
          <w:tcPr>
            <w:tcW w:type="dxa" w:w="1841"/>
            <w:shd w:fill="F7FAF8"/>
            <w:vAlign w:val="center"/>
            <w:tcMar>
              <w:top w:w="90" w:type="dxa"/>
              <w:bottom w:w="90" w:type="dxa"/>
              <w:start w:w="120" w:type="dxa"/>
              <w:end w:w="120" w:type="dxa"/>
            </w:tcMar>
          </w:tcPr>
          <w:p>
            <w:r>
              <w:rPr>
                <w:rFonts w:ascii="Times New Roman" w:hAnsi="Times New Roman"/>
                <w:color w:val="111111"/>
                <w:sz w:val="19"/>
              </w:rPr>
              <w:t>01 juin–27 juillet 2026 — période reconstituée, à confirmer</w:t>
            </w:r>
          </w:p>
        </w:tc>
      </w:tr>
      <w:tr>
        <w:tc>
          <w:tcPr>
            <w:tcW w:type="dxa" w:w="1840"/>
            <w:vAlign w:val="center"/>
            <w:tcMar>
              <w:top w:w="90" w:type="dxa"/>
              <w:bottom w:w="90" w:type="dxa"/>
              <w:start w:w="120" w:type="dxa"/>
              <w:end w:w="120" w:type="dxa"/>
            </w:tcMar>
          </w:tcPr>
          <w:p>
            <w:r>
              <w:rPr>
                <w:rFonts w:ascii="Times New Roman" w:hAnsi="Times New Roman"/>
                <w:color w:val="111111"/>
                <w:sz w:val="19"/>
              </w:rPr>
              <w:t>5. Restauration et corrections</w:t>
            </w:r>
          </w:p>
        </w:tc>
        <w:tc>
          <w:tcPr>
            <w:tcW w:type="dxa" w:w="5107"/>
            <w:vAlign w:val="center"/>
            <w:tcMar>
              <w:top w:w="90" w:type="dxa"/>
              <w:bottom w:w="90" w:type="dxa"/>
              <w:start w:w="120" w:type="dxa"/>
              <w:end w:w="120" w:type="dxa"/>
            </w:tcMar>
          </w:tcPr>
          <w:p>
            <w:r>
              <w:rPr>
                <w:rFonts w:ascii="Times New Roman" w:hAnsi="Times New Roman"/>
                <w:color w:val="111111"/>
                <w:sz w:val="19"/>
              </w:rPr>
              <w:t>Fonctions Admin, catalogue, images et formulaires.</w:t>
            </w:r>
          </w:p>
        </w:tc>
        <w:tc>
          <w:tcPr>
            <w:tcW w:type="dxa" w:w="1841"/>
            <w:vAlign w:val="center"/>
            <w:tcMar>
              <w:top w:w="90" w:type="dxa"/>
              <w:bottom w:w="90" w:type="dxa"/>
              <w:start w:w="120" w:type="dxa"/>
              <w:end w:w="120" w:type="dxa"/>
            </w:tcMar>
          </w:tcPr>
          <w:p>
            <w:r>
              <w:rPr>
                <w:rFonts w:ascii="Times New Roman" w:hAnsi="Times New Roman"/>
                <w:color w:val="111111"/>
                <w:sz w:val="19"/>
              </w:rPr>
              <w:t>28 juillet–06 août 2026 — preuves Git</w:t>
            </w:r>
          </w:p>
        </w:tc>
      </w:tr>
      <w:tr>
        <w:tc>
          <w:tcPr>
            <w:tcW w:type="dxa" w:w="1840"/>
            <w:shd w:fill="F7FAF8"/>
            <w:vAlign w:val="center"/>
            <w:tcMar>
              <w:top w:w="90" w:type="dxa"/>
              <w:bottom w:w="90" w:type="dxa"/>
              <w:start w:w="120" w:type="dxa"/>
              <w:end w:w="120" w:type="dxa"/>
            </w:tcMar>
          </w:tcPr>
          <w:p>
            <w:r>
              <w:rPr>
                <w:rFonts w:ascii="Times New Roman" w:hAnsi="Times New Roman"/>
                <w:color w:val="111111"/>
                <w:sz w:val="19"/>
              </w:rPr>
              <w:t>6. Stabilisation</w:t>
            </w:r>
          </w:p>
        </w:tc>
        <w:tc>
          <w:tcPr>
            <w:tcW w:type="dxa" w:w="5107"/>
            <w:shd w:fill="F7FAF8"/>
            <w:vAlign w:val="center"/>
            <w:tcMar>
              <w:top w:w="90" w:type="dxa"/>
              <w:bottom w:w="90" w:type="dxa"/>
              <w:start w:w="120" w:type="dxa"/>
              <w:end w:w="120" w:type="dxa"/>
            </w:tcMar>
          </w:tcPr>
          <w:p>
            <w:r>
              <w:rPr>
                <w:rFonts w:ascii="Times New Roman" w:hAnsi="Times New Roman"/>
                <w:color w:val="111111"/>
                <w:sz w:val="19"/>
              </w:rPr>
              <w:t>Expérience frontend, sécurité, fichiers, tests et préparation RC1.</w:t>
            </w:r>
          </w:p>
        </w:tc>
        <w:tc>
          <w:tcPr>
            <w:tcW w:type="dxa" w:w="1841"/>
            <w:shd w:fill="F7FAF8"/>
            <w:vAlign w:val="center"/>
            <w:tcMar>
              <w:top w:w="90" w:type="dxa"/>
              <w:bottom w:w="90" w:type="dxa"/>
              <w:start w:w="120" w:type="dxa"/>
              <w:end w:w="120" w:type="dxa"/>
            </w:tcMar>
          </w:tcPr>
          <w:p>
            <w:r>
              <w:rPr>
                <w:rFonts w:ascii="Times New Roman" w:hAnsi="Times New Roman"/>
                <w:color w:val="111111"/>
                <w:sz w:val="19"/>
              </w:rPr>
              <w:t>06–17 août 2026 — preuves Git</w:t>
            </w:r>
          </w:p>
        </w:tc>
      </w:tr>
      <w:tr>
        <w:tc>
          <w:tcPr>
            <w:tcW w:type="dxa" w:w="1840"/>
            <w:vAlign w:val="center"/>
            <w:tcMar>
              <w:top w:w="90" w:type="dxa"/>
              <w:bottom w:w="90" w:type="dxa"/>
              <w:start w:w="120" w:type="dxa"/>
              <w:end w:w="120" w:type="dxa"/>
            </w:tcMar>
          </w:tcPr>
          <w:p>
            <w:r>
              <w:rPr>
                <w:rFonts w:ascii="Times New Roman" w:hAnsi="Times New Roman"/>
                <w:color w:val="111111"/>
                <w:sz w:val="19"/>
              </w:rPr>
              <w:t>7. Recette et clôture</w:t>
            </w:r>
          </w:p>
        </w:tc>
        <w:tc>
          <w:tcPr>
            <w:tcW w:type="dxa" w:w="5107"/>
            <w:vAlign w:val="center"/>
            <w:tcMar>
              <w:top w:w="90" w:type="dxa"/>
              <w:bottom w:w="90" w:type="dxa"/>
              <w:start w:w="120" w:type="dxa"/>
              <w:end w:w="120" w:type="dxa"/>
            </w:tcMar>
          </w:tcPr>
          <w:p>
            <w:r>
              <w:rPr>
                <w:rFonts w:ascii="Times New Roman" w:hAnsi="Times New Roman"/>
                <w:color w:val="111111"/>
                <w:sz w:val="19"/>
              </w:rPr>
              <w:t>Recette, documentation et fin de la période de stage.</w:t>
            </w:r>
          </w:p>
        </w:tc>
        <w:tc>
          <w:tcPr>
            <w:tcW w:type="dxa" w:w="1841"/>
            <w:vAlign w:val="center"/>
            <w:tcMar>
              <w:top w:w="90" w:type="dxa"/>
              <w:bottom w:w="90" w:type="dxa"/>
              <w:start w:w="120" w:type="dxa"/>
              <w:end w:w="120" w:type="dxa"/>
            </w:tcMar>
          </w:tcPr>
          <w:p>
            <w:r>
              <w:rPr>
                <w:rFonts w:ascii="Times New Roman" w:hAnsi="Times New Roman"/>
                <w:color w:val="111111"/>
                <w:sz w:val="19"/>
              </w:rPr>
              <w:t>18–31 août 2026 — période reconstituée, à confirmer</w:t>
            </w:r>
          </w:p>
        </w:tc>
      </w:tr>
    </w:tbl>
    <w:p>
      <w:pPr>
        <w:spacing w:after="40"/>
      </w:pPr>
    </w:p>
    <w:p>
      <w:pPr>
        <w:pStyle w:val="Heading2"/>
      </w:pPr>
      <w:r>
        <w:rPr>
          <w:rFonts w:ascii="Times New Roman" w:hAnsi="Times New Roman"/>
          <w:color w:val="111111"/>
          <w:sz w:val="24"/>
        </w:rPr>
        <w:t>2.10 Gestion des risques et confidentialité</w:t>
      </w:r>
    </w:p>
    <w:p>
      <w:pPr>
        <w:pStyle w:val="TableCaption"/>
        <w:jc w:val="center"/>
      </w:pPr>
      <w:bookmarkStart w:id="1011" w:name="tab_2_7"/>
      <w:r>
        <w:rPr>
          <w:rFonts w:ascii="Times New Roman" w:hAnsi="Times New Roman"/>
          <w:color w:val="111111"/>
          <w:sz w:val="20"/>
        </w:rPr>
        <w:t>Tableau 2.</w:t>
      </w:r>
      <w:r>
        <w:fldChar w:fldCharType="begin"/>
      </w:r>
      <w:r>
        <w:instrText xml:space="preserve">SEQ Tableau2 \* ARABIC</w:instrText>
      </w:r>
      <w:r>
        <w:fldChar w:fldCharType="separate"/>
      </w:r>
      <w:r>
        <w:rPr>
          <w:rFonts w:ascii="Times New Roman" w:hAnsi="Times New Roman"/>
          <w:color w:val="111111"/>
          <w:sz w:val="20"/>
        </w:rPr>
        <w:t>7</w:t>
      </w:r>
      <w:r>
        <w:fldChar w:fldCharType="end"/>
      </w:r>
      <w:bookmarkEnd w:id="1011"/>
      <w:r>
        <w:rPr>
          <w:rFonts w:ascii="Times New Roman" w:hAnsi="Times New Roman"/>
          <w:color w:val="111111"/>
          <w:sz w:val="20"/>
        </w:rPr>
        <w:t xml:space="preserve"> — Principaux risques du projet</w:t>
      </w:r>
    </w:p>
    <w:tbl>
      <w:tblPr>
        <w:tblStyle w:val="TableGrid"/>
        <w:tblW w:type="dxa" w:w="8788"/>
        <w:jc w:val="left"/>
        <w:tblLayout w:type="fixed"/>
        <w:tblLook w:firstColumn="1" w:firstRow="1" w:lastColumn="0" w:lastRow="0" w:noHBand="0" w:noVBand="1" w:val="04A0"/>
        <w:tblInd w:w="120" w:type="dxa"/>
      </w:tblPr>
      <w:tblGrid>
        <w:gridCol w:w="2518"/>
        <w:gridCol w:w="2395"/>
        <w:gridCol w:w="3875"/>
      </w:tblGrid>
      <w:tr>
        <w:trPr>
          <w:tblHeader w:val="true"/>
        </w:trPr>
        <w:tc>
          <w:tcPr>
            <w:tcW w:type="dxa" w:w="2518"/>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Risque</w:t>
            </w:r>
          </w:p>
        </w:tc>
        <w:tc>
          <w:tcPr>
            <w:tcW w:type="dxa" w:w="2395"/>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Impact</w:t>
            </w:r>
          </w:p>
        </w:tc>
        <w:tc>
          <w:tcPr>
            <w:tcW w:type="dxa" w:w="3875"/>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Mesure appliquée</w:t>
            </w:r>
          </w:p>
        </w:tc>
      </w:tr>
      <w:tr>
        <w:tc>
          <w:tcPr>
            <w:tcW w:type="dxa" w:w="251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Accès non autorisé</w:t>
            </w:r>
          </w:p>
        </w:tc>
        <w:tc>
          <w:tcPr>
            <w:tcW w:type="dxa" w:w="239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Exposition des données Admin</w:t>
            </w:r>
          </w:p>
        </w:tc>
        <w:tc>
          <w:tcPr>
            <w:tcW w:type="dxa" w:w="387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Spring Security, JWT et routes protégées.</w:t>
            </w:r>
          </w:p>
        </w:tc>
      </w:tr>
      <w:tr>
        <w:tc>
          <w:tcPr>
            <w:tcW w:type="dxa" w:w="2518"/>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Mot de passe compromis</w:t>
            </w:r>
          </w:p>
        </w:tc>
        <w:tc>
          <w:tcPr>
            <w:tcW w:type="dxa" w:w="239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Usurpation du compte</w:t>
            </w:r>
          </w:p>
        </w:tc>
        <w:tc>
          <w:tcPr>
            <w:tcW w:type="dxa" w:w="387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BCrypt, changement contrôlé et Passkey optionnelle.</w:t>
            </w:r>
          </w:p>
        </w:tc>
      </w:tr>
      <w:tr>
        <w:tc>
          <w:tcPr>
            <w:tcW w:type="dxa" w:w="251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Upload dangereux</w:t>
            </w:r>
          </w:p>
        </w:tc>
        <w:tc>
          <w:tcPr>
            <w:tcW w:type="dxa" w:w="239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Fichier invalide ou trop volumineux</w:t>
            </w:r>
          </w:p>
        </w:tc>
        <w:tc>
          <w:tcPr>
            <w:tcW w:type="dxa" w:w="387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Validation du type, de la taille et stockage contrôlé.</w:t>
            </w:r>
          </w:p>
        </w:tc>
      </w:tr>
      <w:tr>
        <w:tc>
          <w:tcPr>
            <w:tcW w:type="dxa" w:w="2518"/>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Surcharge d'un endpoint public</w:t>
            </w:r>
          </w:p>
        </w:tc>
        <w:tc>
          <w:tcPr>
            <w:tcW w:type="dxa" w:w="239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Dégradation du service</w:t>
            </w:r>
          </w:p>
        </w:tc>
        <w:tc>
          <w:tcPr>
            <w:tcW w:type="dxa" w:w="387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Rate limiting par IP sur les routes sensibles.</w:t>
            </w:r>
          </w:p>
        </w:tc>
      </w:tr>
      <w:tr>
        <w:tc>
          <w:tcPr>
            <w:tcW w:type="dxa" w:w="251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Perte de données</w:t>
            </w:r>
          </w:p>
        </w:tc>
        <w:tc>
          <w:tcPr>
            <w:tcW w:type="dxa" w:w="239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Interruption ou perte métier</w:t>
            </w:r>
          </w:p>
        </w:tc>
        <w:tc>
          <w:tcPr>
            <w:tcW w:type="dxa" w:w="387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Migrations et scripts de sauvegarde/restauration.</w:t>
            </w:r>
          </w:p>
        </w:tc>
      </w:tr>
      <w:tr>
        <w:tc>
          <w:tcPr>
            <w:tcW w:type="dxa" w:w="2518"/>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Régression interface</w:t>
            </w:r>
          </w:p>
        </w:tc>
        <w:tc>
          <w:tcPr>
            <w:tcW w:type="dxa" w:w="239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Fonctionnalité cassée</w:t>
            </w:r>
          </w:p>
        </w:tc>
        <w:tc>
          <w:tcPr>
            <w:tcW w:type="dxa" w:w="387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Lint, build et scénarios Playwright.</w:t>
            </w:r>
          </w:p>
        </w:tc>
      </w:tr>
    </w:tbl>
    <w:p>
      <w:pPr>
        <w:spacing w:after="40"/>
      </w:pP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fig_2_1 \h \* lower</w:instrText>
      </w:r>
      <w:r>
        <w:fldChar w:fldCharType="separate"/>
      </w:r>
      <w:r>
        <w:rPr>
          <w:rFonts w:ascii="Times New Roman" w:hAnsi="Times New Roman"/>
          <w:color w:val="111111"/>
          <w:sz w:val="20"/>
        </w:rPr>
        <w:t>figure 2.1</w:t>
      </w:r>
      <w:r>
        <w:fldChar w:fldCharType="end"/>
      </w:r>
      <w:r>
        <w:rPr>
          <w:rFonts w:ascii="Times New Roman" w:hAnsi="Times New Roman"/>
          <w:color w:val="111111"/>
          <w:sz w:val="24"/>
        </w:rPr>
        <w:t xml:space="preserve"> synthétise la planification de mars à août 2026. Les phases antérieures au premier historique Git vérifiable sont signalées comme périodes à confirmer ; les travaux de consolidation et la Release Candidate locale sont, eux, appuyés par les traces du dépôt.</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4215128"/>
                  <wp:docPr id="117" name="Picture 117" descr="Image: image8.png"/>
                  <wp:cNvGraphicFramePr>
                    <a:graphicFrameLocks noChangeAspect="1"/>
                  </wp:cNvGraphicFramePr>
                  <a:graphic>
                    <a:graphicData uri="http://schemas.openxmlformats.org/drawingml/2006/picture">
                      <pic:pic>
                        <pic:nvPicPr>
                          <pic:cNvPr id="0" name="07_gantt_mars_aout_2026.png"/>
                          <pic:cNvPicPr/>
                        </pic:nvPicPr>
                        <pic:blipFill>
                          <a:blip r:embed="rId23"/>
                          <a:stretch>
                            <a:fillRect/>
                          </a:stretch>
                        </pic:blipFill>
                        <pic:spPr>
                          <a:xfrm>
                            <a:off x="0" y="0"/>
                            <a:ext cx="5328000" cy="4215128"/>
                          </a:xfrm>
                          <a:prstGeom prst="rect"/>
                        </pic:spPr>
                      </pic:pic>
                    </a:graphicData>
                  </a:graphic>
                </wp:inline>
              </w:drawing>
            </w:r>
          </w:p>
        </w:tc>
      </w:tr>
    </w:tbl>
    <w:p>
      <w:pPr>
        <w:pStyle w:val="FigureCaption"/>
        <w:jc w:val="center"/>
      </w:pPr>
      <w:bookmarkStart w:id="1012" w:name="fig_2_1"/>
      <w:r>
        <w:rPr>
          <w:rFonts w:ascii="Times New Roman" w:hAnsi="Times New Roman"/>
          <w:color w:val="111111"/>
          <w:sz w:val="20"/>
        </w:rPr>
        <w:t>Figure 2.</w:t>
      </w:r>
      <w:r>
        <w:fldChar w:fldCharType="begin"/>
      </w:r>
      <w:r>
        <w:instrText xml:space="preserve">SEQ Figure2 \* ARABIC</w:instrText>
      </w:r>
      <w:r>
        <w:fldChar w:fldCharType="separate"/>
      </w:r>
      <w:r>
        <w:rPr>
          <w:rFonts w:ascii="Times New Roman" w:hAnsi="Times New Roman"/>
          <w:color w:val="111111"/>
          <w:sz w:val="20"/>
        </w:rPr>
        <w:t>1</w:t>
      </w:r>
      <w:r>
        <w:fldChar w:fldCharType="end"/>
      </w:r>
      <w:bookmarkEnd w:id="1012"/>
      <w:r>
        <w:rPr>
          <w:rFonts w:ascii="Times New Roman" w:hAnsi="Times New Roman"/>
          <w:color w:val="111111"/>
          <w:sz w:val="20"/>
        </w:rPr>
        <w:t xml:space="preserve"> — Planification prévisionnelle du projet</w:t>
      </w:r>
    </w:p>
    <w:p>
      <w:pPr>
        <w:pStyle w:val="Heading2"/>
      </w:pPr>
      <w:r>
        <w:rPr>
          <w:rFonts w:ascii="Times New Roman" w:hAnsi="Times New Roman"/>
          <w:color w:val="111111"/>
          <w:sz w:val="24"/>
        </w:rPr>
        <w:t>Conclusion du chapitre 2</w:t>
      </w:r>
    </w:p>
    <w:p>
      <w:r>
        <w:rPr>
          <w:rFonts w:ascii="Times New Roman" w:hAnsi="Times New Roman" w:eastAsia="Times New Roman"/>
          <w:color w:val="111111"/>
          <w:sz w:val="24"/>
        </w:rPr>
        <w:t>Le cadrage a transformé le besoin général en exigences fonctionnelles et non fonctionnelles mesurables. Cette base permet d'aborder la conception technique et les modèles de données avec une séparation claire entre parcours publics et fonctions administratives.</w:t>
      </w:r>
    </w:p>
    <w:p>
      <w:r>
        <w:rPr>
          <w:rFonts w:ascii="Times New Roman" w:hAnsi="Times New Roman"/>
          <w:color w:val="111111"/>
          <w:sz w:val="24"/>
        </w:rPr>
        <w:br w:type="page"/>
      </w:r>
    </w:p>
    <w:p>
      <w:pPr>
        <w:spacing w:before="1600" w:after="240"/>
        <w:jc w:val="center"/>
      </w:pPr>
      <w:r>
        <w:rPr>
          <w:rFonts w:ascii="Times New Roman" w:hAnsi="Times New Roman" w:eastAsia="Arial"/>
          <w:b/>
          <w:color w:val="111111"/>
          <w:sz w:val="24"/>
        </w:rPr>
        <w:t>CHAPITRE 3</w:t>
      </w:r>
    </w:p>
    <w:p>
      <w:pPr>
        <w:pStyle w:val="Heading1"/>
      </w:pPr>
      <w:r>
        <w:rPr>
          <w:rFonts w:ascii="Times New Roman" w:hAnsi="Times New Roman" w:eastAsia="Times New Roman"/>
          <w:b/>
          <w:color w:val="111111"/>
          <w:sz w:val="24"/>
        </w:rPr>
        <w:t>3. Étude, analyse et conception de la solution</w:t>
      </w:r>
    </w:p>
    <w:p>
      <w:pPr>
        <w:spacing w:after="560"/>
        <w:jc w:val="center"/>
      </w:pPr>
      <w:r>
        <w:rPr>
          <w:rFonts w:ascii="Times New Roman" w:hAnsi="Times New Roman" w:eastAsia="Times New Roman"/>
          <w:i/>
          <w:color w:val="111111"/>
          <w:sz w:val="24"/>
        </w:rPr>
        <w:t>Justifier les choix techniques et décrire les interactions, les données et la sécurité.</w:t>
      </w:r>
    </w:p>
    <w:p>
      <w:pPr>
        <w:jc w:val="center"/>
      </w:pPr>
      <w:r>
        <w:rPr>
          <w:rFonts w:ascii="Times New Roman" w:hAnsi="Times New Roman" w:eastAsia="Arial"/>
          <w:color w:val="111111"/>
          <w:sz w:val="24"/>
        </w:rPr>
        <w:t>●</w:t>
      </w:r>
    </w:p>
    <w:p>
      <w:r>
        <w:rPr>
          <w:rFonts w:ascii="Times New Roman" w:hAnsi="Times New Roman"/>
          <w:color w:val="111111"/>
          <w:sz w:val="24"/>
        </w:rPr>
        <w:br w:type="page"/>
      </w:r>
    </w:p>
    <w:p>
      <w:pPr>
        <w:pStyle w:val="Heading2"/>
      </w:pPr>
      <w:r>
        <w:rPr>
          <w:rFonts w:ascii="Times New Roman" w:hAnsi="Times New Roman"/>
          <w:color w:val="111111"/>
          <w:sz w:val="24"/>
        </w:rPr>
        <w:t>Introduction du chapitre</w:t>
      </w:r>
    </w:p>
    <w:p>
      <w:pPr>
        <w:jc w:val="both"/>
      </w:pPr>
      <w:r>
        <w:rPr>
          <w:rFonts w:ascii="Times New Roman" w:hAnsi="Times New Roman"/>
          <w:color w:val="111111"/>
          <w:sz w:val="24"/>
        </w:rPr>
        <w:t>Ce chapitre justifie les technologies retenues et décrit l’architecture, les cas d’utilisation, le modèle de données ainsi que les principaux choix de sécurité.</w:t>
      </w:r>
    </w:p>
    <w:p>
      <w:pPr>
        <w:pStyle w:val="Heading2"/>
      </w:pPr>
      <w:r>
        <w:rPr>
          <w:rFonts w:ascii="Times New Roman" w:hAnsi="Times New Roman"/>
          <w:color w:val="111111"/>
          <w:sz w:val="24"/>
        </w:rPr>
        <w:t>3.1 Critères de choix</w:t>
      </w:r>
    </w:p>
    <w:p>
      <w:r>
        <w:rPr>
          <w:rFonts w:ascii="Times New Roman" w:hAnsi="Times New Roman" w:eastAsia="Times New Roman"/>
          <w:color w:val="111111"/>
          <w:sz w:val="24"/>
        </w:rPr>
        <w:t>Les choix ont été guidés par la capacité à construire rapidement une interface interactive, à exposer une API robuste, à manipuler des données relationnelles et à sécuriser les fonctions administratives. La disponibilité d'un écosystème de tests et la possibilité de préparer un déploiement standard sur Linux ont également été prises en compte.</w:t>
      </w:r>
    </w:p>
    <w:p>
      <w:pPr>
        <w:pStyle w:val="ListBullet"/>
      </w:pPr>
      <w:r>
        <w:rPr>
          <w:rFonts w:ascii="Times New Roman" w:hAnsi="Times New Roman" w:eastAsia="Times New Roman"/>
          <w:color w:val="111111"/>
          <w:sz w:val="24"/>
        </w:rPr>
        <w:t>maturité et documentation des technologies ;</w:t>
      </w:r>
    </w:p>
    <w:p>
      <w:pPr>
        <w:pStyle w:val="ListBullet"/>
      </w:pPr>
      <w:r>
        <w:rPr>
          <w:rFonts w:ascii="Times New Roman" w:hAnsi="Times New Roman" w:eastAsia="Times New Roman"/>
          <w:color w:val="111111"/>
          <w:sz w:val="24"/>
        </w:rPr>
        <w:t>compatibilité avec une architecture web séparant frontend et backend ;</w:t>
      </w:r>
    </w:p>
    <w:p>
      <w:pPr>
        <w:pStyle w:val="ListBullet"/>
      </w:pPr>
      <w:r>
        <w:rPr>
          <w:rFonts w:ascii="Times New Roman" w:hAnsi="Times New Roman" w:eastAsia="Times New Roman"/>
          <w:color w:val="111111"/>
          <w:sz w:val="24"/>
        </w:rPr>
        <w:t>prise en charge de la validation, de la sécurité et de la persistance ;</w:t>
      </w:r>
    </w:p>
    <w:p>
      <w:pPr>
        <w:pStyle w:val="ListBullet"/>
      </w:pPr>
      <w:r>
        <w:rPr>
          <w:rFonts w:ascii="Times New Roman" w:hAnsi="Times New Roman" w:eastAsia="Times New Roman"/>
          <w:color w:val="111111"/>
          <w:sz w:val="24"/>
        </w:rPr>
        <w:t>capacité à gérer des composants interactifs et de la 3D ;</w:t>
      </w:r>
    </w:p>
    <w:p>
      <w:pPr>
        <w:pStyle w:val="ListBullet"/>
      </w:pPr>
      <w:r>
        <w:rPr>
          <w:rFonts w:ascii="Times New Roman" w:hAnsi="Times New Roman" w:eastAsia="Times New Roman"/>
          <w:color w:val="111111"/>
          <w:sz w:val="24"/>
        </w:rPr>
        <w:t>possibilité d'automatiser les tests et le build ;</w:t>
      </w:r>
    </w:p>
    <w:p>
      <w:pPr>
        <w:pStyle w:val="ListBullet"/>
      </w:pPr>
      <w:r>
        <w:rPr>
          <w:rFonts w:ascii="Times New Roman" w:hAnsi="Times New Roman" w:eastAsia="Times New Roman"/>
          <w:color w:val="111111"/>
          <w:sz w:val="24"/>
        </w:rPr>
        <w:t>facilité d'exploitation derrière un reverse proxy.</w:t>
      </w:r>
    </w:p>
    <w:p>
      <w:pPr>
        <w:pStyle w:val="Heading2"/>
      </w:pPr>
      <w:r>
        <w:rPr>
          <w:rFonts w:ascii="Times New Roman" w:hAnsi="Times New Roman"/>
          <w:color w:val="111111"/>
          <w:sz w:val="24"/>
        </w:rPr>
        <w:t>3.2 Étude comparative et choix final</w:t>
      </w:r>
    </w:p>
    <w:p>
      <w:pPr>
        <w:pStyle w:val="TableCaption"/>
        <w:jc w:val="center"/>
      </w:pPr>
      <w:bookmarkStart w:id="1013" w:name="tab_3_1"/>
      <w:r>
        <w:rPr>
          <w:rFonts w:ascii="Times New Roman" w:hAnsi="Times New Roman"/>
          <w:color w:val="111111"/>
          <w:sz w:val="20"/>
        </w:rPr>
        <w:t>Tableau 3.</w:t>
      </w:r>
      <w:r>
        <w:fldChar w:fldCharType="begin"/>
      </w:r>
      <w:r>
        <w:instrText xml:space="preserve">SEQ Tableau3 \* ARABIC</w:instrText>
      </w:r>
      <w:r>
        <w:fldChar w:fldCharType="separate"/>
      </w:r>
      <w:r>
        <w:rPr>
          <w:rFonts w:ascii="Times New Roman" w:hAnsi="Times New Roman"/>
          <w:color w:val="111111"/>
          <w:sz w:val="20"/>
        </w:rPr>
        <w:t>1</w:t>
      </w:r>
      <w:r>
        <w:fldChar w:fldCharType="end"/>
      </w:r>
      <w:bookmarkEnd w:id="1013"/>
      <w:r>
        <w:rPr>
          <w:rFonts w:ascii="Times New Roman" w:hAnsi="Times New Roman"/>
          <w:color w:val="111111"/>
          <w:sz w:val="20"/>
        </w:rPr>
        <w:t xml:space="preserve"> — Comparaison des choix techniques</w:t>
      </w:r>
    </w:p>
    <w:tbl>
      <w:tblPr>
        <w:tblStyle w:val="TableGrid"/>
        <w:tblW w:type="dxa" w:w="8788"/>
        <w:jc w:val="left"/>
        <w:tblLayout w:type="fixed"/>
        <w:tblLook w:firstColumn="1" w:firstRow="1" w:lastColumn="0" w:lastRow="0" w:noHBand="0" w:noVBand="1" w:val="04A0"/>
        <w:tblInd w:w="120" w:type="dxa"/>
      </w:tblPr>
      <w:tblGrid>
        <w:gridCol w:w="1743"/>
        <w:gridCol w:w="2325"/>
        <w:gridCol w:w="4720"/>
      </w:tblGrid>
      <w:tr>
        <w:trPr>
          <w:tblHeader w:val="true"/>
        </w:trPr>
        <w:tc>
          <w:tcPr>
            <w:tcW w:type="dxa" w:w="1743"/>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Couche</w:t>
            </w:r>
          </w:p>
        </w:tc>
        <w:tc>
          <w:tcPr>
            <w:tcW w:type="dxa" w:w="2325"/>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Option retenue</w:t>
            </w:r>
          </w:p>
        </w:tc>
        <w:tc>
          <w:tcPr>
            <w:tcW w:type="dxa" w:w="4720"/>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Justification dans G-ROD</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Interface</w:t>
            </w:r>
          </w:p>
        </w:tc>
        <w:tc>
          <w:tcPr>
            <w:tcW w:type="dxa" w:w="232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React 19</w:t>
            </w:r>
          </w:p>
        </w:tc>
        <w:tc>
          <w:tcPr>
            <w:tcW w:type="dxa" w:w="4720"/>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Composants, état interactif, routage SPA et intégration de Three.js.</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Build frontend</w:t>
            </w:r>
          </w:p>
        </w:tc>
        <w:tc>
          <w:tcPr>
            <w:tcW w:type="dxa" w:w="232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Vite 8</w:t>
            </w:r>
          </w:p>
        </w:tc>
        <w:tc>
          <w:tcPr>
            <w:tcW w:type="dxa" w:w="472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Serveur de développement rapide et génération d'assets optimisés.</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Backend</w:t>
            </w:r>
          </w:p>
        </w:tc>
        <w:tc>
          <w:tcPr>
            <w:tcW w:type="dxa" w:w="232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Spring Boot 3.5</w:t>
            </w:r>
          </w:p>
        </w:tc>
        <w:tc>
          <w:tcPr>
            <w:tcW w:type="dxa" w:w="4720"/>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API REST, injection de dépendances, validation et sécurité intégrées.</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Persistance</w:t>
            </w:r>
          </w:p>
        </w:tc>
        <w:tc>
          <w:tcPr>
            <w:tcW w:type="dxa" w:w="232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Spring Data JPA / Hibernate</w:t>
            </w:r>
          </w:p>
        </w:tc>
        <w:tc>
          <w:tcPr>
            <w:tcW w:type="dxa" w:w="472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Repositories, modèle relationnel et réduction du code répétitif.</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Base de données</w:t>
            </w:r>
          </w:p>
        </w:tc>
        <w:tc>
          <w:tcPr>
            <w:tcW w:type="dxa" w:w="232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MySQL</w:t>
            </w:r>
          </w:p>
        </w:tc>
        <w:tc>
          <w:tcPr>
            <w:tcW w:type="dxa" w:w="4720"/>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Persistance transactionnelle adaptée aux entités métier.</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Migrations</w:t>
            </w:r>
          </w:p>
        </w:tc>
        <w:tc>
          <w:tcPr>
            <w:tcW w:type="dxa" w:w="232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Flyway</w:t>
            </w:r>
          </w:p>
        </w:tc>
        <w:tc>
          <w:tcPr>
            <w:tcW w:type="dxa" w:w="472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Versionnement reproductible du schéma de base de données.</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3D</w:t>
            </w:r>
          </w:p>
        </w:tc>
        <w:tc>
          <w:tcPr>
            <w:tcW w:type="dxa" w:w="2325"/>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Three.js</w:t>
            </w:r>
          </w:p>
        </w:tc>
        <w:tc>
          <w:tcPr>
            <w:tcW w:type="dxa" w:w="4720"/>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Rendu interactif des modèles GLB dans le navigateur.</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Tests navigateur</w:t>
            </w:r>
          </w:p>
        </w:tc>
        <w:tc>
          <w:tcPr>
            <w:tcW w:type="dxa" w:w="232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Playwright</w:t>
            </w:r>
          </w:p>
        </w:tc>
        <w:tc>
          <w:tcPr>
            <w:tcW w:type="dxa" w:w="472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Validation des parcours critiques et des tailles d'écran.</w:t>
            </w:r>
          </w:p>
        </w:tc>
      </w:tr>
    </w:tbl>
    <w:p>
      <w:pPr>
        <w:spacing w:after="40"/>
      </w:pPr>
    </w:p>
    <w:p>
      <w:r>
        <w:rPr>
          <w:rFonts w:ascii="Times New Roman" w:hAnsi="Times New Roman" w:eastAsia="Times New Roman"/>
          <w:color w:val="111111"/>
          <w:sz w:val="24"/>
        </w:rPr>
        <w:t>L'architecture retenue est une application web en deux parties : une SPA React communique en HTTP/JSON avec une API Spring Boot. Le backend applique les règles métier et accède à MySQL. Les fichiers administrés sont stockés hors du répertoire web public et servis par des endpoints contrôlés.</w:t>
      </w:r>
    </w:p>
    <w:p>
      <w:pPr>
        <w:pStyle w:val="CodeBlock"/>
        <w:jc w:val="left"/>
      </w:pPr>
      <w:r>
        <w:rPr>
          <w:rFonts w:ascii="Times New Roman" w:hAnsi="Times New Roman" w:eastAsia="Consolas"/>
          <w:color w:val="111111"/>
          <w:sz w:val="24"/>
        </w:rPr>
        <w:t>Navigateur (React / Vite / PWA)</w:t>
        <w:br/>
        <w:t xml:space="preserve">          │  HTTPS + JSON + fichiers contrôlés</w:t>
        <w:br/>
        <w:t xml:space="preserve">          ▼</w:t>
        <w:br/>
        <w:t>Nginx / Reverse proxy</w:t>
        <w:br/>
        <w:t xml:space="preserve">          │  /api/*</w:t>
        <w:br/>
        <w:t xml:space="preserve">          ▼</w:t>
        <w:br/>
        <w:t>Spring Boot ── Spring Security ── Services métier</w:t>
        <w:br/>
        <w:t xml:space="preserve">          │                         │</w:t>
        <w:br/>
        <w:t xml:space="preserve">          ├──────── MySQL           └──────── Stockage des uploads</w:t>
      </w:r>
    </w:p>
    <w:p>
      <w:pPr>
        <w:pStyle w:val="Heading3"/>
      </w:pPr>
      <w:r>
        <w:rPr>
          <w:rFonts w:ascii="Times New Roman" w:hAnsi="Times New Roman" w:eastAsia="Times New Roman" w:cs="Times New Roman"/>
          <w:b/>
          <w:color w:val="111111"/>
          <w:sz w:val="24"/>
        </w:rPr>
        <w:t>3.2.1 Comparaison des solutions frontend</w:t>
      </w:r>
    </w:p>
    <w:p>
      <w:pPr>
        <w:jc w:val="both"/>
      </w:pPr>
      <w:r>
        <w:rPr>
          <w:rFonts w:ascii="Times New Roman" w:hAnsi="Times New Roman" w:eastAsia="Times New Roman" w:cs="Times New Roman"/>
          <w:color w:val="111111"/>
          <w:sz w:val="24"/>
        </w:rPr>
        <w:t>Le frontend devait gérer des pages publiques, des formulaires riches, une administration interactive et un visualiseur 3D. React a été retenu parce que le projet pouvait représenter ces fonctions par des composants partageant le même état et les mêmes services d’accès à l’API [2]. Angular aurait fourni un cadre plus intégré, mais avec une structure et un apprentissage plus lourds pour le périmètre. Vue constituait aussi une option valable ; le choix final a surtout été guidé par la maîtrise de React et son intégration directe avec React Router, Three.js et l’outillage Vite.</w:t>
      </w:r>
    </w:p>
    <w:p>
      <w:pPr>
        <w:pStyle w:val="TableCaption"/>
        <w:jc w:val="center"/>
      </w:pPr>
      <w:bookmarkStart w:id="1014" w:name="tab_3_2"/>
      <w:r>
        <w:rPr>
          <w:rFonts w:ascii="Times New Roman" w:hAnsi="Times New Roman"/>
          <w:color w:val="111111"/>
          <w:sz w:val="20"/>
        </w:rPr>
        <w:t>Tableau 3.</w:t>
      </w:r>
      <w:r>
        <w:fldChar w:fldCharType="begin"/>
      </w:r>
      <w:r>
        <w:instrText xml:space="preserve">SEQ Tableau3 \* ARABIC</w:instrText>
      </w:r>
      <w:r>
        <w:fldChar w:fldCharType="separate"/>
      </w:r>
      <w:r>
        <w:rPr>
          <w:rFonts w:ascii="Times New Roman" w:hAnsi="Times New Roman"/>
          <w:color w:val="111111"/>
          <w:sz w:val="20"/>
        </w:rPr>
        <w:t>2</w:t>
      </w:r>
      <w:r>
        <w:fldChar w:fldCharType="end"/>
      </w:r>
      <w:bookmarkEnd w:id="1014"/>
      <w:r>
        <w:rPr>
          <w:rFonts w:ascii="Times New Roman" w:hAnsi="Times New Roman"/>
          <w:color w:val="111111"/>
          <w:sz w:val="20"/>
        </w:rPr>
        <w:t xml:space="preserve"> — Comparaison des solutions frontend</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c>
          <w:tcPr>
            <w:tcW w:type="dxa" w:w="209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Critère</w:t>
            </w:r>
          </w:p>
        </w:tc>
        <w:tc>
          <w:tcPr>
            <w:tcW w:type="dxa" w:w="226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React</w:t>
            </w:r>
          </w:p>
        </w:tc>
        <w:tc>
          <w:tcPr>
            <w:tcW w:type="dxa" w:w="226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Angular</w:t>
            </w:r>
          </w:p>
        </w:tc>
        <w:tc>
          <w:tcPr>
            <w:tcW w:type="dxa" w:w="226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Vue</w:t>
            </w:r>
          </w:p>
        </w:tc>
        <w:trPr>
          <w:tblHeader/>
        </w:trPr>
      </w:tr>
      <w:tr>
        <w:tc>
          <w:tcPr>
            <w:tcW w:type="dxa" w:w="209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Organisation</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Bibliothèque composable</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Framework complet</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Framework progressif</w:t>
            </w:r>
          </w:p>
        </w:tc>
      </w:tr>
      <w:tr>
        <w:tc>
          <w:tcPr>
            <w:tcW w:type="dxa" w:w="209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Prise en main dans le projet</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Maîtrisée</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Plus lourde</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Accessible</w:t>
            </w:r>
          </w:p>
        </w:tc>
      </w:tr>
      <w:tr>
        <w:tc>
          <w:tcPr>
            <w:tcW w:type="dxa" w:w="209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Écosystème 3D et tests</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Intégration directe</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Possible</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Possible</w:t>
            </w:r>
          </w:p>
        </w:tc>
      </w:tr>
      <w:tr>
        <w:tc>
          <w:tcPr>
            <w:tcW w:type="dxa" w:w="209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Décision</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Retenu</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Non retenu</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Non retenu</w:t>
            </w:r>
          </w:p>
        </w:tc>
      </w:tr>
    </w:tbl>
    <w:p/>
    <w:p>
      <w:pPr>
        <w:pStyle w:val="Heading3"/>
      </w:pPr>
      <w:r>
        <w:rPr>
          <w:rFonts w:ascii="Times New Roman" w:hAnsi="Times New Roman" w:eastAsia="Times New Roman" w:cs="Times New Roman"/>
          <w:b/>
          <w:color w:val="111111"/>
          <w:sz w:val="24"/>
        </w:rPr>
        <w:t>3.2.2 Comparaison des solutions backend</w:t>
      </w:r>
    </w:p>
    <w:p>
      <w:pPr>
        <w:jc w:val="both"/>
      </w:pPr>
      <w:r>
        <w:rPr>
          <w:rFonts w:ascii="Times New Roman" w:hAnsi="Times New Roman" w:eastAsia="Times New Roman" w:cs="Times New Roman"/>
          <w:color w:val="111111"/>
          <w:sz w:val="24"/>
        </w:rPr>
        <w:t>Le backend porte les règles de validation, la persistance, les fichiers, les notifications et l’authentification. Spring Boot fournit un cadre cohérent pour les contrôleurs REST, Spring Data JPA, la validation et Spring Security [1]. Express aurait permis une API légère en JavaScript, tandis que Django propose un environnement Python très productif. Spring Boot a toutefois été retenu pour son typage, l’intégration des composants de sécurité et la facilité de structurer des tests d’intégration avec JUnit, MockMvc et H2.</w:t>
      </w:r>
    </w:p>
    <w:p>
      <w:pPr>
        <w:pStyle w:val="TableCaption"/>
        <w:jc w:val="center"/>
      </w:pPr>
      <w:bookmarkStart w:id="1015" w:name="tab_3_3"/>
      <w:r>
        <w:rPr>
          <w:rFonts w:ascii="Times New Roman" w:hAnsi="Times New Roman"/>
          <w:color w:val="111111"/>
          <w:sz w:val="20"/>
        </w:rPr>
        <w:t>Tableau 3.</w:t>
      </w:r>
      <w:r>
        <w:fldChar w:fldCharType="begin"/>
      </w:r>
      <w:r>
        <w:instrText xml:space="preserve">SEQ Tableau3 \* ARABIC</w:instrText>
      </w:r>
      <w:r>
        <w:fldChar w:fldCharType="separate"/>
      </w:r>
      <w:r>
        <w:rPr>
          <w:rFonts w:ascii="Times New Roman" w:hAnsi="Times New Roman"/>
          <w:color w:val="111111"/>
          <w:sz w:val="20"/>
        </w:rPr>
        <w:t>3</w:t>
      </w:r>
      <w:r>
        <w:fldChar w:fldCharType="end"/>
      </w:r>
      <w:bookmarkEnd w:id="1015"/>
      <w:r>
        <w:rPr>
          <w:rFonts w:ascii="Times New Roman" w:hAnsi="Times New Roman"/>
          <w:color w:val="111111"/>
          <w:sz w:val="20"/>
        </w:rPr>
        <w:t xml:space="preserve"> — Comparaison des solutions backend</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c>
          <w:tcPr>
            <w:tcW w:type="dxa" w:w="209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Critère</w:t>
            </w:r>
          </w:p>
        </w:tc>
        <w:tc>
          <w:tcPr>
            <w:tcW w:type="dxa" w:w="226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Spring Boot</w:t>
            </w:r>
          </w:p>
        </w:tc>
        <w:tc>
          <w:tcPr>
            <w:tcW w:type="dxa" w:w="226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Express</w:t>
            </w:r>
          </w:p>
        </w:tc>
        <w:tc>
          <w:tcPr>
            <w:tcW w:type="dxa" w:w="226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Django</w:t>
            </w:r>
          </w:p>
        </w:tc>
        <w:trPr>
          <w:tblHeader/>
        </w:trPr>
      </w:tr>
      <w:tr>
        <w:tc>
          <w:tcPr>
            <w:tcW w:type="dxa" w:w="209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Typage et structure</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Java typé, conventions fortes</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Souple, structure à définir</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Python, cadre intégré</w:t>
            </w:r>
          </w:p>
        </w:tc>
      </w:tr>
      <w:tr>
        <w:tc>
          <w:tcPr>
            <w:tcW w:type="dxa" w:w="209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Sécurité</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Spring Security</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Bibliothèques à assembler</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Mécanismes intégrés</w:t>
            </w:r>
          </w:p>
        </w:tc>
      </w:tr>
      <w:tr>
        <w:tc>
          <w:tcPr>
            <w:tcW w:type="dxa" w:w="209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Persistance</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Spring Data JPA</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ORM au choix</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Django ORM</w:t>
            </w:r>
          </w:p>
        </w:tc>
      </w:tr>
      <w:tr>
        <w:tc>
          <w:tcPr>
            <w:tcW w:type="dxa" w:w="209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Décision</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Retenu</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Non retenu</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Non retenu</w:t>
            </w:r>
          </w:p>
        </w:tc>
      </w:tr>
    </w:tbl>
    <w:p/>
    <w:p>
      <w:pPr>
        <w:pStyle w:val="Heading3"/>
      </w:pPr>
      <w:r>
        <w:rPr>
          <w:rFonts w:ascii="Times New Roman" w:hAnsi="Times New Roman" w:eastAsia="Times New Roman" w:cs="Times New Roman"/>
          <w:b/>
          <w:color w:val="111111"/>
          <w:sz w:val="24"/>
        </w:rPr>
        <w:t>3.2.3 Comparaison des bases de données</w:t>
      </w:r>
    </w:p>
    <w:p>
      <w:pPr>
        <w:jc w:val="both"/>
      </w:pPr>
      <w:r>
        <w:rPr>
          <w:rFonts w:ascii="Times New Roman" w:hAnsi="Times New Roman" w:eastAsia="Times New Roman" w:cs="Times New Roman"/>
          <w:color w:val="111111"/>
          <w:sz w:val="24"/>
        </w:rPr>
        <w:t>Les données principales sont relationnelles : utilisateurs, clients, demandes, produits, documents et lectures de notifications. MySQL a été choisi pour la configuration de l’application et son usage courant dans un environnement XAMPP [3]. PostgreSQL aurait également convenu et offre des fonctions avancées, mais n’apportait pas d’avantage décisif pour le modèle actuel. MongoDB aurait simplifié certains objets variables, au prix d’une cohérence relationnelle moins naturelle pour le suivi commercial. H2 n’est pas la base de production : il sert uniquement à isoler et accélérer les tests automatisés.</w:t>
      </w:r>
    </w:p>
    <w:p>
      <w:pPr>
        <w:pStyle w:val="TableCaption"/>
        <w:jc w:val="center"/>
      </w:pPr>
      <w:bookmarkStart w:id="1016" w:name="tab_3_4"/>
      <w:r>
        <w:rPr>
          <w:rFonts w:ascii="Times New Roman" w:hAnsi="Times New Roman"/>
          <w:color w:val="111111"/>
          <w:sz w:val="20"/>
        </w:rPr>
        <w:t>Tableau 3.</w:t>
      </w:r>
      <w:r>
        <w:fldChar w:fldCharType="begin"/>
      </w:r>
      <w:r>
        <w:instrText xml:space="preserve">SEQ Tableau3 \* ARABIC</w:instrText>
      </w:r>
      <w:r>
        <w:fldChar w:fldCharType="separate"/>
      </w:r>
      <w:r>
        <w:rPr>
          <w:rFonts w:ascii="Times New Roman" w:hAnsi="Times New Roman"/>
          <w:color w:val="111111"/>
          <w:sz w:val="20"/>
        </w:rPr>
        <w:t>4</w:t>
      </w:r>
      <w:r>
        <w:fldChar w:fldCharType="end"/>
      </w:r>
      <w:bookmarkEnd w:id="1016"/>
      <w:r>
        <w:rPr>
          <w:rFonts w:ascii="Times New Roman" w:hAnsi="Times New Roman"/>
          <w:color w:val="111111"/>
          <w:sz w:val="20"/>
        </w:rPr>
        <w:t xml:space="preserve"> — Comparaison des bases de données</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c>
          <w:tcPr>
            <w:tcW w:type="dxa" w:w="209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Critère</w:t>
            </w:r>
          </w:p>
        </w:tc>
        <w:tc>
          <w:tcPr>
            <w:tcW w:type="dxa" w:w="226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MySQL</w:t>
            </w:r>
          </w:p>
        </w:tc>
        <w:tc>
          <w:tcPr>
            <w:tcW w:type="dxa" w:w="226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PostgreSQL</w:t>
            </w:r>
          </w:p>
        </w:tc>
        <w:tc>
          <w:tcPr>
            <w:tcW w:type="dxa" w:w="2268"/>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MongoDB</w:t>
            </w:r>
          </w:p>
        </w:tc>
        <w:trPr>
          <w:tblHeader/>
        </w:trPr>
      </w:tr>
      <w:tr>
        <w:tc>
          <w:tcPr>
            <w:tcW w:type="dxa" w:w="209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Modèle principal</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Relationnel</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Relationnel avancé</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Document</w:t>
            </w:r>
          </w:p>
        </w:tc>
      </w:tr>
      <w:tr>
        <w:tc>
          <w:tcPr>
            <w:tcW w:type="dxa" w:w="209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Adéquation aux entités</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Bonne</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Bonne</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Moins directe</w:t>
            </w:r>
          </w:p>
        </w:tc>
      </w:tr>
      <w:tr>
        <w:tc>
          <w:tcPr>
            <w:tcW w:type="dxa" w:w="209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Environnement du projet</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Disponible avec XAMPP</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Installation distincte</w:t>
            </w:r>
          </w:p>
        </w:tc>
        <w:tc>
          <w:tcPr>
            <w:tcW w:type="dxa" w:w="2268"/>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Installation distincte</w:t>
            </w:r>
          </w:p>
        </w:tc>
      </w:tr>
      <w:tr>
        <w:tc>
          <w:tcPr>
            <w:tcW w:type="dxa" w:w="209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Décision</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Retenu</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Non retenu</w:t>
            </w:r>
          </w:p>
        </w:tc>
        <w:tc>
          <w:tcPr>
            <w:tcW w:type="dxa" w:w="2268"/>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Non retenu</w:t>
            </w:r>
          </w:p>
        </w:tc>
      </w:tr>
    </w:tbl>
    <w:p/>
    <w:p>
      <w:pPr>
        <w:jc w:val="both"/>
      </w:pPr>
      <w:r>
        <w:rPr>
          <w:rFonts w:ascii="Times New Roman" w:hAnsi="Times New Roman" w:eastAsia="Times New Roman" w:cs="Times New Roman"/>
          <w:color w:val="111111"/>
          <w:sz w:val="24"/>
        </w:rPr>
        <w:t>Vite complète ce choix en assurant le serveur de développement et le build du frontend [4]. Three.js est chargé dans un morceau séparé pour les scènes 3D [5], et Playwright automatise les parcours navigateur [6]. Les recommandations OWASP ont servi de repère pour les en-têtes, la validation et l’authentification [7], tandis que l’API WebAuthn est utilisée pour le mécanisme optionnel de Passkey [8]. Ces références décrivent les technologies ; la validation de leur usage concret dans G-ROD provient du code et des tests du dépôt [14].</w:t>
      </w:r>
    </w:p>
    <w:p>
      <w:pPr>
        <w:pStyle w:val="Heading2"/>
      </w:pPr>
      <w:r>
        <w:rPr>
          <w:rFonts w:ascii="Times New Roman" w:hAnsi="Times New Roman"/>
          <w:color w:val="111111"/>
          <w:sz w:val="24"/>
        </w:rPr>
        <w:t>3.3 Architecture logique</w:t>
      </w:r>
    </w:p>
    <w:p>
      <w:pPr>
        <w:pStyle w:val="Heading3"/>
      </w:pPr>
      <w:r>
        <w:rPr>
          <w:rFonts w:ascii="Times New Roman" w:hAnsi="Times New Roman"/>
          <w:color w:val="111111"/>
          <w:sz w:val="24"/>
        </w:rPr>
        <w:t>3.3.1 Organisation du backend</w:t>
      </w:r>
    </w:p>
    <w:p>
      <w:r>
        <w:rPr>
          <w:rFonts w:ascii="Times New Roman" w:hAnsi="Times New Roman" w:eastAsia="Times New Roman"/>
          <w:color w:val="111111"/>
          <w:sz w:val="24"/>
        </w:rPr>
        <w:t>Le backend est structuré par responsabilités. Les contrôleurs reçoivent les requêtes HTTP et exposent des contrats REST. Les services portent les traitements métier. Les repositories assurent l'accès aux données. Les entités représentent le modèle persistant et les DTO limitent les données échangées avec le frontend. Les packages de configuration, de sécurité et de gestion des exceptions regroupent les préoccupations transversales.</w:t>
      </w:r>
    </w:p>
    <w:p>
      <w:pPr>
        <w:pStyle w:val="CodeBlock"/>
        <w:jc w:val="left"/>
      </w:pPr>
      <w:r>
        <w:rPr>
          <w:rFonts w:ascii="Times New Roman" w:hAnsi="Times New Roman" w:eastAsia="Consolas"/>
          <w:color w:val="111111"/>
          <w:sz w:val="24"/>
        </w:rPr>
        <w:t>controller  →  validation HTTP et endpoints REST</w:t>
        <w:br/>
        <w:t>service     →  règles métier et transactions</w:t>
        <w:br/>
        <w:t>repository  →  requêtes JPA et pagination</w:t>
        <w:br/>
        <w:t>entity      →  modèle relationnel persistant</w:t>
        <w:br/>
        <w:t>dto         →  contrats d'entrée et de sortie</w:t>
        <w:br/>
        <w:t>security    →  JWT, rate limiting et WebAuthn</w:t>
        <w:br/>
        <w:t>config      →  sécurité, CORS, bootstrap et propriétés</w:t>
      </w:r>
    </w:p>
    <w:p>
      <w:pPr>
        <w:pStyle w:val="Heading3"/>
      </w:pPr>
      <w:r>
        <w:rPr>
          <w:rFonts w:ascii="Times New Roman" w:hAnsi="Times New Roman"/>
          <w:color w:val="111111"/>
          <w:sz w:val="24"/>
        </w:rPr>
        <w:t>3.3.2 Organisation du frontend</w:t>
      </w:r>
    </w:p>
    <w:p>
      <w:r>
        <w:rPr>
          <w:rFonts w:ascii="Times New Roman" w:hAnsi="Times New Roman" w:eastAsia="Times New Roman"/>
          <w:color w:val="111111"/>
          <w:sz w:val="24"/>
        </w:rPr>
        <w:t>Le frontend utilise React Router pour les pages publiques et administratives. Les appels à l'API alimentent les vues du catalogue, les formulaires et les tableaux de gestion. Les états de navigation, de thème, de filtres, de pagination et de panneaux responsives sont gérés côté client.</w:t>
      </w:r>
    </w:p>
    <w:p>
      <w:r>
        <w:rPr>
          <w:rFonts w:ascii="Times New Roman" w:hAnsi="Times New Roman" w:eastAsia="Times New Roman"/>
          <w:color w:val="111111"/>
          <w:sz w:val="24"/>
        </w:rPr>
        <w:t>La version actuelle reste fonctionnelle mais concentre encore une grande partie des composants et styles dans les fichiers App.jsx et App.css. Une modularisation en pages, layouts, composants, hooks et services constitue une amélioration de maintenabilité identifiée pour la suite, sans remettre en cause l'architecture fonctionnelle validée.</w:t>
      </w:r>
    </w:p>
    <w:p>
      <w:pPr>
        <w:pStyle w:val="Heading2"/>
      </w:pPr>
      <w:r>
        <w:rPr>
          <w:rFonts w:ascii="Times New Roman" w:hAnsi="Times New Roman"/>
          <w:color w:val="111111"/>
          <w:sz w:val="24"/>
        </w:rPr>
        <w:t>3.4 Cas d'utilisation</w:t>
      </w:r>
    </w:p>
    <w:p>
      <w:pPr>
        <w:pStyle w:val="TableCaption"/>
        <w:jc w:val="center"/>
      </w:pPr>
      <w:bookmarkStart w:id="1017" w:name="tab_3_5"/>
      <w:r>
        <w:rPr>
          <w:rFonts w:ascii="Times New Roman" w:hAnsi="Times New Roman"/>
          <w:color w:val="111111"/>
          <w:sz w:val="20"/>
        </w:rPr>
        <w:t>Tableau 3.</w:t>
      </w:r>
      <w:r>
        <w:fldChar w:fldCharType="begin"/>
      </w:r>
      <w:r>
        <w:instrText xml:space="preserve">SEQ Tableau3 \* ARABIC</w:instrText>
      </w:r>
      <w:r>
        <w:fldChar w:fldCharType="separate"/>
      </w:r>
      <w:r>
        <w:rPr>
          <w:rFonts w:ascii="Times New Roman" w:hAnsi="Times New Roman"/>
          <w:color w:val="111111"/>
          <w:sz w:val="20"/>
        </w:rPr>
        <w:t>5</w:t>
      </w:r>
      <w:r>
        <w:fldChar w:fldCharType="end"/>
      </w:r>
      <w:bookmarkEnd w:id="1017"/>
      <w:r>
        <w:rPr>
          <w:rFonts w:ascii="Times New Roman" w:hAnsi="Times New Roman"/>
          <w:color w:val="111111"/>
          <w:sz w:val="20"/>
        </w:rPr>
        <w:t xml:space="preserve"> — Principaux cas d'utilisation</w:t>
      </w:r>
    </w:p>
    <w:tbl>
      <w:tblPr>
        <w:tblStyle w:val="TableGrid"/>
        <w:tblW w:type="dxa" w:w="8788"/>
        <w:jc w:val="left"/>
        <w:tblLayout w:type="fixed"/>
        <w:tblLook w:firstColumn="1" w:firstRow="1" w:lastColumn="0" w:lastRow="0" w:noHBand="0" w:noVBand="1" w:val="04A0"/>
        <w:tblInd w:w="120" w:type="dxa"/>
      </w:tblPr>
      <w:tblGrid>
        <w:gridCol w:w="2421"/>
        <w:gridCol w:w="1840"/>
        <w:gridCol w:w="4527"/>
      </w:tblGrid>
      <w:tr>
        <w:trPr>
          <w:tblHeader w:val="true"/>
        </w:trPr>
        <w:tc>
          <w:tcPr>
            <w:tcW w:type="dxa" w:w="242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Cas</w:t>
            </w:r>
          </w:p>
        </w:tc>
        <w:tc>
          <w:tcPr>
            <w:tcW w:type="dxa" w:w="1840"/>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Acteur</w:t>
            </w:r>
          </w:p>
        </w:tc>
        <w:tc>
          <w:tcPr>
            <w:tcW w:type="dxa" w:w="4527"/>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Scénario nominal</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Consulter le catalogue</w:t>
            </w:r>
          </w:p>
        </w:tc>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Visiteur</w:t>
            </w:r>
          </w:p>
        </w:tc>
        <w:tc>
          <w:tcPr>
            <w:tcW w:type="dxa" w:w="452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Charger les produits actifs, rechercher, filtrer puis ouvrir une fiche.</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Demander un devis</w:t>
            </w:r>
          </w:p>
        </w:tc>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Prospect</w:t>
            </w:r>
          </w:p>
        </w:tc>
        <w:tc>
          <w:tcPr>
            <w:tcW w:type="dxa" w:w="452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Renseigner le formulaire, joindre éventuellement un plan et valider.</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Demander un document</w:t>
            </w:r>
          </w:p>
        </w:tc>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Client</w:t>
            </w:r>
          </w:p>
        </w:tc>
        <w:tc>
          <w:tcPr>
            <w:tcW w:type="dxa" w:w="452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Choisir un type, préciser le produit et transmettre la demande.</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Traiter une demande</w:t>
            </w:r>
          </w:p>
        </w:tc>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Administrateur</w:t>
            </w:r>
          </w:p>
        </w:tc>
        <w:tc>
          <w:tcPr>
            <w:tcW w:type="dxa" w:w="452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Consulter la demande, changer son statut et exporter son PDF.</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Gérer un produit</w:t>
            </w:r>
          </w:p>
        </w:tc>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Administrateur</w:t>
            </w:r>
          </w:p>
        </w:tc>
        <w:tc>
          <w:tcPr>
            <w:tcW w:type="dxa" w:w="452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Créer ou modifier les informations, l'image et l'état actif.</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Publier une ressource</w:t>
            </w:r>
          </w:p>
        </w:tc>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Administrateur</w:t>
            </w:r>
          </w:p>
        </w:tc>
        <w:tc>
          <w:tcPr>
            <w:tcW w:type="dxa" w:w="452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Téléverser un PDF, définir le type, le produit et la visibilité.</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Consulter les notifications</w:t>
            </w:r>
          </w:p>
        </w:tc>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Administrateur</w:t>
            </w:r>
          </w:p>
        </w:tc>
        <w:tc>
          <w:tcPr>
            <w:tcW w:type="dxa" w:w="452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Filtrer, ouvrir l'élément lié et marquer comme lu.</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Se connecter par Passkey</w:t>
            </w:r>
          </w:p>
        </w:tc>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Administrateur</w:t>
            </w:r>
          </w:p>
        </w:tc>
        <w:tc>
          <w:tcPr>
            <w:tcW w:type="dxa" w:w="452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Initier le challenge WebAuthn et valider avec l'appareil.</w:t>
            </w:r>
          </w:p>
        </w:tc>
      </w:tr>
    </w:tbl>
    <w:p>
      <w:pPr>
        <w:spacing w:after="40"/>
      </w:pPr>
    </w:p>
    <w:p>
      <w:pPr>
        <w:pStyle w:val="Heading2"/>
      </w:pPr>
      <w:r>
        <w:rPr>
          <w:rFonts w:ascii="Times New Roman" w:hAnsi="Times New Roman"/>
          <w:color w:val="111111"/>
          <w:sz w:val="24"/>
        </w:rPr>
        <w:t>3.5 Diagrammes de séquence</w:t>
      </w:r>
    </w:p>
    <w:p>
      <w:pPr>
        <w:pStyle w:val="Heading3"/>
      </w:pPr>
      <w:r>
        <w:rPr>
          <w:rFonts w:ascii="Times New Roman" w:hAnsi="Times New Roman"/>
          <w:color w:val="111111"/>
          <w:sz w:val="24"/>
        </w:rPr>
        <w:t>3.5.1 Création d'une demande de devis</w:t>
      </w:r>
    </w:p>
    <w:p>
      <w:pPr>
        <w:pStyle w:val="ListNumber"/>
      </w:pPr>
      <w:r>
        <w:rPr>
          <w:rFonts w:ascii="Times New Roman" w:hAnsi="Times New Roman" w:eastAsia="Times New Roman"/>
          <w:color w:val="111111"/>
          <w:sz w:val="24"/>
        </w:rPr>
        <w:t>Le client complète le formulaire public et choisit éventuellement un fichier.</w:t>
      </w:r>
    </w:p>
    <w:p>
      <w:pPr>
        <w:pStyle w:val="ListNumber"/>
      </w:pPr>
      <w:r>
        <w:rPr>
          <w:rFonts w:ascii="Times New Roman" w:hAnsi="Times New Roman" w:eastAsia="Times New Roman"/>
          <w:color w:val="111111"/>
          <w:sz w:val="24"/>
        </w:rPr>
        <w:t>Le frontend valide les données puis envoie le fichier vers la zone temporaire.</w:t>
      </w:r>
    </w:p>
    <w:p>
      <w:pPr>
        <w:pStyle w:val="ListNumber"/>
      </w:pPr>
      <w:r>
        <w:rPr>
          <w:rFonts w:ascii="Times New Roman" w:hAnsi="Times New Roman" w:eastAsia="Times New Roman"/>
          <w:color w:val="111111"/>
          <w:sz w:val="24"/>
        </w:rPr>
        <w:t>L'API valide la requête, crée ou rattache le client et enregistre la demande.</w:t>
      </w:r>
    </w:p>
    <w:p>
      <w:pPr>
        <w:pStyle w:val="ListNumber"/>
      </w:pPr>
      <w:r>
        <w:rPr>
          <w:rFonts w:ascii="Times New Roman" w:hAnsi="Times New Roman" w:eastAsia="Times New Roman"/>
          <w:color w:val="111111"/>
          <w:sz w:val="24"/>
        </w:rPr>
        <w:t>Le fichier est promu vers le stockage définitif après réussite de la transaction.</w:t>
      </w:r>
    </w:p>
    <w:p>
      <w:pPr>
        <w:pStyle w:val="ListNumber"/>
      </w:pPr>
      <w:r>
        <w:rPr>
          <w:rFonts w:ascii="Times New Roman" w:hAnsi="Times New Roman" w:eastAsia="Times New Roman"/>
          <w:color w:val="111111"/>
          <w:sz w:val="24"/>
        </w:rPr>
        <w:t>Une notification métier est créée et l'envoi externe optionnel est tenté.</w:t>
      </w:r>
    </w:p>
    <w:p>
      <w:pPr>
        <w:pStyle w:val="ListNumber"/>
      </w:pPr>
      <w:r>
        <w:rPr>
          <w:rFonts w:ascii="Times New Roman" w:hAnsi="Times New Roman" w:eastAsia="Times New Roman"/>
          <w:color w:val="111111"/>
          <w:sz w:val="24"/>
        </w:rPr>
        <w:t>Le frontend confirme la création sans exposer les détails internes.</w:t>
      </w:r>
    </w:p>
    <w:p>
      <w:pPr>
        <w:pStyle w:val="Heading3"/>
      </w:pPr>
      <w:r>
        <w:rPr>
          <w:rFonts w:ascii="Times New Roman" w:hAnsi="Times New Roman"/>
          <w:color w:val="111111"/>
          <w:sz w:val="24"/>
        </w:rPr>
        <w:t>3.5.2 Authentification administrateur</w:t>
      </w:r>
    </w:p>
    <w:p>
      <w:pPr>
        <w:pStyle w:val="ListNumber"/>
      </w:pPr>
      <w:r>
        <w:rPr>
          <w:rFonts w:ascii="Times New Roman" w:hAnsi="Times New Roman" w:eastAsia="Times New Roman"/>
          <w:color w:val="111111"/>
          <w:sz w:val="24"/>
        </w:rPr>
        <w:t>L'administrateur transmet son adresse et son mot de passe sur la route de connexion.</w:t>
      </w:r>
    </w:p>
    <w:p>
      <w:pPr>
        <w:pStyle w:val="ListNumber"/>
      </w:pPr>
      <w:r>
        <w:rPr>
          <w:rFonts w:ascii="Times New Roman" w:hAnsi="Times New Roman" w:eastAsia="Times New Roman"/>
          <w:color w:val="111111"/>
          <w:sz w:val="24"/>
        </w:rPr>
        <w:t>Spring Security charge le compte et compare le mot de passe avec BCrypt.</w:t>
      </w:r>
    </w:p>
    <w:p>
      <w:pPr>
        <w:pStyle w:val="ListNumber"/>
      </w:pPr>
      <w:r>
        <w:rPr>
          <w:rFonts w:ascii="Times New Roman" w:hAnsi="Times New Roman" w:eastAsia="Times New Roman"/>
          <w:color w:val="111111"/>
          <w:sz w:val="24"/>
        </w:rPr>
        <w:t>En cas de succès, le backend génère un JWT signé et limité dans le temps.</w:t>
      </w:r>
    </w:p>
    <w:p>
      <w:pPr>
        <w:pStyle w:val="ListNumber"/>
      </w:pPr>
      <w:r>
        <w:rPr>
          <w:rFonts w:ascii="Times New Roman" w:hAnsi="Times New Roman" w:eastAsia="Times New Roman"/>
          <w:color w:val="111111"/>
          <w:sz w:val="24"/>
        </w:rPr>
        <w:t>Le frontend conserve la session et joint le jeton aux requêtes protégées.</w:t>
      </w:r>
    </w:p>
    <w:p>
      <w:pPr>
        <w:pStyle w:val="ListNumber"/>
      </w:pPr>
      <w:r>
        <w:rPr>
          <w:rFonts w:ascii="Times New Roman" w:hAnsi="Times New Roman" w:eastAsia="Times New Roman"/>
          <w:color w:val="111111"/>
          <w:sz w:val="24"/>
        </w:rPr>
        <w:t>Le filtre JWT vérifie la signature et reconstruit l'identité authentifiée.</w:t>
      </w:r>
    </w:p>
    <w:p>
      <w:pPr>
        <w:pStyle w:val="Heading2"/>
      </w:pPr>
      <w:r>
        <w:rPr>
          <w:rFonts w:ascii="Times New Roman" w:hAnsi="Times New Roman"/>
          <w:color w:val="111111"/>
          <w:sz w:val="24"/>
        </w:rPr>
        <w:t>3.6 Modèle de données</w:t>
      </w:r>
    </w:p>
    <w:p>
      <w:pPr>
        <w:pStyle w:val="TableCaption"/>
        <w:jc w:val="center"/>
      </w:pPr>
      <w:bookmarkStart w:id="1018" w:name="tab_3_6"/>
      <w:r>
        <w:rPr>
          <w:rFonts w:ascii="Times New Roman" w:hAnsi="Times New Roman"/>
          <w:color w:val="111111"/>
          <w:sz w:val="20"/>
        </w:rPr>
        <w:t>Tableau 3.</w:t>
      </w:r>
      <w:r>
        <w:fldChar w:fldCharType="begin"/>
      </w:r>
      <w:r>
        <w:instrText xml:space="preserve">SEQ Tableau3 \* ARABIC</w:instrText>
      </w:r>
      <w:r>
        <w:fldChar w:fldCharType="separate"/>
      </w:r>
      <w:r>
        <w:rPr>
          <w:rFonts w:ascii="Times New Roman" w:hAnsi="Times New Roman"/>
          <w:color w:val="111111"/>
          <w:sz w:val="20"/>
        </w:rPr>
        <w:t>6</w:t>
      </w:r>
      <w:r>
        <w:fldChar w:fldCharType="end"/>
      </w:r>
      <w:bookmarkEnd w:id="1018"/>
      <w:r>
        <w:rPr>
          <w:rFonts w:ascii="Times New Roman" w:hAnsi="Times New Roman"/>
          <w:color w:val="111111"/>
          <w:sz w:val="20"/>
        </w:rPr>
        <w:t xml:space="preserve"> — Entités métier</w:t>
      </w:r>
    </w:p>
    <w:tbl>
      <w:tblPr>
        <w:tblStyle w:val="TableGrid"/>
        <w:tblW w:type="dxa" w:w="8788"/>
        <w:jc w:val="left"/>
        <w:tblLayout w:type="fixed"/>
        <w:tblLook w:firstColumn="1" w:firstRow="1" w:lastColumn="0" w:lastRow="0" w:noHBand="0" w:noVBand="1" w:val="04A0"/>
        <w:tblInd w:w="120" w:type="dxa"/>
      </w:tblPr>
      <w:tblGrid>
        <w:gridCol w:w="2131"/>
        <w:gridCol w:w="3777"/>
        <w:gridCol w:w="2880"/>
      </w:tblGrid>
      <w:tr>
        <w:trPr>
          <w:tblHeader w:val="true"/>
        </w:trPr>
        <w:tc>
          <w:tcPr>
            <w:tcW w:type="dxa" w:w="213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Entité</w:t>
            </w:r>
          </w:p>
        </w:tc>
        <w:tc>
          <w:tcPr>
            <w:tcW w:type="dxa" w:w="3777"/>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Rôle métier</w:t>
            </w:r>
          </w:p>
        </w:tc>
        <w:tc>
          <w:tcPr>
            <w:tcW w:type="dxa" w:w="2880"/>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Relations principales</w:t>
            </w: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Utilisateur</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Compte administrateur et informations de sécurité</w:t>
            </w:r>
          </w:p>
        </w:tc>
        <w:tc>
          <w:tcPr>
            <w:tcW w:type="dxa" w:w="2880"/>
          </w:tcP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WebAuthnCredential</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Identifiant et clé publique d’une Passkey</w:t>
            </w:r>
          </w:p>
        </w:tc>
        <w:tc>
          <w:tcPr>
            <w:tcW w:type="dxa" w:w="2880"/>
          </w:tcP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Produit</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Catalogue, caractéristiques, image et état actif</w:t>
            </w:r>
          </w:p>
        </w:tc>
        <w:tc>
          <w:tcPr>
            <w:tcW w:type="dxa" w:w="2880"/>
          </w:tcP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Client</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Société, contact et informations de suivi</w:t>
            </w:r>
          </w:p>
        </w:tc>
        <w:tc>
          <w:tcPr>
            <w:tcW w:type="dxa" w:w="2880"/>
          </w:tcP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DemandeDevis</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Besoin commercial lié par ManyToOne à Client</w:t>
            </w:r>
          </w:p>
        </w:tc>
        <w:tc>
          <w:tcPr>
            <w:tcW w:type="dxa" w:w="2880"/>
          </w:tcP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DocumentRequest</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Demande publique de document technique</w:t>
            </w:r>
          </w:p>
        </w:tc>
        <w:tc>
          <w:tcPr>
            <w:tcW w:type="dxa" w:w="2880"/>
          </w:tcP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TechnicalResource</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Ressource téléchargeable, visibilité et produit concerné</w:t>
            </w:r>
          </w:p>
        </w:tc>
        <w:tc>
          <w:tcPr>
            <w:tcW w:type="dxa" w:w="2880"/>
          </w:tcP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Notification</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Événement généré pour l’administration</w:t>
            </w:r>
          </w:p>
        </w:tc>
        <w:tc>
          <w:tcPr>
            <w:tcW w:type="dxa" w:w="2880"/>
          </w:tcP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NotificationLecture</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Lecture liée à Notification et Utilisateur</w:t>
            </w:r>
          </w:p>
        </w:tc>
        <w:tc>
          <w:tcPr>
            <w:tcW w:type="dxa" w:w="2880"/>
          </w:tcPr>
          <w:p/>
        </w:tc>
      </w:tr>
      <w:tr>
        <w:tc>
          <w:tcPr>
            <w:tcW w:type="dxa" w:w="2131"/>
            <w:vAlign w:val="center"/>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FileAudit</w:t>
            </w:r>
          </w:p>
        </w:tc>
        <w:tc>
          <w:tcPr>
            <w:tcW w:type="dxa" w:w="3777"/>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Trace de contrôle d’un fichier stocké</w:t>
            </w:r>
          </w:p>
        </w:tc>
        <w:tc>
          <w:tcPr>
            <w:tcW w:type="dxa" w:w="2880"/>
          </w:tcPr>
          <w:p/>
        </w:tc>
      </w:tr>
    </w:tbl>
    <w:p>
      <w:pPr>
        <w:spacing w:after="40"/>
      </w:pPr>
    </w:p>
    <w:p>
      <w:pPr>
        <w:pStyle w:val="Heading2"/>
      </w:pPr>
      <w:r>
        <w:rPr>
          <w:rFonts w:ascii="Times New Roman" w:hAnsi="Times New Roman"/>
          <w:color w:val="111111"/>
          <w:sz w:val="24"/>
        </w:rPr>
        <w:t>3.7 Conception de la sécurité</w:t>
      </w:r>
    </w:p>
    <w:p>
      <w:r>
        <w:rPr>
          <w:rFonts w:ascii="Times New Roman" w:hAnsi="Times New Roman" w:eastAsia="Times New Roman"/>
          <w:color w:val="111111"/>
          <w:sz w:val="24"/>
        </w:rPr>
        <w:t>La conception applique une défense en profondeur. Les routes publiques sont limitées aux consultations et créations attendues. Les fonctions d'administration exigent une authentification. Les mots de passe ne sont jamais stockés en clair. Les JWT sont signés avec un secret externe au dépôt. Les origines autorisées sont configurées afin de maîtriser les appels depuis le navigateur.</w:t>
      </w:r>
    </w:p>
    <w:p>
      <w:r>
        <w:rPr>
          <w:rFonts w:ascii="Times New Roman" w:hAnsi="Times New Roman" w:eastAsia="Times New Roman"/>
          <w:color w:val="111111"/>
          <w:sz w:val="24"/>
        </w:rPr>
        <w:t>Les endpoints publics sensibles disposent d'une limitation de fréquence par adresse IP. Les fichiers font l'objet de contrôles de type et de taille. Les PDF privés et les plans de devis ne sont pas exposés directement par Nginx : leur téléchargement passe par des contrôleurs qui appliquent les règles d'accès.</w:t>
      </w:r>
    </w:p>
    <w:p>
      <w:r>
        <w:rPr>
          <w:rFonts w:ascii="Times New Roman" w:hAnsi="Times New Roman" w:eastAsia="Times New Roman"/>
          <w:color w:val="111111"/>
          <w:sz w:val="24"/>
        </w:rPr>
        <w:t>L'option Passkey s'appuie sur WebAuthn pour permettre l'utilisation de Face ID, Touch ID ou Windows Hello. En dehors de localhost, ce mécanisme exige HTTPS, un identifiant RP correspondant au domaine et une validation stricte de l'origine. Les challenges étant actuellement conservés en mémoire, le déploiement recommandé reste mono-instance tant qu'un stockage partagé n'est pas ajouté.</w:t>
      </w:r>
    </w:p>
    <w:p>
      <w:pPr>
        <w:pStyle w:val="Heading2"/>
      </w:pPr>
      <w:r>
        <w:rPr>
          <w:rFonts w:ascii="Times New Roman" w:hAnsi="Times New Roman"/>
          <w:color w:val="111111"/>
          <w:sz w:val="24"/>
        </w:rPr>
        <w:t>3.8 Conception de la montée en charge fonctionnelle</w:t>
      </w:r>
    </w:p>
    <w:p>
      <w:r>
        <w:rPr>
          <w:rFonts w:ascii="Times New Roman" w:hAnsi="Times New Roman" w:eastAsia="Times New Roman"/>
          <w:color w:val="111111"/>
          <w:sz w:val="24"/>
        </w:rPr>
        <w:t>Les listes d'administration ne chargent pas nécessairement toutes les données en une seule fois. Des endpoints dédiés fournissent des pages filtrées et triées pour les demandes, les produits, les documents et les ressources. Le pipeline commercial retourne des colonnes par statut avec des compteurs globaux et un nombre limité de cartes prioritaires. Cette stratégie maintient une interface lisible lorsque le nombre de demandes augmente.</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fig_3_1 \h \* lower</w:instrText>
      </w:r>
      <w:r>
        <w:fldChar w:fldCharType="separate"/>
      </w:r>
      <w:r>
        <w:rPr>
          <w:rFonts w:ascii="Times New Roman" w:hAnsi="Times New Roman"/>
          <w:color w:val="111111"/>
          <w:sz w:val="20"/>
        </w:rPr>
        <w:t>figure 3.1</w:t>
      </w:r>
      <w:r>
        <w:fldChar w:fldCharType="end"/>
      </w:r>
      <w:r>
        <w:rPr>
          <w:rFonts w:ascii="Times New Roman" w:hAnsi="Times New Roman"/>
          <w:color w:val="111111"/>
          <w:sz w:val="24"/>
        </w:rPr>
        <w:t xml:space="preserve"> présente l’architecture réellement préparée : navigateur, frontend React servi derrière Nginx, API Spring Boot, base MySQL et stockage documentaire sur disque. Elle n’introduit aucun microservice absent du dépôt.</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5385515"/>
                  <wp:docPr id="118" name="Picture 118" descr="Image: image9.png"/>
                  <wp:cNvGraphicFramePr>
                    <a:graphicFrameLocks noChangeAspect="1"/>
                  </wp:cNvGraphicFramePr>
                  <a:graphic>
                    <a:graphicData uri="http://schemas.openxmlformats.org/drawingml/2006/picture">
                      <pic:pic>
                        <pic:nvPicPr>
                          <pic:cNvPr id="0" name="01_architecture_globale.png"/>
                          <pic:cNvPicPr/>
                        </pic:nvPicPr>
                        <pic:blipFill>
                          <a:blip r:embed="rId24"/>
                          <a:stretch>
                            <a:fillRect/>
                          </a:stretch>
                        </pic:blipFill>
                        <pic:spPr>
                          <a:xfrm>
                            <a:off x="0" y="0"/>
                            <a:ext cx="5328000" cy="5385515"/>
                          </a:xfrm>
                          <a:prstGeom prst="rect"/>
                        </pic:spPr>
                      </pic:pic>
                    </a:graphicData>
                  </a:graphic>
                </wp:inline>
              </w:drawing>
            </w:r>
          </w:p>
        </w:tc>
      </w:tr>
    </w:tbl>
    <w:p>
      <w:pPr>
        <w:pStyle w:val="FigureCaption"/>
        <w:jc w:val="center"/>
      </w:pPr>
      <w:bookmarkStart w:id="1019" w:name="fig_3_1"/>
      <w:r>
        <w:rPr>
          <w:rFonts w:ascii="Times New Roman" w:hAnsi="Times New Roman"/>
          <w:color w:val="111111"/>
          <w:sz w:val="20"/>
        </w:rPr>
        <w:t>Figure 3.</w:t>
      </w:r>
      <w:r>
        <w:fldChar w:fldCharType="begin"/>
      </w:r>
      <w:r>
        <w:instrText xml:space="preserve">SEQ Figure3 \* ARABIC</w:instrText>
      </w:r>
      <w:r>
        <w:fldChar w:fldCharType="separate"/>
      </w:r>
      <w:r>
        <w:rPr>
          <w:rFonts w:ascii="Times New Roman" w:hAnsi="Times New Roman"/>
          <w:color w:val="111111"/>
          <w:sz w:val="20"/>
        </w:rPr>
        <w:t>1</w:t>
      </w:r>
      <w:r>
        <w:fldChar w:fldCharType="end"/>
      </w:r>
      <w:bookmarkEnd w:id="1019"/>
      <w:r>
        <w:rPr>
          <w:rFonts w:ascii="Times New Roman" w:hAnsi="Times New Roman"/>
          <w:color w:val="111111"/>
          <w:sz w:val="20"/>
        </w:rPr>
        <w:t xml:space="preserve"> — Architecture globale de la plateforme G-ROD</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fig_3_2 \h \* lower</w:instrText>
      </w:r>
      <w:r>
        <w:fldChar w:fldCharType="separate"/>
      </w:r>
      <w:r>
        <w:rPr>
          <w:rFonts w:ascii="Times New Roman" w:hAnsi="Times New Roman"/>
          <w:color w:val="111111"/>
          <w:sz w:val="20"/>
        </w:rPr>
        <w:t>figure 3.2</w:t>
      </w:r>
      <w:r>
        <w:fldChar w:fldCharType="end"/>
      </w:r>
      <w:r>
        <w:rPr>
          <w:rFonts w:ascii="Times New Roman" w:hAnsi="Times New Roman"/>
          <w:color w:val="111111"/>
          <w:sz w:val="24"/>
        </w:rPr>
        <w:t xml:space="preserve"> regroupe les cas d’utilisation publics et administratifs. Elle met en évidence l’absence de compte client public et la protection des fonctions de gestion par authentification.</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2901766" cy="6119999"/>
                  <wp:docPr id="119" name="Picture 119" descr="Image: image10.png"/>
                  <wp:cNvGraphicFramePr>
                    <a:graphicFrameLocks noChangeAspect="1"/>
                  </wp:cNvGraphicFramePr>
                  <a:graphic>
                    <a:graphicData uri="http://schemas.openxmlformats.org/drawingml/2006/picture">
                      <pic:pic>
                        <pic:nvPicPr>
                          <pic:cNvPr id="0" name="02_cas_utilisation_global.png"/>
                          <pic:cNvPicPr/>
                        </pic:nvPicPr>
                        <pic:blipFill>
                          <a:blip r:embed="rId25"/>
                          <a:stretch>
                            <a:fillRect/>
                          </a:stretch>
                        </pic:blipFill>
                        <pic:spPr>
                          <a:xfrm>
                            <a:off x="0" y="0"/>
                            <a:ext cx="2901766" cy="6119999"/>
                          </a:xfrm>
                          <a:prstGeom prst="rect"/>
                        </pic:spPr>
                      </pic:pic>
                    </a:graphicData>
                  </a:graphic>
                </wp:inline>
              </w:drawing>
            </w:r>
          </w:p>
        </w:tc>
      </w:tr>
    </w:tbl>
    <w:p>
      <w:pPr>
        <w:pStyle w:val="FigureCaption"/>
        <w:jc w:val="center"/>
      </w:pPr>
      <w:bookmarkStart w:id="1020" w:name="fig_3_2"/>
      <w:r>
        <w:rPr>
          <w:rFonts w:ascii="Times New Roman" w:hAnsi="Times New Roman"/>
          <w:color w:val="111111"/>
          <w:sz w:val="20"/>
        </w:rPr>
        <w:t>Figure 3.</w:t>
      </w:r>
      <w:r>
        <w:fldChar w:fldCharType="begin"/>
      </w:r>
      <w:r>
        <w:instrText xml:space="preserve">SEQ Figure3 \* ARABIC</w:instrText>
      </w:r>
      <w:r>
        <w:fldChar w:fldCharType="separate"/>
      </w:r>
      <w:r>
        <w:rPr>
          <w:rFonts w:ascii="Times New Roman" w:hAnsi="Times New Roman"/>
          <w:color w:val="111111"/>
          <w:sz w:val="20"/>
        </w:rPr>
        <w:t>2</w:t>
      </w:r>
      <w:r>
        <w:fldChar w:fldCharType="end"/>
      </w:r>
      <w:bookmarkEnd w:id="1020"/>
      <w:r>
        <w:rPr>
          <w:rFonts w:ascii="Times New Roman" w:hAnsi="Times New Roman"/>
          <w:color w:val="111111"/>
          <w:sz w:val="20"/>
        </w:rPr>
        <w:t xml:space="preserve"> — Diagramme global des cas d’utilisation</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fig_3_3 \h \* lower</w:instrText>
      </w:r>
      <w:r>
        <w:fldChar w:fldCharType="separate"/>
      </w:r>
      <w:r>
        <w:rPr>
          <w:rFonts w:ascii="Times New Roman" w:hAnsi="Times New Roman"/>
          <w:color w:val="111111"/>
          <w:sz w:val="20"/>
        </w:rPr>
        <w:t>figure 3.3</w:t>
      </w:r>
      <w:r>
        <w:fldChar w:fldCharType="end"/>
      </w:r>
      <w:r>
        <w:rPr>
          <w:rFonts w:ascii="Times New Roman" w:hAnsi="Times New Roman"/>
          <w:color w:val="111111"/>
          <w:sz w:val="24"/>
        </w:rPr>
        <w:t xml:space="preserve"> suit la création d’un devis depuis React jusqu’aux contrôles, au stockage éventuel du fichier, au client et à la demande persistée.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2927751"/>
                  <wp:docPr id="120" name="Picture 120" descr="Image: image11.png"/>
                  <wp:cNvGraphicFramePr>
                    <a:graphicFrameLocks noChangeAspect="1"/>
                  </wp:cNvGraphicFramePr>
                  <a:graphic>
                    <a:graphicData uri="http://schemas.openxmlformats.org/drawingml/2006/picture">
                      <pic:pic>
                        <pic:nvPicPr>
                          <pic:cNvPr id="0" name="03_sequence_creation_devis.png"/>
                          <pic:cNvPicPr/>
                        </pic:nvPicPr>
                        <pic:blipFill>
                          <a:blip r:embed="rId26"/>
                          <a:stretch>
                            <a:fillRect/>
                          </a:stretch>
                        </pic:blipFill>
                        <pic:spPr>
                          <a:xfrm>
                            <a:off x="0" y="0"/>
                            <a:ext cx="5328000" cy="2927751"/>
                          </a:xfrm>
                          <a:prstGeom prst="rect"/>
                        </pic:spPr>
                      </pic:pic>
                    </a:graphicData>
                  </a:graphic>
                </wp:inline>
              </w:drawing>
            </w:r>
          </w:p>
        </w:tc>
      </w:tr>
    </w:tbl>
    <w:p>
      <w:pPr>
        <w:pStyle w:val="FigureCaption"/>
        <w:jc w:val="center"/>
      </w:pPr>
      <w:bookmarkStart w:id="1021" w:name="fig_3_3"/>
      <w:r>
        <w:rPr>
          <w:rFonts w:ascii="Times New Roman" w:hAnsi="Times New Roman"/>
          <w:color w:val="111111"/>
          <w:sz w:val="20"/>
        </w:rPr>
        <w:t>Figure 3.</w:t>
      </w:r>
      <w:r>
        <w:fldChar w:fldCharType="begin"/>
      </w:r>
      <w:r>
        <w:instrText xml:space="preserve">SEQ Figure3 \* ARABIC</w:instrText>
      </w:r>
      <w:r>
        <w:fldChar w:fldCharType="separate"/>
      </w:r>
      <w:r>
        <w:rPr>
          <w:rFonts w:ascii="Times New Roman" w:hAnsi="Times New Roman"/>
          <w:color w:val="111111"/>
          <w:sz w:val="20"/>
        </w:rPr>
        <w:t>3</w:t>
      </w:r>
      <w:r>
        <w:fldChar w:fldCharType="end"/>
      </w:r>
      <w:bookmarkEnd w:id="1021"/>
      <w:r>
        <w:rPr>
          <w:rFonts w:ascii="Times New Roman" w:hAnsi="Times New Roman"/>
          <w:color w:val="111111"/>
          <w:sz w:val="20"/>
        </w:rPr>
        <w:t xml:space="preserve"> — Diagramme de séquence d’une demande de devis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fig_3_4 \h \* lower</w:instrText>
      </w:r>
      <w:r>
        <w:fldChar w:fldCharType="separate"/>
      </w:r>
      <w:r>
        <w:rPr>
          <w:rFonts w:ascii="Times New Roman" w:hAnsi="Times New Roman"/>
          <w:color w:val="111111"/>
          <w:sz w:val="20"/>
        </w:rPr>
        <w:t>figure 3.4</w:t>
      </w:r>
      <w:r>
        <w:fldChar w:fldCharType="end"/>
      </w:r>
      <w:r>
        <w:rPr>
          <w:rFonts w:ascii="Times New Roman" w:hAnsi="Times New Roman"/>
          <w:color w:val="111111"/>
          <w:sz w:val="24"/>
        </w:rPr>
        <w:t xml:space="preserve"> détaille la connexion principale par mot de passe et JWT. WebAuthn reste un mécanisme optionnel séparé dont les limites sont exposées dans l’audit.</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3477837"/>
                  <wp:docPr id="121" name="Picture 121" descr="Image: image12.png"/>
                  <wp:cNvGraphicFramePr>
                    <a:graphicFrameLocks noChangeAspect="1"/>
                  </wp:cNvGraphicFramePr>
                  <a:graphic>
                    <a:graphicData uri="http://schemas.openxmlformats.org/drawingml/2006/picture">
                      <pic:pic>
                        <pic:nvPicPr>
                          <pic:cNvPr id="0" name="04_sequence_authentification_jwt.png"/>
                          <pic:cNvPicPr/>
                        </pic:nvPicPr>
                        <pic:blipFill>
                          <a:blip r:embed="rId27"/>
                          <a:stretch>
                            <a:fillRect/>
                          </a:stretch>
                        </pic:blipFill>
                        <pic:spPr>
                          <a:xfrm>
                            <a:off x="0" y="0"/>
                            <a:ext cx="5328000" cy="3477837"/>
                          </a:xfrm>
                          <a:prstGeom prst="rect"/>
                        </pic:spPr>
                      </pic:pic>
                    </a:graphicData>
                  </a:graphic>
                </wp:inline>
              </w:drawing>
            </w:r>
          </w:p>
        </w:tc>
      </w:tr>
    </w:tbl>
    <w:p>
      <w:pPr>
        <w:pStyle w:val="FigureCaption"/>
        <w:jc w:val="center"/>
      </w:pPr>
      <w:bookmarkStart w:id="1022" w:name="fig_3_4"/>
      <w:r>
        <w:rPr>
          <w:rFonts w:ascii="Times New Roman" w:hAnsi="Times New Roman"/>
          <w:color w:val="111111"/>
          <w:sz w:val="20"/>
        </w:rPr>
        <w:t>Figure 3.</w:t>
      </w:r>
      <w:r>
        <w:fldChar w:fldCharType="begin"/>
      </w:r>
      <w:r>
        <w:instrText xml:space="preserve">SEQ Figure3 \* ARABIC</w:instrText>
      </w:r>
      <w:r>
        <w:fldChar w:fldCharType="separate"/>
      </w:r>
      <w:r>
        <w:rPr>
          <w:rFonts w:ascii="Times New Roman" w:hAnsi="Times New Roman"/>
          <w:color w:val="111111"/>
          <w:sz w:val="20"/>
        </w:rPr>
        <w:t>4</w:t>
      </w:r>
      <w:r>
        <w:fldChar w:fldCharType="end"/>
      </w:r>
      <w:bookmarkEnd w:id="1022"/>
      <w:r>
        <w:rPr>
          <w:rFonts w:ascii="Times New Roman" w:hAnsi="Times New Roman"/>
          <w:color w:val="111111"/>
          <w:sz w:val="20"/>
        </w:rPr>
        <w:t xml:space="preserve"> — Diagramme de séquence de l’authentification JWT</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fig_3_5 \h \* lower</w:instrText>
      </w:r>
      <w:r>
        <w:fldChar w:fldCharType="separate"/>
      </w:r>
      <w:r>
        <w:rPr>
          <w:rFonts w:ascii="Times New Roman" w:hAnsi="Times New Roman"/>
          <w:color w:val="111111"/>
          <w:sz w:val="20"/>
        </w:rPr>
        <w:t>figure 3.5</w:t>
      </w:r>
      <w:r>
        <w:fldChar w:fldCharType="end"/>
      </w:r>
      <w:r>
        <w:rPr>
          <w:rFonts w:ascii="Times New Roman" w:hAnsi="Times New Roman"/>
          <w:color w:val="111111"/>
          <w:sz w:val="24"/>
        </w:rPr>
        <w:t xml:space="preserve"> montre la consultation puis la mise à jour d’une demande dans l’administration, avec persistance du statut et génération de notification.</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4064988"/>
                  <wp:docPr id="122" name="Picture 122" descr="Image: image13.png"/>
                  <wp:cNvGraphicFramePr>
                    <a:graphicFrameLocks noChangeAspect="1"/>
                  </wp:cNvGraphicFramePr>
                  <a:graphic>
                    <a:graphicData uri="http://schemas.openxmlformats.org/drawingml/2006/picture">
                      <pic:pic>
                        <pic:nvPicPr>
                          <pic:cNvPr id="0" name="05_sequence_traitement_demande.png"/>
                          <pic:cNvPicPr/>
                        </pic:nvPicPr>
                        <pic:blipFill>
                          <a:blip r:embed="rId28"/>
                          <a:stretch>
                            <a:fillRect/>
                          </a:stretch>
                        </pic:blipFill>
                        <pic:spPr>
                          <a:xfrm>
                            <a:off x="0" y="0"/>
                            <a:ext cx="5328000" cy="4064988"/>
                          </a:xfrm>
                          <a:prstGeom prst="rect"/>
                        </pic:spPr>
                      </pic:pic>
                    </a:graphicData>
                  </a:graphic>
                </wp:inline>
              </w:drawing>
            </w:r>
          </w:p>
        </w:tc>
      </w:tr>
    </w:tbl>
    <w:p>
      <w:pPr>
        <w:pStyle w:val="FigureCaption"/>
        <w:jc w:val="center"/>
      </w:pPr>
      <w:bookmarkStart w:id="1023" w:name="fig_3_5"/>
      <w:r>
        <w:rPr>
          <w:rFonts w:ascii="Times New Roman" w:hAnsi="Times New Roman"/>
          <w:color w:val="111111"/>
          <w:sz w:val="20"/>
        </w:rPr>
        <w:t>Figure 3.</w:t>
      </w:r>
      <w:r>
        <w:fldChar w:fldCharType="begin"/>
      </w:r>
      <w:r>
        <w:instrText xml:space="preserve">SEQ Figure3 \* ARABIC</w:instrText>
      </w:r>
      <w:r>
        <w:fldChar w:fldCharType="separate"/>
      </w:r>
      <w:r>
        <w:rPr>
          <w:rFonts w:ascii="Times New Roman" w:hAnsi="Times New Roman"/>
          <w:color w:val="111111"/>
          <w:sz w:val="20"/>
        </w:rPr>
        <w:t>5</w:t>
      </w:r>
      <w:r>
        <w:fldChar w:fldCharType="end"/>
      </w:r>
      <w:bookmarkEnd w:id="1023"/>
      <w:r>
        <w:rPr>
          <w:rFonts w:ascii="Times New Roman" w:hAnsi="Times New Roman"/>
          <w:color w:val="111111"/>
          <w:sz w:val="20"/>
        </w:rPr>
        <w:t xml:space="preserve"> — Diagramme de séquence du traitement administratif</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fig_3_6 \h \* lower</w:instrText>
      </w:r>
      <w:r>
        <w:fldChar w:fldCharType="separate"/>
      </w:r>
      <w:r>
        <w:rPr>
          <w:rFonts w:ascii="Times New Roman" w:hAnsi="Times New Roman"/>
          <w:color w:val="111111"/>
          <w:sz w:val="20"/>
        </w:rPr>
        <w:t>figure 3.6</w:t>
      </w:r>
      <w:r>
        <w:fldChar w:fldCharType="end"/>
      </w:r>
      <w:r>
        <w:rPr>
          <w:rFonts w:ascii="Times New Roman" w:hAnsi="Times New Roman"/>
          <w:color w:val="111111"/>
          <w:sz w:val="24"/>
        </w:rPr>
        <w:t xml:space="preserve"> représente les dix entités détectées dans le code et uniquement les associations JPA explicites, afin de ne pas inventer de relations.</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5412380"/>
                  <wp:docPr id="123" name="Picture 123" descr="Image: image14.png"/>
                  <wp:cNvGraphicFramePr>
                    <a:graphicFrameLocks noChangeAspect="1"/>
                  </wp:cNvGraphicFramePr>
                  <a:graphic>
                    <a:graphicData uri="http://schemas.openxmlformats.org/drawingml/2006/picture">
                      <pic:pic>
                        <pic:nvPicPr>
                          <pic:cNvPr id="0" name="06_modele_metier_jpa.png"/>
                          <pic:cNvPicPr/>
                        </pic:nvPicPr>
                        <pic:blipFill>
                          <a:blip r:embed="rId29"/>
                          <a:stretch>
                            <a:fillRect/>
                          </a:stretch>
                        </pic:blipFill>
                        <pic:spPr>
                          <a:xfrm>
                            <a:off x="0" y="0"/>
                            <a:ext cx="5328000" cy="5412380"/>
                          </a:xfrm>
                          <a:prstGeom prst="rect"/>
                        </pic:spPr>
                      </pic:pic>
                    </a:graphicData>
                  </a:graphic>
                </wp:inline>
              </w:drawing>
            </w:r>
          </w:p>
        </w:tc>
      </w:tr>
    </w:tbl>
    <w:p>
      <w:pPr>
        <w:pStyle w:val="FigureCaption"/>
        <w:jc w:val="center"/>
      </w:pPr>
      <w:bookmarkStart w:id="1024" w:name="fig_3_6"/>
      <w:r>
        <w:rPr>
          <w:rFonts w:ascii="Times New Roman" w:hAnsi="Times New Roman"/>
          <w:color w:val="111111"/>
          <w:sz w:val="20"/>
        </w:rPr>
        <w:t>Figure 3.</w:t>
      </w:r>
      <w:r>
        <w:fldChar w:fldCharType="begin"/>
      </w:r>
      <w:r>
        <w:instrText xml:space="preserve">SEQ Figure3 \* ARABIC</w:instrText>
      </w:r>
      <w:r>
        <w:fldChar w:fldCharType="separate"/>
      </w:r>
      <w:r>
        <w:rPr>
          <w:rFonts w:ascii="Times New Roman" w:hAnsi="Times New Roman"/>
          <w:color w:val="111111"/>
          <w:sz w:val="20"/>
        </w:rPr>
        <w:t>6</w:t>
      </w:r>
      <w:r>
        <w:fldChar w:fldCharType="end"/>
      </w:r>
      <w:bookmarkEnd w:id="1024"/>
      <w:r>
        <w:rPr>
          <w:rFonts w:ascii="Times New Roman" w:hAnsi="Times New Roman"/>
          <w:color w:val="111111"/>
          <w:sz w:val="20"/>
        </w:rPr>
        <w:t xml:space="preserve"> — Modèle métier JPA constaté dans le code</w:t>
      </w:r>
    </w:p>
    <w:p>
      <w:pPr>
        <w:pStyle w:val="Heading2"/>
      </w:pPr>
      <w:r>
        <w:rPr>
          <w:rFonts w:ascii="Times New Roman" w:hAnsi="Times New Roman" w:eastAsia="Times New Roman" w:cs="Times New Roman"/>
          <w:b/>
          <w:color w:val="111111"/>
          <w:sz w:val="24"/>
        </w:rPr>
        <w:t>3.9 Cohérence des diagrammes avec l’implémentation</w:t>
      </w:r>
    </w:p>
    <w:p>
      <w:pPr>
        <w:jc w:val="both"/>
      </w:pPr>
      <w:r>
        <w:rPr>
          <w:rFonts w:ascii="Times New Roman" w:hAnsi="Times New Roman" w:eastAsia="Times New Roman" w:cs="Times New Roman"/>
          <w:color w:val="111111"/>
          <w:sz w:val="24"/>
        </w:rPr>
        <w:t>Les six diagrammes de ce chapitre ont été reconstruits à partir des routes, contrôleurs, services et entités présents dans le dépôt. L’architecture globale distingue le navigateur, le frontend React, l’API Spring Boot, MySQL et le stockage sur disque. Cette représentation ne fait apparaître ni microservice ni service cloud, car la Release Candidate est une application déployable comme un ensemble frontend/backend. Nginx est présenté comme cible de reverse proxy dans les fichiers de préparation, et non comme un déploiement déjà réalisé.</w:t>
      </w:r>
    </w:p>
    <w:p>
      <w:pPr>
        <w:jc w:val="both"/>
      </w:pPr>
      <w:r>
        <w:rPr>
          <w:rFonts w:ascii="Times New Roman" w:hAnsi="Times New Roman" w:eastAsia="Times New Roman" w:cs="Times New Roman"/>
          <w:color w:val="111111"/>
          <w:sz w:val="24"/>
        </w:rPr>
        <w:t>Le diagramme de cas d’utilisation rassemble les fonctions publiques et administratives. Il montre que le visiteur peut consulter, rechercher, visualiser et envoyer des demandes, alors que l’administrateur doit s’authentifier avant d’accéder aux opérations de suivi et de maintenance. Le formulaire de devis n’exige pas la création préalable d’un compte client. À la réception, le backend crée ou rapproche le client à partir des informations disponibles puis enregistre la demande. Cette organisation correspond à l’objectif de réduire les obstacles au premier contact.</w:t>
      </w:r>
    </w:p>
    <w:p>
      <w:pPr>
        <w:jc w:val="both"/>
      </w:pPr>
      <w:r>
        <w:rPr>
          <w:rFonts w:ascii="Times New Roman" w:hAnsi="Times New Roman" w:eastAsia="Times New Roman" w:cs="Times New Roman"/>
          <w:color w:val="111111"/>
          <w:sz w:val="24"/>
        </w:rPr>
        <w:t>Les trois diagrammes de séquence détaillent les points sensibles. Pour un devis, la validation du formulaire et du fichier précède l’écriture métier. Lorsqu’un fichier temporaire doit devenir définitif, sa promotion sur disque intervient au début du traitement transactionnel, avant les écritures en base. Cette séquence explique une limite relevée par l’audit : un échec de base après la promotion pourrait laisser un fichier orphelin. Pour l’authentification, la vérification des identifiants produit un JWT utilisé ensuite dans l’en-tête Authorization. Pour le traitement administratif, le changement de statut déclenche la persistance et la création d’une notification consultable dans le centre dédié.</w:t>
      </w:r>
    </w:p>
    <w:p>
      <w:pPr>
        <w:jc w:val="both"/>
      </w:pPr>
      <w:r>
        <w:rPr>
          <w:rFonts w:ascii="Times New Roman" w:hAnsi="Times New Roman" w:eastAsia="Times New Roman" w:cs="Times New Roman"/>
          <w:color w:val="111111"/>
          <w:sz w:val="24"/>
        </w:rPr>
        <w:t>Le modèle JPA contient dix classes annotées comme entités. Seules trois associations sont matérialisées par des relations JPA : DemandeDevis vers Client, puis NotificationLecture vers Notification et Utilisateur. Les autres références métier sont stockées sous forme de valeurs scalaires. Le diagramme le montre volontairement, au lieu de supposer des associations qui n’existent pas. Ce choix facilite la lecture de l’état actuel et permet d’identifier les normalisations possibles comme une perspective, sans les confondre avec le travail livré.</w:t>
      </w:r>
    </w:p>
    <w:p>
      <w:pPr>
        <w:pStyle w:val="Heading2"/>
      </w:pPr>
      <w:r>
        <w:rPr>
          <w:rFonts w:ascii="Times New Roman" w:hAnsi="Times New Roman" w:eastAsia="Times New Roman" w:cs="Times New Roman"/>
          <w:b/>
          <w:color w:val="111111"/>
          <w:sz w:val="24"/>
        </w:rPr>
        <w:t>3.10 Choix de sécurité et compromis</w:t>
      </w:r>
    </w:p>
    <w:p>
      <w:pPr>
        <w:jc w:val="both"/>
      </w:pPr>
      <w:r>
        <w:rPr>
          <w:rFonts w:ascii="Times New Roman" w:hAnsi="Times New Roman" w:eastAsia="Times New Roman" w:cs="Times New Roman"/>
          <w:color w:val="111111"/>
          <w:sz w:val="24"/>
        </w:rPr>
        <w:t>La protection de l’administration combine plusieurs niveaux. Spring Security filtre les routes, le mot de passe est haché par BCrypt et le JWT transporte l’identité pour les appels suivants. Des en-têtes de sécurité et des règles CORS configurables complètent ce mécanisme. Une limitation de débit réduit les tentatives répétées sur certains points d’entrée. Son stockage est cependant local à la mémoire de l’instance : il devra être externalisé si plusieurs serveurs partagent le trafic.</w:t>
      </w:r>
    </w:p>
    <w:p>
      <w:pPr>
        <w:jc w:val="both"/>
      </w:pPr>
      <w:r>
        <w:rPr>
          <w:rFonts w:ascii="Times New Roman" w:hAnsi="Times New Roman" w:eastAsia="Times New Roman" w:cs="Times New Roman"/>
          <w:color w:val="111111"/>
          <w:sz w:val="24"/>
        </w:rPr>
        <w:t>Le support Passkey repose sur WebAuthn, mais l’audit ne le classe pas comme totalement abouti. Les challenges sont conservés en mémoire, le compteur de signature n’est pas mis à jour et certains indicateurs utilisateur ne sont pas explicitement vérifiés. Dans le rapport, cette fonction est donc décrite comme un support partiel et optionnel. Le mode de connexion JWT reste le mécanisme principal validé par les scénarios de recette.</w:t>
      </w:r>
    </w:p>
    <w:p>
      <w:pPr>
        <w:pStyle w:val="Heading2"/>
      </w:pPr>
      <w:r>
        <w:rPr>
          <w:rFonts w:ascii="Times New Roman" w:hAnsi="Times New Roman"/>
          <w:color w:val="111111"/>
          <w:sz w:val="24"/>
        </w:rPr>
        <w:t>Conclusion du chapitre 3</w:t>
      </w:r>
    </w:p>
    <w:p>
      <w:r>
        <w:rPr>
          <w:rFonts w:ascii="Times New Roman" w:hAnsi="Times New Roman" w:eastAsia="Times New Roman"/>
          <w:color w:val="111111"/>
          <w:sz w:val="24"/>
        </w:rPr>
        <w:t>La conception retenue sépare clairement l'interface, l'API, les règles métier, les données et les fichiers. Les modèles d'interaction et de sécurité définissent le cadre de la réalisation présentée dans le dernier chapitre.</w:t>
      </w:r>
    </w:p>
    <w:p>
      <w:r>
        <w:rPr>
          <w:rFonts w:ascii="Times New Roman" w:hAnsi="Times New Roman"/>
          <w:color w:val="111111"/>
          <w:sz w:val="24"/>
        </w:rPr>
        <w:br w:type="page"/>
      </w:r>
    </w:p>
    <w:p>
      <w:pPr>
        <w:spacing w:before="1600" w:after="240"/>
        <w:jc w:val="center"/>
      </w:pPr>
      <w:r>
        <w:rPr>
          <w:rFonts w:ascii="Times New Roman" w:hAnsi="Times New Roman" w:eastAsia="Arial"/>
          <w:b/>
          <w:color w:val="111111"/>
          <w:sz w:val="24"/>
        </w:rPr>
        <w:t>CHAPITRE 4</w:t>
      </w:r>
    </w:p>
    <w:p>
      <w:pPr>
        <w:pStyle w:val="Heading1"/>
      </w:pPr>
      <w:r>
        <w:rPr>
          <w:rFonts w:ascii="Times New Roman" w:hAnsi="Times New Roman" w:eastAsia="Times New Roman"/>
          <w:b/>
          <w:color w:val="111111"/>
          <w:sz w:val="24"/>
        </w:rPr>
        <w:t>4. Réalisation et mise en œuvre</w:t>
      </w:r>
    </w:p>
    <w:p>
      <w:pPr>
        <w:spacing w:after="560"/>
        <w:jc w:val="center"/>
      </w:pPr>
      <w:r>
        <w:rPr>
          <w:rFonts w:ascii="Times New Roman" w:hAnsi="Times New Roman" w:eastAsia="Times New Roman"/>
          <w:i/>
          <w:color w:val="111111"/>
          <w:sz w:val="24"/>
        </w:rPr>
        <w:t>Décrire les fonctionnalités livrées, les contrôles de qualité et la préparation de l'exploitation.</w:t>
      </w:r>
    </w:p>
    <w:p>
      <w:pPr>
        <w:jc w:val="center"/>
      </w:pPr>
      <w:r>
        <w:rPr>
          <w:rFonts w:ascii="Times New Roman" w:hAnsi="Times New Roman" w:eastAsia="Arial"/>
          <w:color w:val="111111"/>
          <w:sz w:val="24"/>
        </w:rPr>
        <w:t>●</w:t>
      </w:r>
    </w:p>
    <w:p>
      <w:r>
        <w:rPr>
          <w:rFonts w:ascii="Times New Roman" w:hAnsi="Times New Roman"/>
          <w:color w:val="111111"/>
          <w:sz w:val="24"/>
        </w:rPr>
        <w:br w:type="page"/>
      </w:r>
    </w:p>
    <w:p>
      <w:pPr>
        <w:pStyle w:val="Heading2"/>
      </w:pPr>
      <w:r>
        <w:rPr>
          <w:rFonts w:ascii="Times New Roman" w:hAnsi="Times New Roman"/>
          <w:color w:val="111111"/>
          <w:sz w:val="24"/>
        </w:rPr>
        <w:t>Introduction du chapitre</w:t>
      </w:r>
    </w:p>
    <w:p>
      <w:pPr>
        <w:jc w:val="both"/>
      </w:pPr>
      <w:r>
        <w:rPr>
          <w:rFonts w:ascii="Times New Roman" w:hAnsi="Times New Roman"/>
          <w:color w:val="111111"/>
          <w:sz w:val="24"/>
        </w:rPr>
        <w:t>Ce chapitre présente l’environnement de développement, les modules réalisés, les mécanismes de sécurité et de gestion des fichiers, la recette ainsi que la préparation du déploiement.</w:t>
      </w:r>
    </w:p>
    <w:p>
      <w:pPr>
        <w:pStyle w:val="Heading2"/>
      </w:pPr>
      <w:r>
        <w:rPr>
          <w:rFonts w:ascii="Times New Roman" w:hAnsi="Times New Roman"/>
          <w:color w:val="111111"/>
          <w:sz w:val="24"/>
        </w:rPr>
        <w:t>4.1 Environnement technique</w:t>
      </w:r>
    </w:p>
    <w:p>
      <w:pPr>
        <w:pStyle w:val="TableCaption"/>
        <w:jc w:val="center"/>
      </w:pPr>
      <w:bookmarkStart w:id="1025" w:name="tab_4_1"/>
      <w:r>
        <w:rPr>
          <w:rFonts w:ascii="Times New Roman" w:hAnsi="Times New Roman"/>
          <w:color w:val="111111"/>
          <w:sz w:val="20"/>
        </w:rPr>
        <w:t>Tableau 4.</w:t>
      </w:r>
      <w:r>
        <w:fldChar w:fldCharType="begin"/>
      </w:r>
      <w:r>
        <w:instrText xml:space="preserve">SEQ Tableau4 \* ARABIC</w:instrText>
      </w:r>
      <w:r>
        <w:fldChar w:fldCharType="separate"/>
      </w:r>
      <w:r>
        <w:rPr>
          <w:rFonts w:ascii="Times New Roman" w:hAnsi="Times New Roman"/>
          <w:color w:val="111111"/>
          <w:sz w:val="20"/>
        </w:rPr>
        <w:t>1</w:t>
      </w:r>
      <w:r>
        <w:fldChar w:fldCharType="end"/>
      </w:r>
      <w:bookmarkEnd w:id="1025"/>
      <w:r>
        <w:rPr>
          <w:rFonts w:ascii="Times New Roman" w:hAnsi="Times New Roman"/>
          <w:color w:val="111111"/>
          <w:sz w:val="20"/>
        </w:rPr>
        <w:t xml:space="preserve"> — Technologies et outils</w:t>
      </w:r>
    </w:p>
    <w:tbl>
      <w:tblPr>
        <w:tblStyle w:val="TableGrid"/>
        <w:tblW w:type="dxa" w:w="8788"/>
        <w:jc w:val="left"/>
        <w:tblLayout w:type="fixed"/>
        <w:tblLook w:firstColumn="1" w:firstRow="1" w:lastColumn="0" w:lastRow="0" w:noHBand="0" w:noVBand="1" w:val="04A0"/>
        <w:tblInd w:w="120" w:type="dxa"/>
      </w:tblPr>
      <w:tblGrid>
        <w:gridCol w:w="2131"/>
        <w:gridCol w:w="2131"/>
        <w:gridCol w:w="4526"/>
      </w:tblGrid>
      <w:tr>
        <w:trPr>
          <w:tblHeader w:val="true"/>
        </w:trPr>
        <w:tc>
          <w:tcPr>
            <w:tcW w:type="dxa" w:w="213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Technologie</w:t>
            </w:r>
          </w:p>
        </w:tc>
        <w:tc>
          <w:tcPr>
            <w:tcW w:type="dxa" w:w="213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Version observée</w:t>
            </w:r>
          </w:p>
        </w:tc>
        <w:tc>
          <w:tcPr>
            <w:tcW w:type="dxa" w:w="4526"/>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Utilisation</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Java</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21</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Langage du backend.</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Spring Boot</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3.5.14</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API REST et configuration applicative.</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Spring Security</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Gérée par Spring Boot</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Authentification, autorisation et BCrypt.</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MySQL</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Configuration projet</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Base relationnelle métier.</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Flyway</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Gérée par Spring Boot</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Migration du schéma.</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React</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19.2.6</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Interface publique et administration.</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React Router</w:t>
            </w:r>
          </w:p>
        </w:tc>
        <w:tc>
          <w:tcPr>
            <w:tcW w:type="dxa" w:w="2131"/>
            <w:vAlign w:val="center"/>
            <w:tcMar>
              <w:top w:w="90" w:type="dxa"/>
              <w:bottom w:w="90" w:type="dxa"/>
              <w:start w:w="120" w:type="dxa"/>
              <w:end w:w="120" w:type="dxa"/>
            </w:tcMar>
          </w:tcPr>
          <w:p>
            <w:r>
              <w:rPr>
                <w:rFonts w:ascii="Times New Roman" w:hAnsi="Times New Roman"/>
                <w:color w:val="111111"/>
                <w:sz w:val="19"/>
              </w:rPr>
              <w:t>7.18.2</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Navigation côté client.</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Vite</w:t>
            </w:r>
          </w:p>
        </w:tc>
        <w:tc>
          <w:tcPr>
            <w:tcW w:type="dxa" w:w="2131"/>
            <w:shd w:fill="F7FAF8"/>
            <w:vAlign w:val="center"/>
            <w:tcMar>
              <w:top w:w="90" w:type="dxa"/>
              <w:bottom w:w="90" w:type="dxa"/>
              <w:start w:w="120" w:type="dxa"/>
              <w:end w:w="120" w:type="dxa"/>
            </w:tcMar>
          </w:tcPr>
          <w:p>
            <w:r>
              <w:rPr>
                <w:rFonts w:ascii="Times New Roman" w:hAnsi="Times New Roman"/>
                <w:color w:val="111111"/>
                <w:sz w:val="19"/>
              </w:rPr>
              <w:t>8.2.1</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Développement et build frontend.</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Three.js</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0.185.1</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Aperçus 3D des produits.</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Playwright</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1.62.1</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Tests de bout en bout et responsive.</w:t>
            </w:r>
          </w:p>
        </w:tc>
      </w:tr>
    </w:tbl>
    <w:p>
      <w:pPr>
        <w:spacing w:after="40"/>
      </w:pPr>
    </w:p>
    <w:p>
      <w:pPr>
        <w:pStyle w:val="Heading2"/>
      </w:pPr>
      <w:r>
        <w:rPr>
          <w:rFonts w:ascii="Times New Roman" w:hAnsi="Times New Roman"/>
          <w:color w:val="111111"/>
          <w:sz w:val="24"/>
        </w:rPr>
        <w:t>4.2 Réalisation du backend</w:t>
      </w:r>
    </w:p>
    <w:p>
      <w:r>
        <w:rPr>
          <w:rFonts w:ascii="Times New Roman" w:hAnsi="Times New Roman" w:eastAsia="Times New Roman"/>
          <w:color w:val="111111"/>
          <w:sz w:val="24"/>
        </w:rPr>
        <w:t>L'API expose des contrôleurs spécialisés pour l'authentification, les produits, les clients, les demandes de devis, les demandes de documents, les ressources techniques, les notifications, les préférences et les Passkeys. Les échanges utilisent des DTO validés afin de limiter les données acceptées et retournées.</w:t>
      </w:r>
    </w:p>
    <w:p>
      <w:r>
        <w:rPr>
          <w:rFonts w:ascii="Times New Roman" w:hAnsi="Times New Roman" w:eastAsia="Times New Roman"/>
          <w:color w:val="111111"/>
          <w:sz w:val="24"/>
        </w:rPr>
        <w:t>Les services métier gèrent notamment la création des demandes, la génération de PDF, la consolidation des clients, les changements de statut, les notifications et le cycle de vie des fichiers. Les repositories Spring Data fournissent les recherches, les agrégations, les compteurs et la pagination nécessaires aux tableaux d'administration.</w:t>
      </w:r>
    </w:p>
    <w:p>
      <w:r>
        <w:rPr>
          <w:rFonts w:ascii="Times New Roman" w:hAnsi="Times New Roman" w:eastAsia="Times New Roman"/>
          <w:color w:val="111111"/>
          <w:sz w:val="24"/>
        </w:rPr>
        <w:t>Le composant d'initialisation crée uniquement les données de référence absentes. Il ne réécrit pas un produit déjà administré. Cette idempotence évite qu'un produit désactivé ou modifié depuis l'administration soit réinitialisé au redémarrage du backend.</w:t>
      </w:r>
    </w:p>
    <w:p>
      <w:pPr>
        <w:pStyle w:val="Heading2"/>
      </w:pPr>
      <w:r>
        <w:rPr>
          <w:rFonts w:ascii="Times New Roman" w:hAnsi="Times New Roman"/>
          <w:color w:val="111111"/>
          <w:sz w:val="24"/>
        </w:rPr>
        <w:t>4.3 Réalisation du site public</w:t>
      </w:r>
    </w:p>
    <w:p>
      <w:pPr>
        <w:pStyle w:val="Heading3"/>
      </w:pPr>
      <w:r>
        <w:rPr>
          <w:rFonts w:ascii="Times New Roman" w:hAnsi="Times New Roman"/>
          <w:color w:val="111111"/>
          <w:sz w:val="24"/>
        </w:rPr>
        <w:t>4.3.1 Accueil et identité</w:t>
      </w:r>
    </w:p>
    <w:p>
      <w:r>
        <w:rPr>
          <w:rFonts w:ascii="Times New Roman" w:hAnsi="Times New Roman" w:eastAsia="Times New Roman"/>
          <w:color w:val="111111"/>
          <w:sz w:val="24"/>
        </w:rPr>
        <w:t>La page d'accueil présente G-ROD, les engagements liés au cuivre recyclé, les produits mis en avant et les principaux appels à l'action. La navigation donne accès au catalogue, aux ressources, au processus de production, à la présentation de l'entreprise et au formulaire de devis.</w:t>
      </w:r>
    </w:p>
    <w:p>
      <w:pPr>
        <w:jc w:val="center"/>
      </w:pPr>
      <w:r>
        <w:rPr>
          <w:rFonts w:ascii="Times New Roman" w:hAnsi="Times New Roman"/>
          <w:color w:val="111111"/>
          <w:sz w:val="24"/>
        </w:rPr>
        <w:drawing>
          <wp:inline xmlns:a="http://schemas.openxmlformats.org/drawingml/2006/main" xmlns:pic="http://schemas.openxmlformats.org/drawingml/2006/picture">
            <wp:extent cx="5472000" cy="3644438"/>
            <wp:docPr id="15" name="Picture 5" descr="Illustration de la réception des matières premières"/>
            <wp:cNvGraphicFramePr>
              <a:graphicFrameLocks noChangeAspect="1"/>
            </wp:cNvGraphicFramePr>
            <a:graphic>
              <a:graphicData uri="http://schemas.openxmlformats.org/drawingml/2006/picture">
                <pic:pic>
                  <pic:nvPicPr>
                    <pic:cNvPr id="6" name="process-reception.jpg"/>
                    <pic:cNvPicPr/>
                  </pic:nvPicPr>
                  <pic:blipFill>
                    <a:blip r:embed="rId15"/>
                    <a:stretch>
                      <a:fillRect/>
                    </a:stretch>
                  </pic:blipFill>
                  <pic:spPr>
                    <a:xfrm>
                      <a:off x="0" y="0"/>
                      <a:ext cx="5472000" cy="3644438"/>
                    </a:xfrm>
                    <a:prstGeom prst="rect"/>
                  </pic:spPr>
                </pic:pic>
              </a:graphicData>
            </a:graphic>
          </wp:inline>
        </w:drawing>
      </w:r>
    </w:p>
    <w:p>
      <w:pPr>
        <w:pStyle w:val="FigureCaption"/>
        <w:jc w:val="center"/>
      </w:pPr>
      <w:bookmarkStart w:id="1026" w:name="fig_4_1"/>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w:t>
      </w:r>
      <w:r>
        <w:fldChar w:fldCharType="end"/>
      </w:r>
      <w:bookmarkEnd w:id="1026"/>
      <w:r>
        <w:rPr>
          <w:rFonts w:ascii="Times New Roman" w:hAnsi="Times New Roman"/>
          <w:color w:val="111111"/>
          <w:sz w:val="20"/>
        </w:rPr>
        <w:t xml:space="preserve"> — Réception et tri des matières premières</w:t>
      </w:r>
    </w:p>
    <w:p>
      <w:pPr>
        <w:pStyle w:val="Heading3"/>
      </w:pPr>
      <w:r>
        <w:rPr>
          <w:rFonts w:ascii="Times New Roman" w:hAnsi="Times New Roman"/>
          <w:color w:val="111111"/>
          <w:sz w:val="24"/>
        </w:rPr>
        <w:t>4.3.2 Catalogue et fiches produits</w:t>
      </w:r>
    </w:p>
    <w:p>
      <w:r>
        <w:rPr>
          <w:rFonts w:ascii="Times New Roman" w:hAnsi="Times New Roman" w:eastAsia="Times New Roman"/>
          <w:color w:val="111111"/>
          <w:sz w:val="24"/>
        </w:rPr>
        <w:t>Le catalogue charge les produits actifs depuis l'API. L'utilisateur peut effectuer une recherche, filtrer selon l'application, limiter l'affichage aux produits actifs et changer le mode de présentation. Un assistant de sélection propose un produit à partir de l'application et du besoin principal lorsqu'une correspondance est disponible.</w:t>
      </w:r>
    </w:p>
    <w:p>
      <w:r>
        <w:rPr>
          <w:rFonts w:ascii="Times New Roman" w:hAnsi="Times New Roman" w:eastAsia="Times New Roman"/>
          <w:color w:val="111111"/>
          <w:sz w:val="24"/>
        </w:rPr>
        <w:t>Chaque fiche produit regroupe l'image, la description, la pureté, les dimensions, les normes, les applications et les documents associés. Les valeurs non disponibles ne sont pas inventées. Les aperçus 3D utilisent des modèles GLB locaux et sont chargés à la demande pour limiter le coût initial.</w:t>
      </w:r>
    </w:p>
    <w:p>
      <w:pPr>
        <w:pStyle w:val="Heading3"/>
      </w:pPr>
      <w:r>
        <w:rPr>
          <w:rFonts w:ascii="Times New Roman" w:hAnsi="Times New Roman"/>
          <w:color w:val="111111"/>
          <w:sz w:val="24"/>
        </w:rPr>
        <w:t>4.3.3 Demande de devis</w:t>
      </w:r>
    </w:p>
    <w:p>
      <w:r>
        <w:rPr>
          <w:rFonts w:ascii="Times New Roman" w:hAnsi="Times New Roman" w:eastAsia="Times New Roman"/>
          <w:color w:val="111111"/>
          <w:sz w:val="24"/>
        </w:rPr>
        <w:t>Le formulaire de devis recueille les coordonnées, le produit, la quantité et les précisions techniques. Il peut inclure un lien vers un plan, un besoin de livraison et une pièce jointe. Les champs obligatoires et les formats sont contrôlés avant l'enregistrement. Une référence unique facilite ensuite le suivi dans l'administration.</w:t>
      </w:r>
    </w:p>
    <w:p>
      <w:pPr>
        <w:pStyle w:val="Heading3"/>
      </w:pPr>
      <w:r>
        <w:rPr>
          <w:rFonts w:ascii="Times New Roman" w:hAnsi="Times New Roman"/>
          <w:color w:val="111111"/>
          <w:sz w:val="24"/>
        </w:rPr>
        <w:t>4.3.4 Ressources et demandes documentaires</w:t>
      </w:r>
    </w:p>
    <w:p>
      <w:r>
        <w:rPr>
          <w:rFonts w:ascii="Times New Roman" w:hAnsi="Times New Roman" w:eastAsia="Times New Roman"/>
          <w:color w:val="111111"/>
          <w:sz w:val="24"/>
        </w:rPr>
        <w:t>La page Ressources présente les documents techniques actifs et publics. La recherche s'appuie sur le titre, le type, le produit et les mots-clés disponibles. Lorsqu'un document n'est pas directement accessible, le visiteur peut transmettre une demande en précisant le type et le produit concernés.</w:t>
      </w:r>
    </w:p>
    <w:p>
      <w:pPr>
        <w:jc w:val="center"/>
      </w:pPr>
      <w:r>
        <w:rPr>
          <w:rFonts w:ascii="Times New Roman" w:hAnsi="Times New Roman"/>
          <w:color w:val="111111"/>
          <w:sz w:val="24"/>
        </w:rPr>
        <w:drawing>
          <wp:inline xmlns:a="http://schemas.openxmlformats.org/drawingml/2006/main" xmlns:pic="http://schemas.openxmlformats.org/drawingml/2006/picture">
            <wp:extent cx="5472000" cy="3644438"/>
            <wp:docPr id="16" name="Picture 6" descr="Illustration du contrôle de qualité en laboratoire"/>
            <wp:cNvGraphicFramePr>
              <a:graphicFrameLocks noChangeAspect="1"/>
            </wp:cNvGraphicFramePr>
            <a:graphic>
              <a:graphicData uri="http://schemas.openxmlformats.org/drawingml/2006/picture">
                <pic:pic>
                  <pic:nvPicPr>
                    <pic:cNvPr id="7" name="process-lab.jpg"/>
                    <pic:cNvPicPr/>
                  </pic:nvPicPr>
                  <pic:blipFill>
                    <a:blip r:embed="rId16"/>
                    <a:stretch>
                      <a:fillRect/>
                    </a:stretch>
                  </pic:blipFill>
                  <pic:spPr>
                    <a:xfrm>
                      <a:off x="0" y="0"/>
                      <a:ext cx="5472000" cy="3644438"/>
                    </a:xfrm>
                    <a:prstGeom prst="rect"/>
                  </pic:spPr>
                </pic:pic>
              </a:graphicData>
            </a:graphic>
          </wp:inline>
        </w:drawing>
      </w:r>
    </w:p>
    <w:p>
      <w:pPr>
        <w:pStyle w:val="FigureCaption"/>
        <w:jc w:val="center"/>
      </w:pPr>
      <w:bookmarkStart w:id="1027" w:name="fig_4_2"/>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2</w:t>
      </w:r>
      <w:r>
        <w:fldChar w:fldCharType="end"/>
      </w:r>
      <w:bookmarkEnd w:id="1027"/>
      <w:r>
        <w:rPr>
          <w:rFonts w:ascii="Times New Roman" w:hAnsi="Times New Roman"/>
          <w:color w:val="111111"/>
          <w:sz w:val="20"/>
        </w:rPr>
        <w:t xml:space="preserve"> — Contrôle en laboratoire</w:t>
      </w:r>
    </w:p>
    <w:p>
      <w:pPr>
        <w:pStyle w:val="Heading3"/>
      </w:pPr>
      <w:r>
        <w:rPr>
          <w:rFonts w:ascii="Times New Roman" w:hAnsi="Times New Roman"/>
          <w:color w:val="111111"/>
          <w:sz w:val="24"/>
        </w:rPr>
        <w:t>4.3.5 Expérience responsive et PWA</w:t>
      </w:r>
    </w:p>
    <w:p>
      <w:r>
        <w:rPr>
          <w:rFonts w:ascii="Times New Roman" w:hAnsi="Times New Roman" w:eastAsia="Times New Roman"/>
          <w:color w:val="111111"/>
          <w:sz w:val="24"/>
        </w:rPr>
        <w:t>L'interface adapte la navigation, les grilles, les formulaires et les contenus aux formats desktop, tablette et mobile. Un manifeste, un service worker et les icônes nécessaires permettent au navigateur de proposer l'installation de l'application lorsque les critères PWA sont satisfaits. La plateforme reste une application web et non une application mobile native.</w:t>
      </w:r>
    </w:p>
    <w:p>
      <w:r>
        <w:rPr>
          <w:rFonts w:ascii="Times New Roman" w:hAnsi="Times New Roman" w:eastAsia="Times New Roman"/>
          <w:color w:val="111111"/>
          <w:sz w:val="24"/>
        </w:rPr>
        <w:t>Le mode sombre est disponible sur les pages publiques et administratives. Des corrections spécifiques ont été apportées aux contrastes, aux champs, aux cartes et aux tableaux afin de préserver la lisibilité dans les deux thèmes.</w:t>
      </w:r>
    </w:p>
    <w:p>
      <w:pPr>
        <w:pStyle w:val="Heading2"/>
      </w:pPr>
      <w:r>
        <w:rPr>
          <w:rFonts w:ascii="Times New Roman" w:hAnsi="Times New Roman"/>
          <w:color w:val="111111"/>
          <w:sz w:val="24"/>
        </w:rPr>
        <w:t>4.4 Réalisation de l'espace administrateur</w:t>
      </w:r>
    </w:p>
    <w:p>
      <w:pPr>
        <w:pStyle w:val="Heading3"/>
      </w:pPr>
      <w:r>
        <w:rPr>
          <w:rFonts w:ascii="Times New Roman" w:hAnsi="Times New Roman"/>
          <w:color w:val="111111"/>
          <w:sz w:val="24"/>
        </w:rPr>
        <w:t>4.4.1 Dashboard commercial</w:t>
      </w:r>
    </w:p>
    <w:p>
      <w:r>
        <w:rPr>
          <w:rFonts w:ascii="Times New Roman" w:hAnsi="Times New Roman" w:eastAsia="Times New Roman"/>
          <w:color w:val="111111"/>
          <w:sz w:val="24"/>
        </w:rPr>
        <w:t>Le dashboard fournit une synthèse des demandes totales, des nouvelles demandes, des documents en attente et des produits actifs. Il affiche également les demandes récentes, l'état du catalogue, des actions rapides, des analyses commerciales et un pipeline par statut. Les compteurs proviennent des données réelles du backend.</w:t>
      </w:r>
    </w:p>
    <w:p>
      <w:r>
        <w:rPr>
          <w:rFonts w:ascii="Times New Roman" w:hAnsi="Times New Roman" w:eastAsia="Times New Roman"/>
          <w:color w:val="111111"/>
          <w:sz w:val="24"/>
        </w:rPr>
        <w:t>Le pipeline distingue les demandes nouvelles, en traitement, traitées et annulées. Chaque colonne affiche un compteur global, tandis que les cartes visibles sont limitées aux demandes les plus prioritaires. Un accès permet d'ouvrir la liste filtrée lorsqu'un volume supérieur doit être consulté.</w:t>
      </w:r>
    </w:p>
    <w:p>
      <w:pPr>
        <w:pStyle w:val="Heading3"/>
      </w:pPr>
      <w:r>
        <w:rPr>
          <w:rFonts w:ascii="Times New Roman" w:hAnsi="Times New Roman"/>
          <w:color w:val="111111"/>
          <w:sz w:val="24"/>
        </w:rPr>
        <w:t>4.4.2 Gestion des demandes</w:t>
      </w:r>
    </w:p>
    <w:p>
      <w:r>
        <w:rPr>
          <w:rFonts w:ascii="Times New Roman" w:hAnsi="Times New Roman" w:eastAsia="Times New Roman"/>
          <w:color w:val="111111"/>
          <w:sz w:val="24"/>
        </w:rPr>
        <w:t>La page Demandes combine recherche, statut, tri et pagination côté serveur. Les informations essentielles — référence, client, produit, date, quantité, priorité et statut — sont regroupées dans une vue opérationnelle. L'administrateur peut télécharger le PDF, ouvrir une pièce jointe autorisée, changer le statut et supprimer une demande selon le besoin métier.</w:t>
      </w:r>
    </w:p>
    <w:p>
      <w:pPr>
        <w:pStyle w:val="Heading3"/>
      </w:pPr>
      <w:r>
        <w:rPr>
          <w:rFonts w:ascii="Times New Roman" w:hAnsi="Times New Roman"/>
          <w:color w:val="111111"/>
          <w:sz w:val="24"/>
        </w:rPr>
        <w:t>4.4.3 Gestion des clients</w:t>
      </w:r>
    </w:p>
    <w:p>
      <w:r>
        <w:rPr>
          <w:rFonts w:ascii="Times New Roman" w:hAnsi="Times New Roman" w:eastAsia="Times New Roman"/>
          <w:color w:val="111111"/>
          <w:sz w:val="24"/>
        </w:rPr>
        <w:t>Les clients sont consolidés à partir des demandes réelles. La page affiche les coordonnées, le nombre de demandes, les produits concernés, la dernière interaction et l'état du suivi. Un panneau de détail et une page d'historique permettent d'examiner les demandes rattachées à un même client sans créer de données artificielles.</w:t>
      </w:r>
    </w:p>
    <w:p>
      <w:pPr>
        <w:pStyle w:val="Heading3"/>
      </w:pPr>
      <w:r>
        <w:rPr>
          <w:rFonts w:ascii="Times New Roman" w:hAnsi="Times New Roman"/>
          <w:color w:val="111111"/>
          <w:sz w:val="24"/>
        </w:rPr>
        <w:t>4.4.4 Gestion des produits</w:t>
      </w:r>
    </w:p>
    <w:p>
      <w:r>
        <w:rPr>
          <w:rFonts w:ascii="Times New Roman" w:hAnsi="Times New Roman" w:eastAsia="Times New Roman"/>
          <w:color w:val="111111"/>
          <w:sz w:val="24"/>
        </w:rPr>
        <w:t>L'administrateur peut créer, modifier, activer ou désactiver un produit, gérer son image et renseigner ses caractéristiques. Les images sont téléversées par un endpoint spécialisé, puis leur chemin est associé au produit. La logique d'initialisation préserve ensuite toutes les modifications administratives lors des redémarrages.</w:t>
      </w:r>
    </w:p>
    <w:p>
      <w:pPr>
        <w:pStyle w:val="Heading3"/>
      </w:pPr>
      <w:r>
        <w:rPr>
          <w:rFonts w:ascii="Times New Roman" w:hAnsi="Times New Roman"/>
          <w:color w:val="111111"/>
          <w:sz w:val="24"/>
        </w:rPr>
        <w:t>4.4.5 Documents et ressources techniques</w:t>
      </w:r>
    </w:p>
    <w:p>
      <w:r>
        <w:rPr>
          <w:rFonts w:ascii="Times New Roman" w:hAnsi="Times New Roman" w:eastAsia="Times New Roman"/>
          <w:color w:val="111111"/>
          <w:sz w:val="24"/>
        </w:rPr>
        <w:t>Les demandes de documents disposent de leur propre page et de statuts métier. Les ressources techniques sont administrées sous forme de PDF avec un titre, un type, un produit éventuel, une visibilité publique ou privée et un état actif. Les types proposés proviennent de valeurs réellement utilisables afin d'éviter un formulaire bloqué sur une liste vide.</w:t>
      </w:r>
    </w:p>
    <w:p>
      <w:pPr>
        <w:pStyle w:val="Heading3"/>
      </w:pPr>
      <w:r>
        <w:rPr>
          <w:rFonts w:ascii="Times New Roman" w:hAnsi="Times New Roman"/>
          <w:color w:val="111111"/>
          <w:sz w:val="24"/>
        </w:rPr>
        <w:t>4.4.6 Notifications</w:t>
      </w:r>
    </w:p>
    <w:p>
      <w:r>
        <w:rPr>
          <w:rFonts w:ascii="Times New Roman" w:hAnsi="Times New Roman" w:eastAsia="Times New Roman"/>
          <w:color w:val="111111"/>
          <w:sz w:val="24"/>
        </w:rPr>
        <w:t>La cloche de la topbar et l'entrée de la sidebar utilisent le même compteur de notifications non lues. Le dropdown affiche les événements récents et permet de les marquer comme lus. La page dédiée propose les catégories réellement calculables et des liens vers la demande, le document ou le client associé lorsqu'une navigation valide existe.</w:t>
      </w:r>
    </w:p>
    <w:p>
      <w:r>
        <w:rPr>
          <w:rFonts w:ascii="Times New Roman" w:hAnsi="Times New Roman" w:eastAsia="Times New Roman"/>
          <w:color w:val="111111"/>
          <w:sz w:val="24"/>
        </w:rPr>
        <w:t>L'état lu/non lu est persisté côté backend pour chaque utilisateur via une entité de lecture. Le badge disparaît lorsque le nombre est nul et se met à jour après une action de lecture.</w:t>
      </w:r>
    </w:p>
    <w:p>
      <w:pPr>
        <w:pStyle w:val="Heading3"/>
      </w:pPr>
      <w:r>
        <w:rPr>
          <w:rFonts w:ascii="Times New Roman" w:hAnsi="Times New Roman"/>
          <w:color w:val="111111"/>
          <w:sz w:val="24"/>
        </w:rPr>
        <w:t>4.4.7 Mon compte et Passkey</w:t>
      </w:r>
    </w:p>
    <w:p>
      <w:r>
        <w:rPr>
          <w:rFonts w:ascii="Times New Roman" w:hAnsi="Times New Roman" w:eastAsia="Times New Roman"/>
          <w:color w:val="111111"/>
          <w:sz w:val="24"/>
        </w:rPr>
        <w:t>La page Mon compte sépare le profil, la sécurité et les préférences. Le paramètre tab de l'URL constitue la source de vérité pour permettre le rafraîchissement direct et la navigation précédent/suivant. La section Sécurité conserve le changement de mot de passe et l'activation d'une Passkey. Les préférences de notification peuvent être enregistrées côté backend sans afficher d'informations fictives.</w:t>
      </w:r>
    </w:p>
    <w:p>
      <w:pPr>
        <w:pStyle w:val="Heading3"/>
      </w:pPr>
      <w:r>
        <w:rPr>
          <w:rFonts w:ascii="Times New Roman" w:hAnsi="Times New Roman"/>
          <w:color w:val="111111"/>
          <w:sz w:val="24"/>
        </w:rPr>
        <w:t>4.4.8 Sidebar responsive</w:t>
      </w:r>
    </w:p>
    <w:p>
      <w:r>
        <w:rPr>
          <w:rFonts w:ascii="Times New Roman" w:hAnsi="Times New Roman" w:eastAsia="Times New Roman"/>
          <w:color w:val="111111"/>
          <w:sz w:val="24"/>
        </w:rPr>
        <w:t>Sur desktop, la sidebar peut être réduite aux icônes ; son état est conservé localement. Sur mobile et tablette, elle devient un drawer fermé par le bouton, l'overlay ou la navigation. Une seule source d'état au niveau de l'espace Admin évite de reproduire cette logique dans chaque page.</w:t>
      </w:r>
    </w:p>
    <w:p>
      <w:pPr>
        <w:pStyle w:val="Heading2"/>
      </w:pPr>
      <w:r>
        <w:rPr>
          <w:rFonts w:ascii="Times New Roman" w:hAnsi="Times New Roman"/>
          <w:color w:val="111111"/>
          <w:sz w:val="24"/>
        </w:rPr>
        <w:t>4.5 Gestion des fichiers</w:t>
      </w:r>
    </w:p>
    <w:p>
      <w:r>
        <w:rPr>
          <w:rFonts w:ascii="Times New Roman" w:hAnsi="Times New Roman" w:eastAsia="Times New Roman"/>
          <w:color w:val="111111"/>
          <w:sz w:val="24"/>
        </w:rPr>
        <w:t>Les fichiers de devis sont d'abord placés dans un répertoire temporaire puis déplacés vers leur emplacement définitif uniquement lorsque la création métier réussit. Un nettoyage planifié cible les fichiers temporaires expirés, sans supprimer automatiquement les fichiers définitifs. Un service d'audit peut identifier les fichiers potentiellement orphelins en lecture seule.</w:t>
      </w:r>
    </w:p>
    <w:p>
      <w:r>
        <w:rPr>
          <w:rFonts w:ascii="Times New Roman" w:hAnsi="Times New Roman" w:eastAsia="Times New Roman"/>
          <w:color w:val="111111"/>
          <w:sz w:val="24"/>
        </w:rPr>
        <w:t>En production, les uploads sont placés hors du répertoire public. Les images produits peuvent être relayées de manière contrôlée, tandis que les plans de devis et documents privés nécessitent un endpoint authentifié. Cette organisation réduit le risque de contournement des règles d'accès.</w:t>
      </w:r>
    </w:p>
    <w:p>
      <w:pPr>
        <w:pStyle w:val="Heading2"/>
      </w:pPr>
      <w:r>
        <w:rPr>
          <w:rFonts w:ascii="Times New Roman" w:hAnsi="Times New Roman"/>
          <w:color w:val="111111"/>
          <w:sz w:val="24"/>
        </w:rPr>
        <w:t>4.6 Tests et recette</w:t>
      </w:r>
    </w:p>
    <w:p>
      <w:r>
        <w:rPr>
          <w:rFonts w:ascii="Times New Roman" w:hAnsi="Times New Roman" w:eastAsia="Times New Roman"/>
          <w:color w:val="111111"/>
          <w:sz w:val="24"/>
        </w:rPr>
        <w:t>La stratégie de qualité combine plusieurs niveaux. Les tests backend utilisent JUnit, Spring Boot Test, Spring Security Test et une base H2 isolée. Les scénarios Playwright démarrent un environnement de test indépendant de la base MySQL métier, avec leurs propres uploads.</w:t>
      </w:r>
    </w:p>
    <w:p>
      <w:pPr>
        <w:pStyle w:val="TableCaption"/>
        <w:jc w:val="center"/>
      </w:pPr>
      <w:bookmarkStart w:id="1028" w:name="tab_4_2"/>
      <w:r>
        <w:rPr>
          <w:rFonts w:ascii="Times New Roman" w:hAnsi="Times New Roman"/>
          <w:color w:val="111111"/>
          <w:sz w:val="20"/>
        </w:rPr>
        <w:t>Tableau 4.</w:t>
      </w:r>
      <w:r>
        <w:fldChar w:fldCharType="begin"/>
      </w:r>
      <w:r>
        <w:instrText xml:space="preserve">SEQ Tableau4 \* ARABIC</w:instrText>
      </w:r>
      <w:r>
        <w:fldChar w:fldCharType="separate"/>
      </w:r>
      <w:r>
        <w:rPr>
          <w:rFonts w:ascii="Times New Roman" w:hAnsi="Times New Roman"/>
          <w:color w:val="111111"/>
          <w:sz w:val="20"/>
        </w:rPr>
        <w:t>2</w:t>
      </w:r>
      <w:r>
        <w:fldChar w:fldCharType="end"/>
      </w:r>
      <w:bookmarkEnd w:id="1028"/>
      <w:r>
        <w:rPr>
          <w:rFonts w:ascii="Times New Roman" w:hAnsi="Times New Roman"/>
          <w:color w:val="111111"/>
          <w:sz w:val="20"/>
        </w:rPr>
        <w:t xml:space="preserve"> — Synthèse des tests</w:t>
      </w:r>
    </w:p>
    <w:tbl>
      <w:tblPr>
        <w:tblStyle w:val="TableGrid"/>
        <w:tblW w:type="dxa" w:w="8788"/>
        <w:jc w:val="left"/>
        <w:tblLayout w:type="fixed"/>
        <w:tblLook w:firstColumn="1" w:firstRow="1" w:lastColumn="0" w:lastRow="0" w:noHBand="0" w:noVBand="1" w:val="04A0"/>
        <w:tblInd w:w="120" w:type="dxa"/>
      </w:tblPr>
      <w:tblGrid>
        <w:gridCol w:w="2034"/>
        <w:gridCol w:w="2131"/>
        <w:gridCol w:w="4623"/>
      </w:tblGrid>
      <w:tr>
        <w:trPr>
          <w:tblHeader w:val="true"/>
        </w:trPr>
        <w:tc>
          <w:tcPr>
            <w:tcW w:type="dxa" w:w="2034"/>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Vérification</w:t>
            </w:r>
          </w:p>
        </w:tc>
        <w:tc>
          <w:tcPr>
            <w:tcW w:type="dxa" w:w="213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Résultat observé</w:t>
            </w:r>
          </w:p>
        </w:tc>
        <w:tc>
          <w:tcPr>
            <w:tcW w:type="dxa" w:w="4623"/>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Couverture</w:t>
            </w:r>
          </w:p>
        </w:tc>
      </w:tr>
      <w:tr>
        <w:tc>
          <w:tcPr>
            <w:tcW w:type="dxa" w:w="2034"/>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Tests Maven</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44 tests réussis</w:t>
            </w:r>
          </w:p>
        </w:tc>
        <w:tc>
          <w:tcPr>
            <w:tcW w:type="dxa" w:w="462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Services, sécurité, migrations, initialisation, fichiers, pagination et pipeline.</w:t>
            </w:r>
          </w:p>
        </w:tc>
      </w:tr>
      <w:tr>
        <w:tc>
          <w:tcPr>
            <w:tcW w:type="dxa" w:w="2034"/>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ESLint</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Aucune erreur</w:t>
            </w:r>
          </w:p>
        </w:tc>
        <w:tc>
          <w:tcPr>
            <w:tcW w:type="dxa" w:w="462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Qualité statique du code frontend.</w:t>
            </w:r>
          </w:p>
        </w:tc>
      </w:tr>
      <w:tr>
        <w:tc>
          <w:tcPr>
            <w:tcW w:type="dxa" w:w="2034"/>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Build Vite</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Build réussi</w:t>
            </w:r>
          </w:p>
        </w:tc>
        <w:tc>
          <w:tcPr>
            <w:tcW w:type="dxa" w:w="4623"/>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Production des assets frontend.</w:t>
            </w:r>
          </w:p>
        </w:tc>
      </w:tr>
      <w:tr>
        <w:tc>
          <w:tcPr>
            <w:tcW w:type="dxa" w:w="2034"/>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Playwright</w:t>
            </w:r>
          </w:p>
        </w:tc>
        <w:tc>
          <w:tcPr>
            <w:tcW w:type="dxa" w:w="2131"/>
            <w:shd w:fill="F7FAF8"/>
            <w:vAlign w:val="center"/>
            <w:tcMar>
              <w:top w:w="90" w:type="dxa"/>
              <w:bottom w:w="90" w:type="dxa"/>
              <w:start w:w="120" w:type="dxa"/>
              <w:end w:w="120" w:type="dxa"/>
            </w:tcMar>
          </w:tcPr>
          <w:p>
            <w:r>
              <w:rPr>
                <w:rFonts w:ascii="Times New Roman" w:hAnsi="Times New Roman"/>
                <w:color w:val="111111"/>
                <w:sz w:val="19"/>
              </w:rPr>
              <w:t>37/38 scénarios réussis</w:t>
            </w:r>
          </w:p>
        </w:tc>
        <w:tc>
          <w:tcPr>
            <w:tcW w:type="dxa" w:w="4623"/>
            <w:shd w:fill="F7FAF8"/>
            <w:vAlign w:val="center"/>
            <w:tcMar>
              <w:top w:w="90" w:type="dxa"/>
              <w:bottom w:w="90" w:type="dxa"/>
              <w:start w:w="120" w:type="dxa"/>
              <w:end w:w="120" w:type="dxa"/>
            </w:tcMar>
          </w:tcPr>
          <w:p>
            <w:r>
              <w:rPr>
                <w:rFonts w:ascii="Times New Roman" w:hAnsi="Times New Roman"/>
                <w:color w:val="111111"/>
                <w:sz w:val="19"/>
              </w:rPr>
              <w:t>37 réussites ; un échec lié à huit URL d’images seed externes non résolues.</w:t>
            </w:r>
          </w:p>
        </w:tc>
      </w:tr>
      <w:tr>
        <w:tc>
          <w:tcPr>
            <w:tcW w:type="dxa" w:w="2034"/>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Recette réelle</w:t>
            </w:r>
          </w:p>
        </w:tc>
        <w:tc>
          <w:tcPr>
            <w:tcW w:type="dxa" w:w="2131"/>
            <w:vAlign w:val="center"/>
            <w:tcMar>
              <w:top w:w="90" w:type="dxa"/>
              <w:bottom w:w="90" w:type="dxa"/>
              <w:start w:w="120" w:type="dxa"/>
              <w:end w:w="120" w:type="dxa"/>
            </w:tcMar>
          </w:tcPr>
          <w:p>
            <w:r>
              <w:rPr>
                <w:rFonts w:ascii="Times New Roman" w:hAnsi="Times New Roman"/>
                <w:color w:val="111111"/>
                <w:sz w:val="19"/>
              </w:rPr>
              <w:t>Profil E2E H2 et frontend local accessibles</w:t>
            </w:r>
          </w:p>
        </w:tc>
        <w:tc>
          <w:tcPr>
            <w:tcW w:type="dxa" w:w="4623"/>
            <w:vAlign w:val="center"/>
            <w:tcMar>
              <w:top w:w="90" w:type="dxa"/>
              <w:bottom w:w="90" w:type="dxa"/>
              <w:start w:w="120" w:type="dxa"/>
              <w:end w:w="120" w:type="dxa"/>
            </w:tcMar>
          </w:tcPr>
          <w:p>
            <w:r>
              <w:rPr>
                <w:rFonts w:ascii="Times New Roman" w:hAnsi="Times New Roman"/>
                <w:color w:val="111111"/>
                <w:sz w:val="19"/>
              </w:rPr>
              <w:t>Aucune recette MySQL de production ni mise en ligne publique n’a été vérifiée.</w:t>
            </w:r>
          </w:p>
        </w:tc>
      </w:tr>
    </w:tbl>
    <w:p>
      <w:pPr>
        <w:spacing w:after="40"/>
      </w:pPr>
    </w:p>
    <w:p>
      <w:r>
        <w:rPr>
          <w:rFonts w:ascii="Times New Roman" w:hAnsi="Times New Roman" w:eastAsia="Times New Roman"/>
          <w:color w:val="111111"/>
          <w:sz w:val="24"/>
        </w:rPr>
        <w:t>La recette couvre notamment la connexion, la gestion des statuts, la persistance des images produits, les notifications, les documents, les ressources, la navigation du compte, la sidebar, les affichages desktop/tablette/mobile et le chargement différé des modèles 3D.</w:t>
      </w:r>
    </w:p>
    <w:p>
      <w:pPr>
        <w:pStyle w:val="Heading3"/>
      </w:pPr>
      <w:r>
        <w:rPr>
          <w:rFonts w:ascii="Times New Roman" w:hAnsi="Times New Roman" w:eastAsia="Times New Roman" w:cs="Times New Roman"/>
          <w:b/>
          <w:color w:val="111111"/>
          <w:sz w:val="24"/>
        </w:rPr>
        <w:t>4.6.1 Stratégie de validation</w:t>
      </w:r>
    </w:p>
    <w:p>
      <w:pPr>
        <w:jc w:val="both"/>
      </w:pPr>
      <w:r>
        <w:rPr>
          <w:rFonts w:ascii="Times New Roman" w:hAnsi="Times New Roman" w:eastAsia="Times New Roman" w:cs="Times New Roman"/>
          <w:color w:val="111111"/>
          <w:sz w:val="24"/>
        </w:rPr>
        <w:t>La validation a été organisée en couches afin de distinguer les erreurs de logique backend, les défauts statiques du frontend, les problèmes de compilation et les ruptures de parcours dans le navigateur. Le backend est lancé avec un profil de test H2, ce qui évite de modifier une base MySQL de travail. Les scénarios Playwright utilisent également des comptes et des données fictives. Cette séparation rend les essais reproductibles et protège les informations métier.</w:t>
      </w:r>
    </w:p>
    <w:p>
      <w:pPr>
        <w:pStyle w:val="Heading3"/>
      </w:pPr>
      <w:r>
        <w:rPr>
          <w:rFonts w:ascii="Times New Roman" w:hAnsi="Times New Roman" w:eastAsia="Times New Roman" w:cs="Times New Roman"/>
          <w:b/>
          <w:color w:val="111111"/>
          <w:sz w:val="24"/>
        </w:rPr>
        <w:t>4.6.2 Tests backend : 44/44</w:t>
      </w:r>
    </w:p>
    <w:p>
      <w:pPr>
        <w:jc w:val="both"/>
      </w:pPr>
      <w:r>
        <w:rPr>
          <w:rFonts w:ascii="Times New Roman" w:hAnsi="Times New Roman" w:eastAsia="Times New Roman" w:cs="Times New Roman"/>
          <w:color w:val="111111"/>
          <w:sz w:val="24"/>
        </w:rPr>
        <w:t>La commande Maven de test termine avec 44 tests réussis sur 44, sans échec ni erreur. Les contrôles couvrent notamment l’authentification, les demandes, les validations, les fichiers et plusieurs règles de sécurité. Ce résultat montre que les cas automatisés existants sont stables dans l’environnement H2. Il ne prouve pas à lui seul le comportement sur une base MySQL de production ni la résistance sous forte charge ; ces deux aspects restent explicitement hors de la recette effectuée.</w:t>
      </w:r>
    </w:p>
    <w:p>
      <w:pPr>
        <w:pStyle w:val="Heading3"/>
      </w:pPr>
      <w:r>
        <w:rPr>
          <w:rFonts w:ascii="Times New Roman" w:hAnsi="Times New Roman" w:eastAsia="Times New Roman" w:cs="Times New Roman"/>
          <w:b/>
          <w:color w:val="111111"/>
          <w:sz w:val="24"/>
        </w:rPr>
        <w:t>4.6.3 Qualité statique et build frontend</w:t>
      </w:r>
    </w:p>
    <w:p>
      <w:pPr>
        <w:jc w:val="both"/>
      </w:pPr>
      <w:r>
        <w:rPr>
          <w:rFonts w:ascii="Times New Roman" w:hAnsi="Times New Roman" w:eastAsia="Times New Roman" w:cs="Times New Roman"/>
          <w:color w:val="111111"/>
          <w:sz w:val="24"/>
        </w:rPr>
        <w:t>ESLint s’exécute avec succès sur le code frontend. Le build Vite de production aboutit également et génère les ressources distribuables. La sortie met toutefois en évidence un morceau JavaScript lié à la 3D d’environ 614,5 kB, supérieur au seuil d’avertissement de 500 kB. Le chargement différé du visualiseur limite déjà son impact sur le premier affichage, mais un découpage complémentaire et une vérification de la compression restent conseillés avant une diffusion à grande échelle.</w:t>
      </w:r>
    </w:p>
    <w:p>
      <w:pPr>
        <w:pStyle w:val="Heading3"/>
      </w:pPr>
      <w:r>
        <w:rPr>
          <w:rFonts w:ascii="Times New Roman" w:hAnsi="Times New Roman" w:eastAsia="Times New Roman" w:cs="Times New Roman"/>
          <w:b/>
          <w:color w:val="111111"/>
          <w:sz w:val="24"/>
        </w:rPr>
        <w:t>4.6.4 Recette Playwright : 37/38</w:t>
      </w:r>
    </w:p>
    <w:p>
      <w:pPr>
        <w:jc w:val="both"/>
      </w:pPr>
      <w:r>
        <w:rPr>
          <w:rFonts w:ascii="Times New Roman" w:hAnsi="Times New Roman" w:eastAsia="Times New Roman" w:cs="Times New Roman"/>
          <w:color w:val="111111"/>
          <w:sz w:val="24"/>
        </w:rPr>
        <w:t>La campagne Playwright comporte 38 scénarios, dont 37 réussissent. Les cinq parcours identifiés comme critiques passent, ainsi que 32 autres scénarios. Ils couvrent notamment la navigation publique, le catalogue, les demandes, la connexion administrateur et les écrans de suivi. L’unique échec est causé par huit URL d’images initiales pointant vers des domaines externes qui ne sont plus résolus ; le navigateur remonte net::ERR_NAME_NOT_RESOLVED. Les images locales ajoutées par l’administration fonctionnent et le défaut ne bloque pas les opérations métier principales.</w:t>
      </w:r>
    </w:p>
    <w:p>
      <w:pPr>
        <w:pStyle w:val="Heading3"/>
      </w:pPr>
      <w:r>
        <w:rPr>
          <w:rFonts w:ascii="Times New Roman" w:hAnsi="Times New Roman" w:eastAsia="Times New Roman" w:cs="Times New Roman"/>
          <w:b/>
          <w:color w:val="111111"/>
          <w:sz w:val="24"/>
        </w:rPr>
        <w:t>4.6.5 Lecture critique des résultats</w:t>
      </w:r>
    </w:p>
    <w:p>
      <w:pPr>
        <w:jc w:val="both"/>
      </w:pPr>
      <w:r>
        <w:rPr>
          <w:rFonts w:ascii="Times New Roman" w:hAnsi="Times New Roman" w:eastAsia="Times New Roman" w:cs="Times New Roman"/>
          <w:color w:val="111111"/>
          <w:sz w:val="24"/>
        </w:rPr>
        <w:t>Le bilan n’est donc pas présenté comme un résultat parfait. La Release Candidate satisfait les contrôles principaux, mais le jeu de données initial doit cesser de dépendre d’hôtes externes pour obtenir une recette complètement verte. La solution recommandée est de remplacer ces URL par des ressources locales versionnées ou gérées par le stockage applicatif. Cette correction concerne les données de démonstration ; elle ne nécessite pas de modifier le fonctionnement du catalogue.</w:t>
      </w:r>
    </w:p>
    <w:p>
      <w:pPr>
        <w:pStyle w:val="TableCaption"/>
        <w:jc w:val="center"/>
      </w:pPr>
      <w:bookmarkStart w:id="1029" w:name="tab_4_3"/>
      <w:r>
        <w:rPr>
          <w:rFonts w:ascii="Times New Roman" w:hAnsi="Times New Roman"/>
          <w:color w:val="111111"/>
          <w:sz w:val="20"/>
        </w:rPr>
        <w:t>Tableau 4.</w:t>
      </w:r>
      <w:r>
        <w:fldChar w:fldCharType="begin"/>
      </w:r>
      <w:r>
        <w:instrText xml:space="preserve">SEQ Tableau4 \* ARABIC</w:instrText>
      </w:r>
      <w:r>
        <w:fldChar w:fldCharType="separate"/>
      </w:r>
      <w:r>
        <w:rPr>
          <w:rFonts w:ascii="Times New Roman" w:hAnsi="Times New Roman"/>
          <w:color w:val="111111"/>
          <w:sz w:val="20"/>
        </w:rPr>
        <w:t>3</w:t>
      </w:r>
      <w:r>
        <w:fldChar w:fldCharType="end"/>
      </w:r>
      <w:bookmarkEnd w:id="1029"/>
      <w:r>
        <w:rPr>
          <w:rFonts w:ascii="Times New Roman" w:hAnsi="Times New Roman"/>
          <w:color w:val="111111"/>
          <w:sz w:val="20"/>
        </w:rPr>
        <w:t xml:space="preserve"> — Résultats détaillés de la validation finale</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1984"/>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Contrôle</w:t>
            </w:r>
          </w:p>
        </w:tc>
        <w:tc>
          <w:tcPr>
            <w:tcW w:type="dxa" w:w="2154"/>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Résultat réel</w:t>
            </w:r>
          </w:p>
        </w:tc>
        <w:tc>
          <w:tcPr>
            <w:tcW w:type="dxa" w:w="4365"/>
            <w:vAlign w:val="center"/>
            <w:shd w:fill="006B3C"/>
          </w:tcPr>
          <w:p>
            <w:pPr>
              <w:spacing w:after="40"/>
              <w:jc w:val="left"/>
            </w:pPr>
            <w:r>
              <w:rPr>
                <w:rFonts w:ascii="Times New Roman" w:hAnsi="Times New Roman"/>
                <w:color w:val="111111"/>
                <w:sz w:val="19"/>
              </w:rPr>
            </w:r>
            <w:r>
              <w:rPr>
                <w:rFonts w:ascii="Times New Roman" w:hAnsi="Times New Roman" w:eastAsia="Times New Roman" w:cs="Times New Roman"/>
                <w:b/>
                <w:color w:val="111111"/>
                <w:sz w:val="19"/>
              </w:rPr>
              <w:t>Interprétation</w:t>
            </w:r>
          </w:p>
        </w:tc>
        <w:trPr>
          <w:tblHeader/>
        </w:trPr>
      </w:tr>
      <w:tr>
        <w:tc>
          <w:tcPr>
            <w:tcW w:type="dxa" w:w="1984"/>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Backend Maven</w:t>
            </w:r>
          </w:p>
        </w:tc>
        <w:tc>
          <w:tcPr>
            <w:tcW w:type="dxa" w:w="2154"/>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44/44 réussis</w:t>
            </w:r>
          </w:p>
        </w:tc>
        <w:tc>
          <w:tcPr>
            <w:tcW w:type="dxa" w:w="4365"/>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Aucun échec dans le profil H2</w:t>
            </w:r>
          </w:p>
        </w:tc>
      </w:tr>
      <w:tr>
        <w:tc>
          <w:tcPr>
            <w:tcW w:type="dxa" w:w="1984"/>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ESLint</w:t>
            </w:r>
          </w:p>
        </w:tc>
        <w:tc>
          <w:tcPr>
            <w:tcW w:type="dxa" w:w="2154"/>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Réussi</w:t>
            </w:r>
          </w:p>
        </w:tc>
        <w:tc>
          <w:tcPr>
            <w:tcW w:type="dxa" w:w="4365"/>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Aucune erreur bloquante signalée</w:t>
            </w:r>
          </w:p>
        </w:tc>
      </w:tr>
      <w:tr>
        <w:tc>
          <w:tcPr>
            <w:tcW w:type="dxa" w:w="1984"/>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Build Vite</w:t>
            </w:r>
          </w:p>
        </w:tc>
        <w:tc>
          <w:tcPr>
            <w:tcW w:type="dxa" w:w="2154"/>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Réussi</w:t>
            </w:r>
          </w:p>
        </w:tc>
        <w:tc>
          <w:tcPr>
            <w:tcW w:type="dxa" w:w="4365"/>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Artefacts produits ; avertissement chunk 3D</w:t>
            </w:r>
          </w:p>
        </w:tc>
      </w:tr>
      <w:tr>
        <w:tc>
          <w:tcPr>
            <w:tcW w:type="dxa" w:w="1984"/>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Playwright</w:t>
            </w:r>
          </w:p>
        </w:tc>
        <w:tc>
          <w:tcPr>
            <w:tcW w:type="dxa" w:w="2154"/>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37/38 réussis</w:t>
            </w:r>
          </w:p>
        </w:tc>
        <w:tc>
          <w:tcPr>
            <w:tcW w:type="dxa" w:w="4365"/>
            <w:vAlign w:val="center"/>
            <w:shd w:fill="F6F8F7"/>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Échec lié aux images seed externes</w:t>
            </w:r>
          </w:p>
        </w:tc>
      </w:tr>
      <w:tr>
        <w:tc>
          <w:tcPr>
            <w:tcW w:type="dxa" w:w="1984"/>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Parcours critiques</w:t>
            </w:r>
          </w:p>
        </w:tc>
        <w:tc>
          <w:tcPr>
            <w:tcW w:type="dxa" w:w="2154"/>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5/5 réussis</w:t>
            </w:r>
          </w:p>
        </w:tc>
        <w:tc>
          <w:tcPr>
            <w:tcW w:type="dxa" w:w="4365"/>
            <w:vAlign w:val="center"/>
          </w:tcPr>
          <w:p>
            <w:pPr>
              <w:spacing w:after="40"/>
              <w:jc w:val="left"/>
            </w:pPr>
            <w:r>
              <w:rPr>
                <w:rFonts w:ascii="Times New Roman" w:hAnsi="Times New Roman"/>
                <w:color w:val="111111"/>
                <w:sz w:val="19"/>
              </w:rPr>
            </w:r>
            <w:r>
              <w:rPr>
                <w:rFonts w:ascii="Times New Roman" w:hAnsi="Times New Roman" w:eastAsia="Times New Roman" w:cs="Times New Roman"/>
                <w:b w:val="0"/>
                <w:color w:val="111111"/>
                <w:sz w:val="19"/>
              </w:rPr>
              <w:t>Flux principaux utilisables</w:t>
            </w:r>
          </w:p>
        </w:tc>
      </w:tr>
    </w:tbl>
    <w:p/>
    <w:p>
      <w:pPr>
        <w:pStyle w:val="Heading2"/>
      </w:pPr>
      <w:r>
        <w:rPr>
          <w:rFonts w:ascii="Times New Roman" w:hAnsi="Times New Roman"/>
          <w:color w:val="111111"/>
          <w:sz w:val="24"/>
        </w:rPr>
        <w:t>4.7 Préparation du déploiement</w:t>
      </w:r>
    </w:p>
    <w:p>
      <w:r>
        <w:rPr>
          <w:rFonts w:ascii="Times New Roman" w:hAnsi="Times New Roman"/>
          <w:color w:val="111111"/>
          <w:sz w:val="24"/>
        </w:rPr>
        <w:t>L'architecture de production documentée place Nginx devant le frontend statique et l'API Spring Boot. Les requêtes vers /api sont relayées vers le backend lié à l'interface locale du serveur. MySQL et le répertoire d'uploads ne sont pas exposés directement. [14]</w:t>
      </w:r>
    </w:p>
    <w:p>
      <w:pPr>
        <w:pStyle w:val="CodeBlock"/>
        <w:jc w:val="left"/>
      </w:pPr>
      <w:r>
        <w:rPr>
          <w:rFonts w:ascii="Times New Roman" w:hAnsi="Times New Roman" w:eastAsia="Consolas"/>
          <w:color w:val="111111"/>
          <w:sz w:val="24"/>
        </w:rPr>
        <w:t>Internet → HTTPS Nginx → fichiers React statiques</w:t>
        <w:br/>
        <w:t xml:space="preserve">                      └→ /api/* → Spring Boot (127.0.0.1:8080)</w:t>
        <w:br/>
        <w:t xml:space="preserve">                                      ├→ MySQL</w:t>
        <w:br/>
        <w:t xml:space="preserve">                                      └→ UPLOAD_DIR hors webroot</w:t>
      </w:r>
    </w:p>
    <w:p>
      <w:r>
        <w:rPr>
          <w:rFonts w:ascii="Times New Roman" w:hAnsi="Times New Roman" w:eastAsia="Times New Roman"/>
          <w:color w:val="111111"/>
          <w:sz w:val="24"/>
        </w:rPr>
        <w:t>Le dépôt contient des modèles Nginx et systemd, un exemple de variables d'environnement, des scripts de sauvegarde/restauration ainsi qu'une procédure Flyway. Les secrets ne sont pas versionnés. La Release Candidate v1.0.0-rc.1 a été créée et publiée dans le dépôt GitHub configuré après validation des tests.</w:t>
      </w:r>
    </w:p>
    <w:p>
      <w:r>
        <w:rPr>
          <w:rFonts w:ascii="Times New Roman" w:hAnsi="Times New Roman" w:eastAsia="Times New Roman"/>
          <w:color w:val="111111"/>
          <w:sz w:val="24"/>
        </w:rPr>
        <w:t>Il est important de distinguer préparation et déploiement effectif : les fichiers et procédures sont prêts, mais la mise en production finale exige un domaine, un certificat HTTPS, des secrets propres à l'environnement, un compte MySQL dédié et une validation post-déploiement.</w:t>
      </w:r>
    </w:p>
    <w:p>
      <w:pPr>
        <w:pStyle w:val="Heading2"/>
      </w:pPr>
      <w:r>
        <w:rPr>
          <w:rFonts w:ascii="Times New Roman" w:hAnsi="Times New Roman"/>
          <w:color w:val="111111"/>
          <w:sz w:val="24"/>
        </w:rPr>
        <w:t>4.8 Résultats, limites et enseignements</w:t>
      </w:r>
    </w:p>
    <w:p>
      <w:r>
        <w:rPr>
          <w:rFonts w:ascii="Times New Roman" w:hAnsi="Times New Roman" w:eastAsia="Times New Roman"/>
          <w:color w:val="111111"/>
          <w:sz w:val="24"/>
        </w:rPr>
        <w:t>La solution obtenue répond au périmètre défini : elle présente l'entreprise et ses produits, collecte les demandes et fournit un espace Admin complet pour les traiter. Les données affichées proviennent de l'API et la logique métier est persistée. La plateforme est utilisable sur plusieurs tailles d'écran et peut être installée comme PWA.</w:t>
      </w:r>
    </w:p>
    <w:p>
      <w:r>
        <w:rPr>
          <w:rFonts w:ascii="Times New Roman" w:hAnsi="Times New Roman" w:eastAsia="Times New Roman"/>
          <w:color w:val="111111"/>
          <w:sz w:val="24"/>
        </w:rPr>
        <w:t>La principale limite technique identifiée concerne la taille des fichiers frontend App.jsx et App.css, qui concentrent encore une part importante des pages et styles. La séparation en composants, pages, layouts, hooks et services réduirait le coût de maintenance. Par ailleurs, les challenges WebAuthn et le rate limiting sont adaptés à une instance unique ; un déploiement distribué nécessiterait un stockage partagé, par exemple Redis ou une passerelle d'API.</w:t>
      </w:r>
    </w:p>
    <w:p>
      <w:r>
        <w:rPr>
          <w:rFonts w:ascii="Times New Roman" w:hAnsi="Times New Roman" w:eastAsia="Times New Roman"/>
          <w:color w:val="111111"/>
          <w:sz w:val="24"/>
        </w:rPr>
        <w:t>Le projet a permis de consolider des compétences en analyse fonctionnelle, conception full stack, gestion de données, sécurité web, expérience responsive, tests automatisés, gestion de versions et préparation de l'exploitation.</w:t>
      </w:r>
    </w:p>
    <w:p>
      <w:pPr>
        <w:jc w:val="both"/>
      </w:pPr>
      <w:r>
        <w:rPr>
          <w:rFonts w:ascii="Times New Roman" w:hAnsi="Times New Roman"/>
          <w:color w:val="111111"/>
          <w:sz w:val="24"/>
        </w:rPr>
        <w:t xml:space="preserve">La </w:t>
      </w:r>
      <w:r>
        <w:fldChar w:fldCharType="begin"/>
      </w:r>
      <w:r>
        <w:instrText xml:space="preserve">REF fig_4_3 \h \* lower</w:instrText>
      </w:r>
      <w:r>
        <w:fldChar w:fldCharType="separate"/>
      </w:r>
      <w:r>
        <w:rPr>
          <w:rFonts w:ascii="Times New Roman" w:hAnsi="Times New Roman"/>
          <w:color w:val="111111"/>
          <w:sz w:val="20"/>
        </w:rPr>
        <w:t>figure 4.3</w:t>
      </w:r>
      <w:r>
        <w:fldChar w:fldCharType="end"/>
      </w:r>
      <w:r>
        <w:rPr>
          <w:rFonts w:ascii="Times New Roman" w:hAnsi="Times New Roman"/>
          <w:color w:val="111111"/>
          <w:sz w:val="24"/>
        </w:rPr>
        <w:t xml:space="preserve"> montre la page d’accueil publique, ses accès directs au catalogue et au devis, ainsi que l’identité industrielle retenue.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3330000"/>
                  <wp:docPr id="124" name="Picture 124" descr="Image: image15.png"/>
                  <wp:cNvGraphicFramePr>
                    <a:graphicFrameLocks noChangeAspect="1"/>
                  </wp:cNvGraphicFramePr>
                  <a:graphic>
                    <a:graphicData uri="http://schemas.openxmlformats.org/drawingml/2006/picture">
                      <pic:pic>
                        <pic:nvPicPr>
                          <pic:cNvPr id="0" name="fig-4-01-accueil-public.png"/>
                          <pic:cNvPicPr/>
                        </pic:nvPicPr>
                        <pic:blipFill>
                          <a:blip r:embed="rId30"/>
                          <a:stretch>
                            <a:fillRect/>
                          </a:stretch>
                        </pic:blipFill>
                        <pic:spPr>
                          <a:xfrm>
                            <a:off x="0" y="0"/>
                            <a:ext cx="5328000" cy="3330000"/>
                          </a:xfrm>
                          <a:prstGeom prst="rect"/>
                        </pic:spPr>
                      </pic:pic>
                    </a:graphicData>
                  </a:graphic>
                </wp:inline>
              </w:drawing>
            </w:r>
          </w:p>
        </w:tc>
      </w:tr>
    </w:tbl>
    <w:p>
      <w:pPr>
        <w:pStyle w:val="FigureCaption"/>
        <w:jc w:val="center"/>
      </w:pPr>
      <w:bookmarkStart w:id="1030" w:name="fig_4_3"/>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3</w:t>
      </w:r>
      <w:r>
        <w:fldChar w:fldCharType="end"/>
      </w:r>
      <w:bookmarkEnd w:id="1030"/>
      <w:r>
        <w:rPr>
          <w:rFonts w:ascii="Times New Roman" w:hAnsi="Times New Roman"/>
          <w:color w:val="111111"/>
          <w:sz w:val="20"/>
        </w:rPr>
        <w:t xml:space="preserve"> — Page d’accueil publique</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fig_4_4 \h \* lower</w:instrText>
      </w:r>
      <w:r>
        <w:fldChar w:fldCharType="separate"/>
      </w:r>
      <w:r>
        <w:rPr>
          <w:rFonts w:ascii="Times New Roman" w:hAnsi="Times New Roman"/>
          <w:color w:val="111111"/>
          <w:sz w:val="20"/>
        </w:rPr>
        <w:t>figure 4.4</w:t>
      </w:r>
      <w:r>
        <w:fldChar w:fldCharType="end"/>
      </w:r>
      <w:r>
        <w:rPr>
          <w:rFonts w:ascii="Times New Roman" w:hAnsi="Times New Roman"/>
          <w:color w:val="111111"/>
          <w:sz w:val="24"/>
        </w:rPr>
        <w:t xml:space="preserve"> rapproche la recherche du catalogue et son affichage en liste. Les mêmes huit produits restent disponibles dans les deux modes.</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4608000" cy="2880000"/>
                  <wp:docPr id="125" name="Picture 125" descr="Image: image16.png"/>
                  <wp:cNvGraphicFramePr>
                    <a:graphicFrameLocks noChangeAspect="1"/>
                  </wp:cNvGraphicFramePr>
                  <a:graphic>
                    <a:graphicData uri="http://schemas.openxmlformats.org/drawingml/2006/picture">
                      <pic:pic>
                        <pic:nvPicPr>
                          <pic:cNvPr id="0" name="fig-4-02-catalogue-recherche-cartes.png"/>
                          <pic:cNvPicPr/>
                        </pic:nvPicPr>
                        <pic:blipFill>
                          <a:blip r:embed="rId31"/>
                          <a:stretch>
                            <a:fillRect/>
                          </a:stretch>
                        </pic:blipFill>
                        <pic:spPr>
                          <a:xfrm>
                            <a:off x="0" y="0"/>
                            <a:ext cx="4608000" cy="2880000"/>
                          </a:xfrm>
                          <a:prstGeom prst="rect"/>
                        </pic:spPr>
                      </pic:pic>
                    </a:graphicData>
                  </a:graphic>
                </wp:inline>
              </w:drawing>
            </w:r>
          </w:p>
          <w:p>
            <w:pPr>
              <w:spacing w:after="60"/>
              <w:jc w:val="center"/>
            </w:pPr>
            <w:r>
              <w:rPr>
                <w:rFonts w:ascii="Times New Roman" w:hAnsi="Times New Roman"/>
                <w:color w:val="111111"/>
                <w:sz w:val="19"/>
              </w:rPr>
              <w:drawing>
                <wp:inline xmlns:a="http://schemas.openxmlformats.org/drawingml/2006/main" xmlns:pic="http://schemas.openxmlformats.org/drawingml/2006/picture">
                  <wp:extent cx="4608000" cy="2880000"/>
                  <wp:docPr id="126" name="Picture 126" descr="Image: image17.png"/>
                  <wp:cNvGraphicFramePr>
                    <a:graphicFrameLocks noChangeAspect="1"/>
                  </wp:cNvGraphicFramePr>
                  <a:graphic>
                    <a:graphicData uri="http://schemas.openxmlformats.org/drawingml/2006/picture">
                      <pic:pic>
                        <pic:nvPicPr>
                          <pic:cNvPr id="0" name="fig-4-03-catalogue-mode-liste.png"/>
                          <pic:cNvPicPr/>
                        </pic:nvPicPr>
                        <pic:blipFill>
                          <a:blip r:embed="rId32"/>
                          <a:stretch>
                            <a:fillRect/>
                          </a:stretch>
                        </pic:blipFill>
                        <pic:spPr>
                          <a:xfrm>
                            <a:off x="0" y="0"/>
                            <a:ext cx="4608000" cy="2880000"/>
                          </a:xfrm>
                          <a:prstGeom prst="rect"/>
                        </pic:spPr>
                      </pic:pic>
                    </a:graphicData>
                  </a:graphic>
                </wp:inline>
              </w:drawing>
            </w:r>
          </w:p>
        </w:tc>
      </w:tr>
    </w:tbl>
    <w:p>
      <w:pPr>
        <w:pStyle w:val="FigureCaption"/>
        <w:jc w:val="center"/>
      </w:pPr>
      <w:bookmarkStart w:id="1031" w:name="fig_4_4"/>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4</w:t>
      </w:r>
      <w:r>
        <w:fldChar w:fldCharType="end"/>
      </w:r>
      <w:bookmarkEnd w:id="1031"/>
      <w:r>
        <w:rPr>
          <w:rFonts w:ascii="Times New Roman" w:hAnsi="Times New Roman"/>
          <w:color w:val="111111"/>
          <w:sz w:val="20"/>
        </w:rPr>
        <w:t xml:space="preserve"> — Catalogue : recherche et mode liste</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fig_4_5 \h \* lower</w:instrText>
      </w:r>
      <w:r>
        <w:fldChar w:fldCharType="separate"/>
      </w:r>
      <w:r>
        <w:rPr>
          <w:rFonts w:ascii="Times New Roman" w:hAnsi="Times New Roman"/>
          <w:color w:val="111111"/>
          <w:sz w:val="20"/>
        </w:rPr>
        <w:t>figure 4.5</w:t>
      </w:r>
      <w:r>
        <w:fldChar w:fldCharType="end"/>
      </w:r>
      <w:r>
        <w:rPr>
          <w:rFonts w:ascii="Times New Roman" w:hAnsi="Times New Roman"/>
          <w:color w:val="111111"/>
          <w:sz w:val="24"/>
        </w:rPr>
        <w:t xml:space="preserve"> associe la fiche Copper Rod à son aperçu 3D chargé à la demande. Les caractéristiques affichées proviennent des données produit.</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4608000" cy="2880000"/>
                  <wp:docPr id="127" name="Picture 127" descr="Image: image18.png"/>
                  <wp:cNvGraphicFramePr>
                    <a:graphicFrameLocks noChangeAspect="1"/>
                  </wp:cNvGraphicFramePr>
                  <a:graphic>
                    <a:graphicData uri="http://schemas.openxmlformats.org/drawingml/2006/picture">
                      <pic:pic>
                        <pic:nvPicPr>
                          <pic:cNvPr id="0" name="fig-4-04-fiche-produit.png"/>
                          <pic:cNvPicPr/>
                        </pic:nvPicPr>
                        <pic:blipFill>
                          <a:blip r:embed="rId33"/>
                          <a:stretch>
                            <a:fillRect/>
                          </a:stretch>
                        </pic:blipFill>
                        <pic:spPr>
                          <a:xfrm>
                            <a:off x="0" y="0"/>
                            <a:ext cx="4608000" cy="2880000"/>
                          </a:xfrm>
                          <a:prstGeom prst="rect"/>
                        </pic:spPr>
                      </pic:pic>
                    </a:graphicData>
                  </a:graphic>
                </wp:inline>
              </w:drawing>
            </w:r>
          </w:p>
          <w:p>
            <w:pPr>
              <w:spacing w:after="60"/>
              <w:jc w:val="center"/>
            </w:pPr>
            <w:r>
              <w:rPr>
                <w:rFonts w:ascii="Times New Roman" w:hAnsi="Times New Roman"/>
                <w:color w:val="111111"/>
                <w:sz w:val="19"/>
              </w:rPr>
              <w:drawing>
                <wp:inline xmlns:a="http://schemas.openxmlformats.org/drawingml/2006/main" xmlns:pic="http://schemas.openxmlformats.org/drawingml/2006/picture">
                  <wp:extent cx="4240000" cy="2880000"/>
                  <wp:docPr id="128" name="Picture 128" descr="Image: image19.png"/>
                  <wp:cNvGraphicFramePr>
                    <a:graphicFrameLocks noChangeAspect="1"/>
                  </wp:cNvGraphicFramePr>
                  <a:graphic>
                    <a:graphicData uri="http://schemas.openxmlformats.org/drawingml/2006/picture">
                      <pic:pic>
                        <pic:nvPicPr>
                          <pic:cNvPr id="0" name="fig-4-05-apercu-3d.png"/>
                          <pic:cNvPicPr/>
                        </pic:nvPicPr>
                        <pic:blipFill>
                          <a:blip r:embed="rId34"/>
                          <a:stretch>
                            <a:fillRect/>
                          </a:stretch>
                        </pic:blipFill>
                        <pic:spPr>
                          <a:xfrm>
                            <a:off x="0" y="0"/>
                            <a:ext cx="4240000" cy="2880000"/>
                          </a:xfrm>
                          <a:prstGeom prst="rect"/>
                        </pic:spPr>
                      </pic:pic>
                    </a:graphicData>
                  </a:graphic>
                </wp:inline>
              </w:drawing>
            </w:r>
          </w:p>
        </w:tc>
      </w:tr>
    </w:tbl>
    <w:p>
      <w:pPr>
        <w:pStyle w:val="FigureCaption"/>
        <w:jc w:val="center"/>
      </w:pPr>
      <w:bookmarkStart w:id="1032" w:name="fig_4_5"/>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5</w:t>
      </w:r>
      <w:r>
        <w:fldChar w:fldCharType="end"/>
      </w:r>
      <w:bookmarkEnd w:id="1032"/>
      <w:r>
        <w:rPr>
          <w:rFonts w:ascii="Times New Roman" w:hAnsi="Times New Roman"/>
          <w:color w:val="111111"/>
          <w:sz w:val="20"/>
        </w:rPr>
        <w:t xml:space="preserve"> — Fiche produit et aperçu 3D</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fig_4_6 \h \* lower</w:instrText>
      </w:r>
      <w:r>
        <w:fldChar w:fldCharType="separate"/>
      </w:r>
      <w:r>
        <w:rPr>
          <w:rFonts w:ascii="Times New Roman" w:hAnsi="Times New Roman"/>
          <w:color w:val="111111"/>
          <w:sz w:val="20"/>
        </w:rPr>
        <w:t>figure 4.6</w:t>
      </w:r>
      <w:r>
        <w:fldChar w:fldCharType="end"/>
      </w:r>
      <w:r>
        <w:rPr>
          <w:rFonts w:ascii="Times New Roman" w:hAnsi="Times New Roman"/>
          <w:color w:val="111111"/>
          <w:sz w:val="24"/>
        </w:rPr>
        <w:t xml:space="preserve"> présente le configurateur de devis, l’indicateur de complétude et les informations de contact fictives utilisées pour la recette.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3330000"/>
                  <wp:docPr id="129" name="Picture 129" descr="Image: image20.png"/>
                  <wp:cNvGraphicFramePr>
                    <a:graphicFrameLocks noChangeAspect="1"/>
                  </wp:cNvGraphicFramePr>
                  <a:graphic>
                    <a:graphicData uri="http://schemas.openxmlformats.org/drawingml/2006/picture">
                      <pic:pic>
                        <pic:nvPicPr>
                          <pic:cNvPr id="0" name="fig-4-06-formulaire-devis.png"/>
                          <pic:cNvPicPr/>
                        </pic:nvPicPr>
                        <pic:blipFill>
                          <a:blip r:embed="rId35"/>
                          <a:stretch>
                            <a:fillRect/>
                          </a:stretch>
                        </pic:blipFill>
                        <pic:spPr>
                          <a:xfrm>
                            <a:off x="0" y="0"/>
                            <a:ext cx="5328000" cy="3330000"/>
                          </a:xfrm>
                          <a:prstGeom prst="rect"/>
                        </pic:spPr>
                      </pic:pic>
                    </a:graphicData>
                  </a:graphic>
                </wp:inline>
              </w:drawing>
            </w:r>
          </w:p>
        </w:tc>
      </w:tr>
    </w:tbl>
    <w:p>
      <w:pPr>
        <w:pStyle w:val="FigureCaption"/>
        <w:jc w:val="center"/>
      </w:pPr>
      <w:bookmarkStart w:id="1033" w:name="fig_4_6"/>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6</w:t>
      </w:r>
      <w:r>
        <w:fldChar w:fldCharType="end"/>
      </w:r>
      <w:bookmarkEnd w:id="1033"/>
      <w:r>
        <w:rPr>
          <w:rFonts w:ascii="Times New Roman" w:hAnsi="Times New Roman"/>
          <w:color w:val="111111"/>
          <w:sz w:val="20"/>
        </w:rPr>
        <w:t xml:space="preserve"> — Formulaire de demande de devis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fig_4_7 \h \* lower</w:instrText>
      </w:r>
      <w:r>
        <w:fldChar w:fldCharType="separate"/>
      </w:r>
      <w:r>
        <w:rPr>
          <w:rFonts w:ascii="Times New Roman" w:hAnsi="Times New Roman"/>
          <w:color w:val="111111"/>
          <w:sz w:val="20"/>
        </w:rPr>
        <w:t>figure 4.7</w:t>
      </w:r>
      <w:r>
        <w:fldChar w:fldCharType="end"/>
      </w:r>
      <w:r>
        <w:rPr>
          <w:rFonts w:ascii="Times New Roman" w:hAnsi="Times New Roman"/>
          <w:color w:val="111111"/>
          <w:sz w:val="24"/>
        </w:rPr>
        <w:t xml:space="preserve"> montre l’espace public de ressources avec recherche, filtre par type et distinction entre disponibilité directe et document sur demande.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3330000"/>
                  <wp:docPr id="130" name="Picture 130" descr="Image: image21.png"/>
                  <wp:cNvGraphicFramePr>
                    <a:graphicFrameLocks noChangeAspect="1"/>
                  </wp:cNvGraphicFramePr>
                  <a:graphic>
                    <a:graphicData uri="http://schemas.openxmlformats.org/drawingml/2006/picture">
                      <pic:pic>
                        <pic:nvPicPr>
                          <pic:cNvPr id="0" name="fig-4-07-ressources-publiques.png"/>
                          <pic:cNvPicPr/>
                        </pic:nvPicPr>
                        <pic:blipFill>
                          <a:blip r:embed="rId36"/>
                          <a:stretch>
                            <a:fillRect/>
                          </a:stretch>
                        </pic:blipFill>
                        <pic:spPr>
                          <a:xfrm>
                            <a:off x="0" y="0"/>
                            <a:ext cx="5328000" cy="3330000"/>
                          </a:xfrm>
                          <a:prstGeom prst="rect"/>
                        </pic:spPr>
                      </pic:pic>
                    </a:graphicData>
                  </a:graphic>
                </wp:inline>
              </w:drawing>
            </w:r>
          </w:p>
        </w:tc>
      </w:tr>
    </w:tbl>
    <w:p>
      <w:pPr>
        <w:pStyle w:val="FigureCaption"/>
        <w:jc w:val="center"/>
      </w:pPr>
      <w:bookmarkStart w:id="1034" w:name="fig_4_7"/>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7</w:t>
      </w:r>
      <w:r>
        <w:fldChar w:fldCharType="end"/>
      </w:r>
      <w:bookmarkEnd w:id="1034"/>
      <w:r>
        <w:rPr>
          <w:rFonts w:ascii="Times New Roman" w:hAnsi="Times New Roman"/>
          <w:color w:val="111111"/>
          <w:sz w:val="20"/>
        </w:rPr>
        <w:t xml:space="preserve"> — Ressources techniques publiques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fig_4_8 \h \* lower</w:instrText>
      </w:r>
      <w:r>
        <w:fldChar w:fldCharType="separate"/>
      </w:r>
      <w:r>
        <w:rPr>
          <w:rFonts w:ascii="Times New Roman" w:hAnsi="Times New Roman"/>
          <w:color w:val="111111"/>
          <w:sz w:val="20"/>
        </w:rPr>
        <w:t>figure 4.8</w:t>
      </w:r>
      <w:r>
        <w:fldChar w:fldCharType="end"/>
      </w:r>
      <w:r>
        <w:rPr>
          <w:rFonts w:ascii="Times New Roman" w:hAnsi="Times New Roman"/>
          <w:color w:val="111111"/>
          <w:sz w:val="24"/>
        </w:rPr>
        <w:t xml:space="preserve"> vérifie l’adaptation du catalogue à une largeur mobile. La navigation et les filtres passent sur plusieurs lignes sans masquer le contenu.</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2827962" cy="6120000"/>
                  <wp:docPr id="131" name="Picture 131" descr="Image: image22.png"/>
                  <wp:cNvGraphicFramePr>
                    <a:graphicFrameLocks noChangeAspect="1"/>
                  </wp:cNvGraphicFramePr>
                  <a:graphic>
                    <a:graphicData uri="http://schemas.openxmlformats.org/drawingml/2006/picture">
                      <pic:pic>
                        <pic:nvPicPr>
                          <pic:cNvPr id="0" name="fig-4-09-catalogue-mobile.png"/>
                          <pic:cNvPicPr/>
                        </pic:nvPicPr>
                        <pic:blipFill>
                          <a:blip r:embed="rId37"/>
                          <a:stretch>
                            <a:fillRect/>
                          </a:stretch>
                        </pic:blipFill>
                        <pic:spPr>
                          <a:xfrm>
                            <a:off x="0" y="0"/>
                            <a:ext cx="2827962" cy="6120000"/>
                          </a:xfrm>
                          <a:prstGeom prst="rect"/>
                        </pic:spPr>
                      </pic:pic>
                    </a:graphicData>
                  </a:graphic>
                </wp:inline>
              </w:drawing>
            </w:r>
          </w:p>
        </w:tc>
      </w:tr>
    </w:tbl>
    <w:p>
      <w:pPr>
        <w:pStyle w:val="FigureCaption"/>
        <w:jc w:val="center"/>
      </w:pPr>
      <w:bookmarkStart w:id="1035" w:name="fig_4_8"/>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8</w:t>
      </w:r>
      <w:r>
        <w:fldChar w:fldCharType="end"/>
      </w:r>
      <w:bookmarkEnd w:id="1035"/>
      <w:r>
        <w:rPr>
          <w:rFonts w:ascii="Times New Roman" w:hAnsi="Times New Roman"/>
          <w:color w:val="111111"/>
          <w:sz w:val="20"/>
        </w:rPr>
        <w:t xml:space="preserve"> — Catalogue en affichage mobile</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fig_4_9 \h \* lower</w:instrText>
      </w:r>
      <w:r>
        <w:fldChar w:fldCharType="separate"/>
      </w:r>
      <w:r>
        <w:rPr>
          <w:rFonts w:ascii="Times New Roman" w:hAnsi="Times New Roman"/>
          <w:color w:val="111111"/>
          <w:sz w:val="20"/>
        </w:rPr>
        <w:t>figure 4.9</w:t>
      </w:r>
      <w:r>
        <w:fldChar w:fldCharType="end"/>
      </w:r>
      <w:r>
        <w:rPr>
          <w:rFonts w:ascii="Times New Roman" w:hAnsi="Times New Roman"/>
          <w:color w:val="111111"/>
          <w:sz w:val="24"/>
        </w:rPr>
        <w:t xml:space="preserve"> présente le tableau de bord alimenté par les données de recette : compteurs, demandes récentes, état du catalogue et actions rapides.</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3330000"/>
                  <wp:docPr id="132" name="Picture 132" descr="Image: image23.png"/>
                  <wp:cNvGraphicFramePr>
                    <a:graphicFrameLocks noChangeAspect="1"/>
                  </wp:cNvGraphicFramePr>
                  <a:graphic>
                    <a:graphicData uri="http://schemas.openxmlformats.org/drawingml/2006/picture">
                      <pic:pic>
                        <pic:nvPicPr>
                          <pic:cNvPr id="0" name="fig-4-11-dashboard-admin.png"/>
                          <pic:cNvPicPr/>
                        </pic:nvPicPr>
                        <pic:blipFill>
                          <a:blip r:embed="rId38"/>
                          <a:stretch>
                            <a:fillRect/>
                          </a:stretch>
                        </pic:blipFill>
                        <pic:spPr>
                          <a:xfrm>
                            <a:off x="0" y="0"/>
                            <a:ext cx="5328000" cy="3330000"/>
                          </a:xfrm>
                          <a:prstGeom prst="rect"/>
                        </pic:spPr>
                      </pic:pic>
                    </a:graphicData>
                  </a:graphic>
                </wp:inline>
              </w:drawing>
            </w:r>
          </w:p>
        </w:tc>
      </w:tr>
    </w:tbl>
    <w:p>
      <w:pPr>
        <w:pStyle w:val="FigureCaption"/>
        <w:jc w:val="center"/>
      </w:pPr>
      <w:bookmarkStart w:id="1036" w:name="fig_4_9"/>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9</w:t>
      </w:r>
      <w:r>
        <w:fldChar w:fldCharType="end"/>
      </w:r>
      <w:bookmarkEnd w:id="1036"/>
      <w:r>
        <w:rPr>
          <w:rFonts w:ascii="Times New Roman" w:hAnsi="Times New Roman"/>
          <w:color w:val="111111"/>
          <w:sz w:val="20"/>
        </w:rPr>
        <w:t xml:space="preserve"> — Dashboard commercial Admin</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fig_4_10 \h \* lower</w:instrText>
      </w:r>
      <w:r>
        <w:fldChar w:fldCharType="separate"/>
      </w:r>
      <w:r>
        <w:rPr>
          <w:rFonts w:ascii="Times New Roman" w:hAnsi="Times New Roman"/>
          <w:color w:val="111111"/>
          <w:sz w:val="20"/>
        </w:rPr>
        <w:t>figure 4.10</w:t>
      </w:r>
      <w:r>
        <w:fldChar w:fldCharType="end"/>
      </w:r>
      <w:r>
        <w:rPr>
          <w:rFonts w:ascii="Times New Roman" w:hAnsi="Times New Roman"/>
          <w:color w:val="111111"/>
          <w:sz w:val="24"/>
        </w:rPr>
        <w:t xml:space="preserve"> montre la répartition des demandes par statut. Chaque colonne affiche les cartes les plus prioritaires et garde un accès au reste de la liste.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3330000"/>
                  <wp:docPr id="133" name="Picture 133" descr="Image: image24.png"/>
                  <wp:cNvGraphicFramePr>
                    <a:graphicFrameLocks noChangeAspect="1"/>
                  </wp:cNvGraphicFramePr>
                  <a:graphic>
                    <a:graphicData uri="http://schemas.openxmlformats.org/drawingml/2006/picture">
                      <pic:pic>
                        <pic:nvPicPr>
                          <pic:cNvPr id="0" name="fig-4-12-pipeline-commercial.png"/>
                          <pic:cNvPicPr/>
                        </pic:nvPicPr>
                        <pic:blipFill>
                          <a:blip r:embed="rId39"/>
                          <a:stretch>
                            <a:fillRect/>
                          </a:stretch>
                        </pic:blipFill>
                        <pic:spPr>
                          <a:xfrm>
                            <a:off x="0" y="0"/>
                            <a:ext cx="5328000" cy="3330000"/>
                          </a:xfrm>
                          <a:prstGeom prst="rect"/>
                        </pic:spPr>
                      </pic:pic>
                    </a:graphicData>
                  </a:graphic>
                </wp:inline>
              </w:drawing>
            </w:r>
          </w:p>
        </w:tc>
      </w:tr>
    </w:tbl>
    <w:p>
      <w:pPr>
        <w:pStyle w:val="FigureCaption"/>
        <w:jc w:val="center"/>
      </w:pPr>
      <w:bookmarkStart w:id="1037" w:name="fig_4_10"/>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10</w:t>
      </w:r>
      <w:r>
        <w:fldChar w:fldCharType="end"/>
      </w:r>
      <w:bookmarkEnd w:id="1037"/>
      <w:r>
        <w:rPr>
          <w:rFonts w:ascii="Times New Roman" w:hAnsi="Times New Roman"/>
          <w:color w:val="111111"/>
          <w:sz w:val="20"/>
        </w:rPr>
        <w:t xml:space="preserve"> — Pipeline commercial des demandes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fig_4_11 \h \* lower</w:instrText>
      </w:r>
      <w:r>
        <w:fldChar w:fldCharType="separate"/>
      </w:r>
      <w:r>
        <w:rPr>
          <w:rFonts w:ascii="Times New Roman" w:hAnsi="Times New Roman"/>
          <w:color w:val="111111"/>
          <w:sz w:val="20"/>
        </w:rPr>
        <w:t>figure 4.11</w:t>
      </w:r>
      <w:r>
        <w:fldChar w:fldCharType="end"/>
      </w:r>
      <w:r>
        <w:rPr>
          <w:rFonts w:ascii="Times New Roman" w:hAnsi="Times New Roman"/>
          <w:color w:val="111111"/>
          <w:sz w:val="24"/>
        </w:rPr>
        <w:t xml:space="preserve"> illustre la table détaillée des demandes, avec score, statut et actions. Les sociétés et adresses visibles sont fictives.</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4315623" cy="6120000"/>
                  <wp:docPr id="134" name="Picture 134" descr="Image: image25.png"/>
                  <wp:cNvGraphicFramePr>
                    <a:graphicFrameLocks noChangeAspect="1"/>
                  </wp:cNvGraphicFramePr>
                  <a:graphic>
                    <a:graphicData uri="http://schemas.openxmlformats.org/drawingml/2006/picture">
                      <pic:pic>
                        <pic:nvPicPr>
                          <pic:cNvPr id="0" name="fig-4-13-demandes-admin.png"/>
                          <pic:cNvPicPr/>
                        </pic:nvPicPr>
                        <pic:blipFill>
                          <a:blip r:embed="rId40"/>
                          <a:stretch>
                            <a:fillRect/>
                          </a:stretch>
                        </pic:blipFill>
                        <pic:spPr>
                          <a:xfrm>
                            <a:off x="0" y="0"/>
                            <a:ext cx="4315623" cy="6120000"/>
                          </a:xfrm>
                          <a:prstGeom prst="rect"/>
                        </pic:spPr>
                      </pic:pic>
                    </a:graphicData>
                  </a:graphic>
                </wp:inline>
              </w:drawing>
            </w:r>
          </w:p>
        </w:tc>
      </w:tr>
    </w:tbl>
    <w:p>
      <w:pPr>
        <w:pStyle w:val="FigureCaption"/>
        <w:jc w:val="center"/>
      </w:pPr>
      <w:bookmarkStart w:id="1038" w:name="fig_4_11"/>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11</w:t>
      </w:r>
      <w:r>
        <w:fldChar w:fldCharType="end"/>
      </w:r>
      <w:bookmarkEnd w:id="1038"/>
      <w:r>
        <w:rPr>
          <w:rFonts w:ascii="Times New Roman" w:hAnsi="Times New Roman"/>
          <w:color w:val="111111"/>
          <w:sz w:val="20"/>
        </w:rPr>
        <w:t xml:space="preserve"> — Gestion des demandes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fig_4_12 \h \* lower</w:instrText>
      </w:r>
      <w:r>
        <w:fldChar w:fldCharType="separate"/>
      </w:r>
      <w:r>
        <w:rPr>
          <w:rFonts w:ascii="Times New Roman" w:hAnsi="Times New Roman"/>
          <w:color w:val="111111"/>
          <w:sz w:val="20"/>
        </w:rPr>
        <w:t>figure 4.12</w:t>
      </w:r>
      <w:r>
        <w:fldChar w:fldCharType="end"/>
      </w:r>
      <w:r>
        <w:rPr>
          <w:rFonts w:ascii="Times New Roman" w:hAnsi="Times New Roman"/>
          <w:color w:val="111111"/>
          <w:sz w:val="24"/>
        </w:rPr>
        <w:t xml:space="preserve"> présente les clients consolidés à partir des demandes et l’accès à leur historique.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4330194"/>
                  <wp:docPr id="135" name="Picture 135" descr="Image: image26.png"/>
                  <wp:cNvGraphicFramePr>
                    <a:graphicFrameLocks noChangeAspect="1"/>
                  </wp:cNvGraphicFramePr>
                  <a:graphic>
                    <a:graphicData uri="http://schemas.openxmlformats.org/drawingml/2006/picture">
                      <pic:pic>
                        <pic:nvPicPr>
                          <pic:cNvPr id="0" name="fig-4-14-clients-historique.png"/>
                          <pic:cNvPicPr/>
                        </pic:nvPicPr>
                        <pic:blipFill>
                          <a:blip r:embed="rId41"/>
                          <a:stretch>
                            <a:fillRect/>
                          </a:stretch>
                        </pic:blipFill>
                        <pic:spPr>
                          <a:xfrm>
                            <a:off x="0" y="0"/>
                            <a:ext cx="5328000" cy="4330194"/>
                          </a:xfrm>
                          <a:prstGeom prst="rect"/>
                        </pic:spPr>
                      </pic:pic>
                    </a:graphicData>
                  </a:graphic>
                </wp:inline>
              </w:drawing>
            </w:r>
          </w:p>
        </w:tc>
      </w:tr>
    </w:tbl>
    <w:p>
      <w:pPr>
        <w:pStyle w:val="FigureCaption"/>
        <w:jc w:val="center"/>
      </w:pPr>
      <w:bookmarkStart w:id="1039" w:name="fig_4_12"/>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12</w:t>
      </w:r>
      <w:r>
        <w:fldChar w:fldCharType="end"/>
      </w:r>
      <w:bookmarkEnd w:id="1039"/>
      <w:r>
        <w:rPr>
          <w:rFonts w:ascii="Times New Roman" w:hAnsi="Times New Roman"/>
          <w:color w:val="111111"/>
          <w:sz w:val="20"/>
        </w:rPr>
        <w:t xml:space="preserve"> — Gestion des clients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fig_4_13 \h \* lower</w:instrText>
      </w:r>
      <w:r>
        <w:fldChar w:fldCharType="separate"/>
      </w:r>
      <w:r>
        <w:rPr>
          <w:rFonts w:ascii="Times New Roman" w:hAnsi="Times New Roman"/>
          <w:color w:val="111111"/>
          <w:sz w:val="20"/>
        </w:rPr>
        <w:t>figure 4.13</w:t>
      </w:r>
      <w:r>
        <w:fldChar w:fldCharType="end"/>
      </w:r>
      <w:r>
        <w:rPr>
          <w:rFonts w:ascii="Times New Roman" w:hAnsi="Times New Roman"/>
          <w:color w:val="111111"/>
          <w:sz w:val="24"/>
        </w:rPr>
        <w:t xml:space="preserve"> montre les huit produits, leurs caractéristiques, leur état et la disponibilité d’un modèle 3D générique.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4999941" cy="6119999"/>
                  <wp:docPr id="136" name="Picture 136" descr="Image: image27.png"/>
                  <wp:cNvGraphicFramePr>
                    <a:graphicFrameLocks noChangeAspect="1"/>
                  </wp:cNvGraphicFramePr>
                  <a:graphic>
                    <a:graphicData uri="http://schemas.openxmlformats.org/drawingml/2006/picture">
                      <pic:pic>
                        <pic:nvPicPr>
                          <pic:cNvPr id="0" name="fig-4-15-produits-admin.png"/>
                          <pic:cNvPicPr/>
                        </pic:nvPicPr>
                        <pic:blipFill>
                          <a:blip r:embed="rId42"/>
                          <a:stretch>
                            <a:fillRect/>
                          </a:stretch>
                        </pic:blipFill>
                        <pic:spPr>
                          <a:xfrm>
                            <a:off x="0" y="0"/>
                            <a:ext cx="4999941" cy="6119999"/>
                          </a:xfrm>
                          <a:prstGeom prst="rect"/>
                        </pic:spPr>
                      </pic:pic>
                    </a:graphicData>
                  </a:graphic>
                </wp:inline>
              </w:drawing>
            </w:r>
          </w:p>
        </w:tc>
      </w:tr>
    </w:tbl>
    <w:p>
      <w:pPr>
        <w:pStyle w:val="FigureCaption"/>
        <w:jc w:val="center"/>
      </w:pPr>
      <w:bookmarkStart w:id="1040" w:name="fig_4_13"/>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13</w:t>
      </w:r>
      <w:r>
        <w:fldChar w:fldCharType="end"/>
      </w:r>
      <w:bookmarkEnd w:id="1040"/>
      <w:r>
        <w:rPr>
          <w:rFonts w:ascii="Times New Roman" w:hAnsi="Times New Roman"/>
          <w:color w:val="111111"/>
          <w:sz w:val="20"/>
        </w:rPr>
        <w:t xml:space="preserve"> — Gestion des produits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fig_4_14 \h \* lower</w:instrText>
      </w:r>
      <w:r>
        <w:fldChar w:fldCharType="separate"/>
      </w:r>
      <w:r>
        <w:rPr>
          <w:rFonts w:ascii="Times New Roman" w:hAnsi="Times New Roman"/>
          <w:color w:val="111111"/>
          <w:sz w:val="20"/>
        </w:rPr>
        <w:t>figure 4.14</w:t>
      </w:r>
      <w:r>
        <w:fldChar w:fldCharType="end"/>
      </w:r>
      <w:r>
        <w:rPr>
          <w:rFonts w:ascii="Times New Roman" w:hAnsi="Times New Roman"/>
          <w:color w:val="111111"/>
          <w:sz w:val="24"/>
        </w:rPr>
        <w:t xml:space="preserve"> expose les demandes de documents techniques avec recherche, filtres, statuts et accès au détail.</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2310710"/>
                  <wp:docPr id="137" name="Picture 137" descr="Image: image28.png"/>
                  <wp:cNvGraphicFramePr>
                    <a:graphicFrameLocks noChangeAspect="1"/>
                  </wp:cNvGraphicFramePr>
                  <a:graphic>
                    <a:graphicData uri="http://schemas.openxmlformats.org/drawingml/2006/picture">
                      <pic:pic>
                        <pic:nvPicPr>
                          <pic:cNvPr id="0" name="fig-4-14b-demandes-documents.png"/>
                          <pic:cNvPicPr/>
                        </pic:nvPicPr>
                        <pic:blipFill>
                          <a:blip r:embed="rId43"/>
                          <a:stretch>
                            <a:fillRect/>
                          </a:stretch>
                        </pic:blipFill>
                        <pic:spPr>
                          <a:xfrm>
                            <a:off x="0" y="0"/>
                            <a:ext cx="5328000" cy="2310710"/>
                          </a:xfrm>
                          <a:prstGeom prst="rect"/>
                        </pic:spPr>
                      </pic:pic>
                    </a:graphicData>
                  </a:graphic>
                </wp:inline>
              </w:drawing>
            </w:r>
          </w:p>
        </w:tc>
      </w:tr>
    </w:tbl>
    <w:p>
      <w:pPr>
        <w:pStyle w:val="FigureCaption"/>
        <w:jc w:val="center"/>
      </w:pPr>
      <w:bookmarkStart w:id="1041" w:name="fig_4_14"/>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14</w:t>
      </w:r>
      <w:r>
        <w:fldChar w:fldCharType="end"/>
      </w:r>
      <w:bookmarkEnd w:id="1041"/>
      <w:r>
        <w:rPr>
          <w:rFonts w:ascii="Times New Roman" w:hAnsi="Times New Roman"/>
          <w:color w:val="111111"/>
          <w:sz w:val="20"/>
        </w:rPr>
        <w:t xml:space="preserve"> — Gestion des demandes de documents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fig_4_15 \h \* lower</w:instrText>
      </w:r>
      <w:r>
        <w:fldChar w:fldCharType="separate"/>
      </w:r>
      <w:r>
        <w:rPr>
          <w:rFonts w:ascii="Times New Roman" w:hAnsi="Times New Roman"/>
          <w:color w:val="111111"/>
          <w:sz w:val="20"/>
        </w:rPr>
        <w:t>figure 4.15</w:t>
      </w:r>
      <w:r>
        <w:fldChar w:fldCharType="end"/>
      </w:r>
      <w:r>
        <w:rPr>
          <w:rFonts w:ascii="Times New Roman" w:hAnsi="Times New Roman"/>
          <w:color w:val="111111"/>
          <w:sz w:val="24"/>
        </w:rPr>
        <w:t xml:space="preserve"> montre les ressources ajoutées, leur type, le produit concerné, leur visibilité et les actions disponibles.</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1683533"/>
                  <wp:docPr id="138" name="Picture 138" descr="Image: image29.png"/>
                  <wp:cNvGraphicFramePr>
                    <a:graphicFrameLocks noChangeAspect="1"/>
                  </wp:cNvGraphicFramePr>
                  <a:graphic>
                    <a:graphicData uri="http://schemas.openxmlformats.org/drawingml/2006/picture">
                      <pic:pic>
                        <pic:nvPicPr>
                          <pic:cNvPr id="0" name="fig-4-16-ressources-admin.png"/>
                          <pic:cNvPicPr/>
                        </pic:nvPicPr>
                        <pic:blipFill>
                          <a:blip r:embed="rId44"/>
                          <a:stretch>
                            <a:fillRect/>
                          </a:stretch>
                        </pic:blipFill>
                        <pic:spPr>
                          <a:xfrm>
                            <a:off x="0" y="0"/>
                            <a:ext cx="5328000" cy="1683533"/>
                          </a:xfrm>
                          <a:prstGeom prst="rect"/>
                        </pic:spPr>
                      </pic:pic>
                    </a:graphicData>
                  </a:graphic>
                </wp:inline>
              </w:drawing>
            </w:r>
          </w:p>
        </w:tc>
      </w:tr>
    </w:tbl>
    <w:p>
      <w:pPr>
        <w:pStyle w:val="FigureCaption"/>
        <w:jc w:val="center"/>
      </w:pPr>
      <w:bookmarkStart w:id="1042" w:name="fig_4_15"/>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15</w:t>
      </w:r>
      <w:r>
        <w:fldChar w:fldCharType="end"/>
      </w:r>
      <w:bookmarkEnd w:id="1042"/>
      <w:r>
        <w:rPr>
          <w:rFonts w:ascii="Times New Roman" w:hAnsi="Times New Roman"/>
          <w:color w:val="111111"/>
          <w:sz w:val="20"/>
        </w:rPr>
        <w:t xml:space="preserve"> — Gestion des ressources techniques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fig_4_16 \h \* lower</w:instrText>
      </w:r>
      <w:r>
        <w:fldChar w:fldCharType="separate"/>
      </w:r>
      <w:r>
        <w:rPr>
          <w:rFonts w:ascii="Times New Roman" w:hAnsi="Times New Roman"/>
          <w:color w:val="111111"/>
          <w:sz w:val="20"/>
        </w:rPr>
        <w:t>figure 4.16</w:t>
      </w:r>
      <w:r>
        <w:fldChar w:fldCharType="end"/>
      </w:r>
      <w:r>
        <w:rPr>
          <w:rFonts w:ascii="Times New Roman" w:hAnsi="Times New Roman"/>
          <w:color w:val="111111"/>
          <w:sz w:val="24"/>
        </w:rPr>
        <w:t xml:space="preserve"> présente les notifications persistantes créées par les événements de devis et de documents.</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3330000"/>
                  <wp:docPr id="139" name="Picture 139" descr="Image: image30.png"/>
                  <wp:cNvGraphicFramePr>
                    <a:graphicFrameLocks noChangeAspect="1"/>
                  </wp:cNvGraphicFramePr>
                  <a:graphic>
                    <a:graphicData uri="http://schemas.openxmlformats.org/drawingml/2006/picture">
                      <pic:pic>
                        <pic:nvPicPr>
                          <pic:cNvPr id="0" name="fig-4-17-notifications-admin.png"/>
                          <pic:cNvPicPr/>
                        </pic:nvPicPr>
                        <pic:blipFill>
                          <a:blip r:embed="rId45"/>
                          <a:stretch>
                            <a:fillRect/>
                          </a:stretch>
                        </pic:blipFill>
                        <pic:spPr>
                          <a:xfrm>
                            <a:off x="0" y="0"/>
                            <a:ext cx="5328000" cy="3330000"/>
                          </a:xfrm>
                          <a:prstGeom prst="rect"/>
                        </pic:spPr>
                      </pic:pic>
                    </a:graphicData>
                  </a:graphic>
                </wp:inline>
              </w:drawing>
            </w:r>
          </w:p>
        </w:tc>
      </w:tr>
    </w:tbl>
    <w:p>
      <w:pPr>
        <w:pStyle w:val="FigureCaption"/>
        <w:jc w:val="center"/>
      </w:pPr>
      <w:bookmarkStart w:id="1043" w:name="fig_4_16"/>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16</w:t>
      </w:r>
      <w:r>
        <w:fldChar w:fldCharType="end"/>
      </w:r>
      <w:bookmarkEnd w:id="1043"/>
      <w:r>
        <w:rPr>
          <w:rFonts w:ascii="Times New Roman" w:hAnsi="Times New Roman"/>
          <w:color w:val="111111"/>
          <w:sz w:val="20"/>
        </w:rPr>
        <w:t xml:space="preserve"> — Centre de notifications</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fig_4_17 \h \* lower</w:instrText>
      </w:r>
      <w:r>
        <w:fldChar w:fldCharType="separate"/>
      </w:r>
      <w:r>
        <w:rPr>
          <w:rFonts w:ascii="Times New Roman" w:hAnsi="Times New Roman"/>
          <w:color w:val="111111"/>
          <w:sz w:val="20"/>
        </w:rPr>
        <w:t>figure 4.17</w:t>
      </w:r>
      <w:r>
        <w:fldChar w:fldCharType="end"/>
      </w:r>
      <w:r>
        <w:rPr>
          <w:rFonts w:ascii="Times New Roman" w:hAnsi="Times New Roman"/>
          <w:color w:val="111111"/>
          <w:sz w:val="24"/>
        </w:rPr>
        <w:t xml:space="preserve"> rassemble le changement de mot de passe et l’activation optionnelle d’une Passkey dans la page de compte.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3330000"/>
                  <wp:docPr id="140" name="Picture 140" descr="Image: image31.png"/>
                  <wp:cNvGraphicFramePr>
                    <a:graphicFrameLocks noChangeAspect="1"/>
                  </wp:cNvGraphicFramePr>
                  <a:graphic>
                    <a:graphicData uri="http://schemas.openxmlformats.org/drawingml/2006/picture">
                      <pic:pic>
                        <pic:nvPicPr>
                          <pic:cNvPr id="0" name="fig-4-18-compte-securite.png"/>
                          <pic:cNvPicPr/>
                        </pic:nvPicPr>
                        <pic:blipFill>
                          <a:blip r:embed="rId46"/>
                          <a:stretch>
                            <a:fillRect/>
                          </a:stretch>
                        </pic:blipFill>
                        <pic:spPr>
                          <a:xfrm>
                            <a:off x="0" y="0"/>
                            <a:ext cx="5328000" cy="3330000"/>
                          </a:xfrm>
                          <a:prstGeom prst="rect"/>
                        </pic:spPr>
                      </pic:pic>
                    </a:graphicData>
                  </a:graphic>
                </wp:inline>
              </w:drawing>
            </w:r>
          </w:p>
        </w:tc>
      </w:tr>
    </w:tbl>
    <w:p>
      <w:pPr>
        <w:pStyle w:val="FigureCaption"/>
        <w:jc w:val="center"/>
      </w:pPr>
      <w:bookmarkStart w:id="1044" w:name="fig_4_17"/>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17</w:t>
      </w:r>
      <w:r>
        <w:fldChar w:fldCharType="end"/>
      </w:r>
      <w:bookmarkEnd w:id="1044"/>
      <w:r>
        <w:rPr>
          <w:rFonts w:ascii="Times New Roman" w:hAnsi="Times New Roman"/>
          <w:color w:val="111111"/>
          <w:sz w:val="20"/>
        </w:rPr>
        <w:t xml:space="preserve"> — Mon compte et sécurité</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fig_4_18 \h \* lower</w:instrText>
      </w:r>
      <w:r>
        <w:fldChar w:fldCharType="separate"/>
      </w:r>
      <w:r>
        <w:rPr>
          <w:rFonts w:ascii="Times New Roman" w:hAnsi="Times New Roman"/>
          <w:color w:val="111111"/>
          <w:sz w:val="20"/>
        </w:rPr>
        <w:t>figure 4.18</w:t>
      </w:r>
      <w:r>
        <w:fldChar w:fldCharType="end"/>
      </w:r>
      <w:r>
        <w:rPr>
          <w:rFonts w:ascii="Times New Roman" w:hAnsi="Times New Roman"/>
          <w:color w:val="111111"/>
          <w:sz w:val="24"/>
        </w:rPr>
        <w:t xml:space="preserve"> vérifie le comportement du tiroir de navigation administrateur sur un écran mobile.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2827962" cy="6120000"/>
                  <wp:docPr id="141" name="Picture 141" descr="Image: image32.png"/>
                  <wp:cNvGraphicFramePr>
                    <a:graphicFrameLocks noChangeAspect="1"/>
                  </wp:cNvGraphicFramePr>
                  <a:graphic>
                    <a:graphicData uri="http://schemas.openxmlformats.org/drawingml/2006/picture">
                      <pic:pic>
                        <pic:nvPicPr>
                          <pic:cNvPr id="0" name="fig-4-18b-navigation-admin-mobile.png"/>
                          <pic:cNvPicPr/>
                        </pic:nvPicPr>
                        <pic:blipFill>
                          <a:blip r:embed="rId47"/>
                          <a:stretch>
                            <a:fillRect/>
                          </a:stretch>
                        </pic:blipFill>
                        <pic:spPr>
                          <a:xfrm>
                            <a:off x="0" y="0"/>
                            <a:ext cx="2827962" cy="6120000"/>
                          </a:xfrm>
                          <a:prstGeom prst="rect"/>
                        </pic:spPr>
                      </pic:pic>
                    </a:graphicData>
                  </a:graphic>
                </wp:inline>
              </w:drawing>
            </w:r>
          </w:p>
        </w:tc>
      </w:tr>
    </w:tbl>
    <w:p>
      <w:pPr>
        <w:pStyle w:val="FigureCaption"/>
        <w:jc w:val="center"/>
      </w:pPr>
      <w:bookmarkStart w:id="1045" w:name="fig_4_18"/>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18</w:t>
      </w:r>
      <w:r>
        <w:fldChar w:fldCharType="end"/>
      </w:r>
      <w:bookmarkEnd w:id="1045"/>
      <w:r>
        <w:rPr>
          <w:rFonts w:ascii="Times New Roman" w:hAnsi="Times New Roman"/>
          <w:color w:val="111111"/>
          <w:sz w:val="20"/>
        </w:rPr>
        <w:t xml:space="preserve"> — Navigation Admin sur écran mobile</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fig_4_19 \h \* lower</w:instrText>
      </w:r>
      <w:r>
        <w:fldChar w:fldCharType="separate"/>
      </w:r>
      <w:r>
        <w:rPr>
          <w:rFonts w:ascii="Times New Roman" w:hAnsi="Times New Roman"/>
          <w:color w:val="111111"/>
          <w:sz w:val="20"/>
        </w:rPr>
        <w:t>figure 4.19</w:t>
      </w:r>
      <w:r>
        <w:fldChar w:fldCharType="end"/>
      </w:r>
      <w:r>
        <w:rPr>
          <w:rFonts w:ascii="Times New Roman" w:hAnsi="Times New Roman"/>
          <w:color w:val="111111"/>
          <w:sz w:val="24"/>
        </w:rPr>
        <w:t xml:space="preserve"> montre l’écran de connexion administrateur. Le mot de passe est masqué et aucune valeur secrète n’est révélée dans le rapport.</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spacing w:after="60"/>
              <w:jc w:val="center"/>
            </w:pPr>
            <w:r>
              <w:rPr>
                <w:rFonts w:ascii="Times New Roman" w:hAnsi="Times New Roman"/>
                <w:color w:val="111111"/>
                <w:sz w:val="19"/>
              </w:rPr>
              <w:drawing>
                <wp:inline xmlns:a="http://schemas.openxmlformats.org/drawingml/2006/main" xmlns:pic="http://schemas.openxmlformats.org/drawingml/2006/picture">
                  <wp:extent cx="5328000" cy="3330000"/>
                  <wp:docPr id="142" name="Picture 142" descr="Image: image33.png"/>
                  <wp:cNvGraphicFramePr>
                    <a:graphicFrameLocks noChangeAspect="1"/>
                  </wp:cNvGraphicFramePr>
                  <a:graphic>
                    <a:graphicData uri="http://schemas.openxmlformats.org/drawingml/2006/picture">
                      <pic:pic>
                        <pic:nvPicPr>
                          <pic:cNvPr id="0" name="fig-4-10-connexion-admin.png"/>
                          <pic:cNvPicPr/>
                        </pic:nvPicPr>
                        <pic:blipFill>
                          <a:blip r:embed="rId48"/>
                          <a:stretch>
                            <a:fillRect/>
                          </a:stretch>
                        </pic:blipFill>
                        <pic:spPr>
                          <a:xfrm>
                            <a:off x="0" y="0"/>
                            <a:ext cx="5328000" cy="3330000"/>
                          </a:xfrm>
                          <a:prstGeom prst="rect"/>
                        </pic:spPr>
                      </pic:pic>
                    </a:graphicData>
                  </a:graphic>
                </wp:inline>
              </w:drawing>
            </w:r>
          </w:p>
        </w:tc>
      </w:tr>
    </w:tbl>
    <w:p>
      <w:pPr>
        <w:pStyle w:val="FigureCaption"/>
        <w:jc w:val="center"/>
      </w:pPr>
      <w:bookmarkStart w:id="1046" w:name="fig_4_19"/>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19</w:t>
      </w:r>
      <w:r>
        <w:fldChar w:fldCharType="end"/>
      </w:r>
      <w:bookmarkEnd w:id="1046"/>
      <w:r>
        <w:rPr>
          <w:rFonts w:ascii="Times New Roman" w:hAnsi="Times New Roman"/>
          <w:color w:val="111111"/>
          <w:sz w:val="20"/>
        </w:rPr>
        <w:t xml:space="preserve"> — Connexion sécurisée à l’administration</w:t>
      </w:r>
    </w:p>
    <w:p>
      <w:r>
        <w:rPr>
          <w:rFonts w:ascii="Times New Roman" w:hAnsi="Times New Roman"/>
          <w:color w:val="111111"/>
          <w:sz w:val="24"/>
        </w:rPr>
        <w:br w:type="page"/>
      </w:r>
    </w:p>
    <w:p>
      <w:pPr>
        <w:jc w:val="both"/>
      </w:pPr>
      <w:r>
        <w:rPr>
          <w:rFonts w:ascii="Times New Roman" w:hAnsi="Times New Roman"/>
          <w:color w:val="111111"/>
          <w:sz w:val="24"/>
        </w:rPr>
        <w:t xml:space="preserve">La </w:t>
      </w:r>
      <w:r>
        <w:fldChar w:fldCharType="begin"/>
      </w:r>
      <w:r>
        <w:instrText xml:space="preserve">REF fig_4_20 \h \* lower</w:instrText>
      </w:r>
      <w:r>
        <w:fldChar w:fldCharType="separate"/>
      </w:r>
      <w:r>
        <w:rPr>
          <w:rFonts w:ascii="Times New Roman" w:hAnsi="Times New Roman"/>
          <w:color w:val="111111"/>
          <w:sz w:val="20"/>
        </w:rPr>
        <w:t>figure 4.20</w:t>
      </w:r>
      <w:r>
        <w:fldChar w:fldCharType="end"/>
      </w:r>
      <w:r>
        <w:rPr>
          <w:rFonts w:ascii="Times New Roman" w:hAnsi="Times New Roman"/>
          <w:color w:val="111111"/>
          <w:sz w:val="24"/>
        </w:rPr>
        <w:t xml:space="preserve"> synthétise les résultats effectivement obtenus lors de la validation de la Release Candidate.</w:t>
      </w:r>
    </w:p>
    <w:tbl>
      <w:tblPr>
        <w:tblW w:type="dxa" w:w="8788"/>
        <w:tblLayout w:type="fixed"/>
        <w:tblLook w:firstColumn="1" w:firstRow="1" w:lastColumn="0" w:lastRow="0" w:noHBand="0" w:noVBand="1" w:val="04A0"/>
        <w:jc w:val="center"/>
        <w:tblInd w:type="dxa" w:w="120"/>
      </w:tblPr>
      <w:tblGrid>
        <w:gridCol w:w="8788"/>
      </w:tblGrid>
      <w:tr>
        <w:trPr>
          <w:tblHeader/>
        </w:trPr>
        <w:tc>
          <w:tcPr>
            <w:tcW w:type="dxa" w:w="8788"/>
            <w:vAlign w:val="center"/>
            <w:shd w:fill="F2F4F3"/>
            <w:tcBorders>
              <w:top w:val="dashed" w:sz="8" w:color="AFC9BB"/>
              <w:left w:val="dashed" w:sz="8" w:color="AFC9BB"/>
              <w:bottom w:val="dashed" w:sz="8" w:color="AFC9BB"/>
              <w:right w:val="dashed" w:sz="8" w:color="AFC9BB"/>
            </w:tcBorders>
          </w:tcPr>
          <w:p>
            <w:pPr>
              <w:jc w:val="center"/>
            </w:pPr>
            <w:r>
              <w:rPr>
                <w:rFonts w:ascii="Times New Roman" w:hAnsi="Times New Roman" w:eastAsia="Times New Roman" w:cs="Times New Roman"/>
                <w:b/>
                <w:color w:val="111111"/>
                <w:sz w:val="19"/>
              </w:rPr>
              <w:t>VALIDATION AUTOMATISÉE DE LA RELEASE CANDIDATE</w:t>
            </w:r>
          </w:p>
          <w:tbl>
            <w:tblPr>
              <w:tblStyle w:val="TableGrid"/>
              <w:tblW w:type="auto" w:w="0"/>
              <w:tblLook w:firstColumn="1" w:firstRow="1" w:lastColumn="0" w:lastRow="0" w:noHBand="0" w:noVBand="1" w:val="04A0"/>
            </w:tblPr>
            <w:tblGrid>
              <w:gridCol w:w="2929"/>
              <w:gridCol w:w="2929"/>
              <w:gridCol w:w="2929"/>
            </w:tblGrid>
            <w:tr>
              <w:tc>
                <w:tcPr>
                  <w:tcW w:type="dxa" w:w="2929"/>
                  <w:vAlign w:val="center"/>
                  <w:shd w:fill="006B3C"/>
                </w:tcPr>
                <w:p>
                  <w:pPr>
                    <w:spacing w:after="40"/>
                    <w:jc w:val="left"/>
                  </w:pPr>
                  <w:r/>
                  <w:r>
                    <w:rPr>
                      <w:rFonts w:ascii="Times New Roman" w:hAnsi="Times New Roman" w:eastAsia="Times New Roman" w:cs="Times New Roman"/>
                      <w:b/>
                      <w:color w:val="FFFFFF"/>
                      <w:sz w:val="20"/>
                    </w:rPr>
                    <w:t>Contrôle</w:t>
                  </w:r>
                </w:p>
              </w:tc>
              <w:tc>
                <w:tcPr>
                  <w:tcW w:type="dxa" w:w="2929"/>
                  <w:vAlign w:val="center"/>
                  <w:shd w:fill="006B3C"/>
                </w:tcPr>
                <w:p>
                  <w:pPr>
                    <w:spacing w:after="40"/>
                    <w:jc w:val="left"/>
                  </w:pPr>
                  <w:r/>
                  <w:r>
                    <w:rPr>
                      <w:rFonts w:ascii="Times New Roman" w:hAnsi="Times New Roman" w:eastAsia="Times New Roman" w:cs="Times New Roman"/>
                      <w:b/>
                      <w:color w:val="FFFFFF"/>
                      <w:sz w:val="20"/>
                    </w:rPr>
                    <w:t>Résultat</w:t>
                  </w:r>
                </w:p>
              </w:tc>
              <w:tc>
                <w:tcPr>
                  <w:tcW w:type="dxa" w:w="2929"/>
                  <w:vAlign w:val="center"/>
                  <w:shd w:fill="006B3C"/>
                </w:tcPr>
                <w:p>
                  <w:pPr>
                    <w:spacing w:after="40"/>
                    <w:jc w:val="left"/>
                  </w:pPr>
                  <w:r/>
                  <w:r>
                    <w:rPr>
                      <w:rFonts w:ascii="Times New Roman" w:hAnsi="Times New Roman" w:eastAsia="Times New Roman" w:cs="Times New Roman"/>
                      <w:b/>
                      <w:color w:val="FFFFFF"/>
                      <w:sz w:val="20"/>
                    </w:rPr>
                    <w:t>État</w:t>
                  </w:r>
                </w:p>
              </w:tc>
              <w:trPr>
                <w:tblHeader/>
              </w:trPr>
            </w:tr>
            <w:tr>
              <w:tc>
                <w:tcPr>
                  <w:tcW w:type="dxa" w:w="2929"/>
                  <w:vAlign w:val="center"/>
                </w:tcPr>
                <w:p>
                  <w:pPr>
                    <w:spacing w:after="40"/>
                    <w:jc w:val="left"/>
                  </w:pPr>
                  <w:r/>
                  <w:r>
                    <w:rPr>
                      <w:rFonts w:ascii="Times New Roman" w:hAnsi="Times New Roman" w:eastAsia="Times New Roman" w:cs="Times New Roman"/>
                      <w:b w:val="0"/>
                      <w:color w:val="006B3C"/>
                      <w:sz w:val="20"/>
                    </w:rPr>
                    <w:t>Backend</w:t>
                  </w:r>
                </w:p>
              </w:tc>
              <w:tc>
                <w:tcPr>
                  <w:tcW w:type="dxa" w:w="2929"/>
                  <w:vAlign w:val="center"/>
                </w:tcPr>
                <w:p>
                  <w:pPr>
                    <w:spacing w:after="40"/>
                    <w:jc w:val="left"/>
                  </w:pPr>
                  <w:r/>
                  <w:r>
                    <w:rPr>
                      <w:rFonts w:ascii="Times New Roman" w:hAnsi="Times New Roman" w:eastAsia="Times New Roman" w:cs="Times New Roman"/>
                      <w:b w:val="0"/>
                      <w:color w:val="006B3C"/>
                      <w:sz w:val="20"/>
                    </w:rPr>
                    <w:t>44/44</w:t>
                  </w:r>
                </w:p>
              </w:tc>
              <w:tc>
                <w:tcPr>
                  <w:tcW w:type="dxa" w:w="2929"/>
                  <w:vAlign w:val="center"/>
                </w:tcPr>
                <w:p>
                  <w:pPr>
                    <w:spacing w:after="40"/>
                    <w:jc w:val="left"/>
                  </w:pPr>
                  <w:r/>
                  <w:r>
                    <w:rPr>
                      <w:rFonts w:ascii="Times New Roman" w:hAnsi="Times New Roman" w:eastAsia="Times New Roman" w:cs="Times New Roman"/>
                      <w:b/>
                      <w:color w:val="006B3C"/>
                      <w:sz w:val="20"/>
                    </w:rPr>
                    <w:t>RÉUSSI</w:t>
                  </w:r>
                </w:p>
              </w:tc>
            </w:tr>
            <w:tr>
              <w:tc>
                <w:tcPr>
                  <w:tcW w:type="dxa" w:w="2929"/>
                  <w:vAlign w:val="center"/>
                </w:tcPr>
                <w:p>
                  <w:pPr>
                    <w:spacing w:after="40"/>
                    <w:jc w:val="left"/>
                  </w:pPr>
                  <w:r/>
                  <w:r>
                    <w:rPr>
                      <w:rFonts w:ascii="Times New Roman" w:hAnsi="Times New Roman" w:eastAsia="Times New Roman" w:cs="Times New Roman"/>
                      <w:b w:val="0"/>
                      <w:color w:val="006B3C"/>
                      <w:sz w:val="20"/>
                    </w:rPr>
                    <w:t>ESLint</w:t>
                  </w:r>
                </w:p>
              </w:tc>
              <w:tc>
                <w:tcPr>
                  <w:tcW w:type="dxa" w:w="2929"/>
                  <w:vAlign w:val="center"/>
                </w:tcPr>
                <w:p>
                  <w:pPr>
                    <w:spacing w:after="40"/>
                    <w:jc w:val="left"/>
                  </w:pPr>
                  <w:r/>
                  <w:r>
                    <w:rPr>
                      <w:rFonts w:ascii="Times New Roman" w:hAnsi="Times New Roman" w:eastAsia="Times New Roman" w:cs="Times New Roman"/>
                      <w:b w:val="0"/>
                      <w:color w:val="006B3C"/>
                      <w:sz w:val="20"/>
                    </w:rPr>
                    <w:t>0 erreur bloquante</w:t>
                  </w:r>
                </w:p>
              </w:tc>
              <w:tc>
                <w:tcPr>
                  <w:tcW w:type="dxa" w:w="2929"/>
                  <w:vAlign w:val="center"/>
                </w:tcPr>
                <w:p>
                  <w:pPr>
                    <w:spacing w:after="40"/>
                    <w:jc w:val="left"/>
                  </w:pPr>
                  <w:r/>
                  <w:r>
                    <w:rPr>
                      <w:rFonts w:ascii="Times New Roman" w:hAnsi="Times New Roman" w:eastAsia="Times New Roman" w:cs="Times New Roman"/>
                      <w:b/>
                      <w:color w:val="006B3C"/>
                      <w:sz w:val="20"/>
                    </w:rPr>
                    <w:t>RÉUSSI</w:t>
                  </w:r>
                </w:p>
              </w:tc>
            </w:tr>
            <w:tr>
              <w:tc>
                <w:tcPr>
                  <w:tcW w:type="dxa" w:w="2929"/>
                  <w:vAlign w:val="center"/>
                </w:tcPr>
                <w:p>
                  <w:pPr>
                    <w:spacing w:after="40"/>
                    <w:jc w:val="left"/>
                  </w:pPr>
                  <w:r/>
                  <w:r>
                    <w:rPr>
                      <w:rFonts w:ascii="Times New Roman" w:hAnsi="Times New Roman" w:eastAsia="Times New Roman" w:cs="Times New Roman"/>
                      <w:b w:val="0"/>
                      <w:color w:val="006B3C"/>
                      <w:sz w:val="20"/>
                    </w:rPr>
                    <w:t>Build Vite</w:t>
                  </w:r>
                </w:p>
              </w:tc>
              <w:tc>
                <w:tcPr>
                  <w:tcW w:type="dxa" w:w="2929"/>
                  <w:vAlign w:val="center"/>
                </w:tcPr>
                <w:p>
                  <w:pPr>
                    <w:spacing w:after="40"/>
                    <w:jc w:val="left"/>
                  </w:pPr>
                  <w:r/>
                  <w:r>
                    <w:rPr>
                      <w:rFonts w:ascii="Times New Roman" w:hAnsi="Times New Roman" w:eastAsia="Times New Roman" w:cs="Times New Roman"/>
                      <w:b w:val="0"/>
                      <w:color w:val="006B3C"/>
                      <w:sz w:val="20"/>
                    </w:rPr>
                    <w:t>Artefacts générés</w:t>
                  </w:r>
                </w:p>
              </w:tc>
              <w:tc>
                <w:tcPr>
                  <w:tcW w:type="dxa" w:w="2929"/>
                  <w:vAlign w:val="center"/>
                </w:tcPr>
                <w:p>
                  <w:pPr>
                    <w:spacing w:after="40"/>
                    <w:jc w:val="left"/>
                  </w:pPr>
                  <w:r/>
                  <w:r>
                    <w:rPr>
                      <w:rFonts w:ascii="Times New Roman" w:hAnsi="Times New Roman" w:eastAsia="Times New Roman" w:cs="Times New Roman"/>
                      <w:b/>
                      <w:color w:val="006B3C"/>
                      <w:sz w:val="20"/>
                    </w:rPr>
                    <w:t>RÉUSSI</w:t>
                  </w:r>
                </w:p>
              </w:tc>
            </w:tr>
            <w:tr>
              <w:tc>
                <w:tcPr>
                  <w:tcW w:type="dxa" w:w="2929"/>
                  <w:vAlign w:val="center"/>
                </w:tcPr>
                <w:p>
                  <w:pPr>
                    <w:spacing w:after="40"/>
                    <w:jc w:val="left"/>
                  </w:pPr>
                  <w:r/>
                  <w:r>
                    <w:rPr>
                      <w:rFonts w:ascii="Times New Roman" w:hAnsi="Times New Roman" w:eastAsia="Times New Roman" w:cs="Times New Roman"/>
                      <w:b w:val="0"/>
                      <w:color w:val="B75A22"/>
                      <w:sz w:val="20"/>
                    </w:rPr>
                    <w:t>Playwright</w:t>
                  </w:r>
                </w:p>
              </w:tc>
              <w:tc>
                <w:tcPr>
                  <w:tcW w:type="dxa" w:w="2929"/>
                  <w:vAlign w:val="center"/>
                </w:tcPr>
                <w:p>
                  <w:pPr>
                    <w:spacing w:after="40"/>
                    <w:jc w:val="left"/>
                  </w:pPr>
                  <w:r/>
                  <w:r>
                    <w:rPr>
                      <w:rFonts w:ascii="Times New Roman" w:hAnsi="Times New Roman" w:eastAsia="Times New Roman" w:cs="Times New Roman"/>
                      <w:b w:val="0"/>
                      <w:color w:val="B75A22"/>
                      <w:sz w:val="20"/>
                    </w:rPr>
                    <w:t>37/38</w:t>
                  </w:r>
                </w:p>
              </w:tc>
              <w:tc>
                <w:tcPr>
                  <w:tcW w:type="dxa" w:w="2929"/>
                  <w:vAlign w:val="center"/>
                </w:tcPr>
                <w:p>
                  <w:pPr>
                    <w:spacing w:after="40"/>
                    <w:jc w:val="left"/>
                  </w:pPr>
                  <w:r/>
                  <w:r>
                    <w:rPr>
                      <w:rFonts w:ascii="Times New Roman" w:hAnsi="Times New Roman" w:eastAsia="Times New Roman" w:cs="Times New Roman"/>
                      <w:b/>
                      <w:color w:val="B75A22"/>
                      <w:sz w:val="20"/>
                    </w:rPr>
                    <w:t>1 ÉCART DOCUMENTÉ</w:t>
                  </w:r>
                </w:p>
              </w:tc>
            </w:tr>
            <w:tr>
              <w:tc>
                <w:tcPr>
                  <w:tcW w:type="dxa" w:w="2929"/>
                  <w:vAlign w:val="center"/>
                </w:tcPr>
                <w:p>
                  <w:pPr>
                    <w:spacing w:after="40"/>
                    <w:jc w:val="left"/>
                  </w:pPr>
                  <w:r/>
                  <w:r>
                    <w:rPr>
                      <w:rFonts w:ascii="Times New Roman" w:hAnsi="Times New Roman" w:eastAsia="Times New Roman" w:cs="Times New Roman"/>
                      <w:b w:val="0"/>
                      <w:color w:val="006B3C"/>
                      <w:sz w:val="20"/>
                    </w:rPr>
                    <w:t>Parcours critiques</w:t>
                  </w:r>
                </w:p>
              </w:tc>
              <w:tc>
                <w:tcPr>
                  <w:tcW w:type="dxa" w:w="2929"/>
                  <w:vAlign w:val="center"/>
                </w:tcPr>
                <w:p>
                  <w:pPr>
                    <w:spacing w:after="40"/>
                    <w:jc w:val="left"/>
                  </w:pPr>
                  <w:r/>
                  <w:r>
                    <w:rPr>
                      <w:rFonts w:ascii="Times New Roman" w:hAnsi="Times New Roman" w:eastAsia="Times New Roman" w:cs="Times New Roman"/>
                      <w:b w:val="0"/>
                      <w:color w:val="006B3C"/>
                      <w:sz w:val="20"/>
                    </w:rPr>
                    <w:t>5/5</w:t>
                  </w:r>
                </w:p>
              </w:tc>
              <w:tc>
                <w:tcPr>
                  <w:tcW w:type="dxa" w:w="2929"/>
                  <w:vAlign w:val="center"/>
                </w:tcPr>
                <w:p>
                  <w:pPr>
                    <w:spacing w:after="40"/>
                    <w:jc w:val="left"/>
                  </w:pPr>
                  <w:r/>
                  <w:r>
                    <w:rPr>
                      <w:rFonts w:ascii="Times New Roman" w:hAnsi="Times New Roman" w:eastAsia="Times New Roman" w:cs="Times New Roman"/>
                      <w:b/>
                      <w:color w:val="006B3C"/>
                      <w:sz w:val="20"/>
                    </w:rPr>
                    <w:t>RÉUSSI</w:t>
                  </w:r>
                </w:p>
              </w:tc>
            </w:tr>
          </w:tbl>
          <w:p/>
          <w:p>
            <w:pPr>
              <w:jc w:val="center"/>
            </w:pPr>
            <w:r>
              <w:rPr>
                <w:rFonts w:ascii="Times New Roman" w:hAnsi="Times New Roman" w:eastAsia="Times New Roman" w:cs="Times New Roman"/>
                <w:i/>
                <w:color w:val="111111"/>
                <w:sz w:val="19"/>
              </w:rPr>
              <w:t>Écart Playwright : huit images de données initiales utilisent des hôtes externes non résolus.</w:t>
            </w:r>
          </w:p>
        </w:tc>
      </w:tr>
    </w:tbl>
    <w:p>
      <w:pPr>
        <w:pStyle w:val="FigureCaption"/>
        <w:jc w:val="center"/>
      </w:pPr>
      <w:bookmarkStart w:id="1047" w:name="fig_4_20"/>
      <w:r>
        <w:rPr>
          <w:rFonts w:ascii="Times New Roman" w:hAnsi="Times New Roman"/>
          <w:color w:val="111111"/>
          <w:sz w:val="20"/>
        </w:rPr>
        <w:t>Figure 4.</w:t>
      </w:r>
      <w:r>
        <w:fldChar w:fldCharType="begin"/>
      </w:r>
      <w:r>
        <w:instrText xml:space="preserve">SEQ Figure4 \* ARABIC</w:instrText>
      </w:r>
      <w:r>
        <w:fldChar w:fldCharType="separate"/>
      </w:r>
      <w:r>
        <w:rPr>
          <w:rFonts w:ascii="Times New Roman" w:hAnsi="Times New Roman"/>
          <w:color w:val="111111"/>
          <w:sz w:val="20"/>
        </w:rPr>
        <w:t>20</w:t>
      </w:r>
      <w:r>
        <w:fldChar w:fldCharType="end"/>
      </w:r>
      <w:bookmarkEnd w:id="1047"/>
      <w:r>
        <w:rPr>
          <w:rFonts w:ascii="Times New Roman" w:hAnsi="Times New Roman"/>
          <w:color w:val="111111"/>
          <w:sz w:val="20"/>
        </w:rPr>
        <w:t xml:space="preserve"> — Synthèse des tests automatisés</w:t>
      </w:r>
    </w:p>
    <w:p>
      <w:pPr>
        <w:pStyle w:val="Heading3"/>
      </w:pPr>
      <w:r>
        <w:rPr>
          <w:rFonts w:ascii="Times New Roman" w:hAnsi="Times New Roman" w:eastAsia="Times New Roman" w:cs="Times New Roman"/>
          <w:b/>
          <w:color w:val="111111"/>
          <w:sz w:val="24"/>
        </w:rPr>
        <w:t>4.8.1 Résultats obtenus</w:t>
      </w:r>
    </w:p>
    <w:p>
      <w:pPr>
        <w:jc w:val="both"/>
      </w:pPr>
      <w:r>
        <w:rPr>
          <w:rFonts w:ascii="Times New Roman" w:hAnsi="Times New Roman" w:eastAsia="Times New Roman" w:cs="Times New Roman"/>
          <w:color w:val="111111"/>
          <w:sz w:val="24"/>
        </w:rPr>
        <w:t>La version finale réunit le site public et l’administration autour d’une même API. Les huit produits sont consultables avec leurs caractéristiques, leur image et leur aperçu 3D lorsqu’il est disponible. Les demandes de devis et de documents sont persistées, recherchées, filtrées et affichées dans des tableaux paginés. Le pipeline limite le nombre de cartes prioritaires visibles dans chaque colonne et propose l’accès aux demandes restantes, ce qui évite l’allongement illimité de l’écran lorsque le volume augmente. Les ressources techniques, les notifications et l’historique client complètent ce suivi.</w:t>
      </w:r>
    </w:p>
    <w:p>
      <w:pPr>
        <w:jc w:val="both"/>
      </w:pPr>
      <w:r>
        <w:rPr>
          <w:rFonts w:ascii="Times New Roman" w:hAnsi="Times New Roman" w:eastAsia="Times New Roman" w:cs="Times New Roman"/>
          <w:color w:val="111111"/>
          <w:sz w:val="24"/>
        </w:rPr>
        <w:t>Les corrections d’interface réalisées pendant la consolidation concernent notamment la mise en page du mode liste, l’alignement des filtres, la lisibilité du mode sombre, les colonnes d’actions, les formulaires de ressources et l’ajout d’images produits. Les captures de ce chapitre montrent le résultat obtenu dans un environnement de recette rempli avec des données fictives. Elles ne constituent pas une preuve de déploiement public.</w:t>
      </w:r>
    </w:p>
    <w:p>
      <w:pPr>
        <w:pStyle w:val="Heading3"/>
      </w:pPr>
      <w:r>
        <w:rPr>
          <w:rFonts w:ascii="Times New Roman" w:hAnsi="Times New Roman" w:eastAsia="Times New Roman" w:cs="Times New Roman"/>
          <w:b/>
          <w:color w:val="111111"/>
          <w:sz w:val="24"/>
        </w:rPr>
        <w:t>4.8.2 Limites confirmées par l’audit</w:t>
      </w:r>
    </w:p>
    <w:p>
      <w:pPr>
        <w:jc w:val="both"/>
      </w:pPr>
      <w:r>
        <w:rPr>
          <w:rFonts w:ascii="Times New Roman" w:hAnsi="Times New Roman" w:eastAsia="Times New Roman" w:cs="Times New Roman"/>
          <w:color w:val="111111"/>
          <w:sz w:val="24"/>
        </w:rPr>
        <w:t>Le frontend concentre encore une part importante de la logique dans App.jsx, qui dépasse six mille lignes, tandis que la feuille App.css dépasse quatorze mille lignes. Cette taille complique la maintenance et les tests ciblés. Une décomposition par domaine — catalogue, devis, administration, notifications et compte — réduirait le couplage. Il s’agit d’une amélioration de structure ; aucune réécriture de ce type n’a été réalisée uniquement pour le rapport.</w:t>
      </w:r>
    </w:p>
    <w:p>
      <w:pPr>
        <w:jc w:val="both"/>
      </w:pPr>
      <w:r>
        <w:rPr>
          <w:rFonts w:ascii="Times New Roman" w:hAnsi="Times New Roman" w:eastAsia="Times New Roman" w:cs="Times New Roman"/>
          <w:color w:val="111111"/>
          <w:sz w:val="24"/>
        </w:rPr>
        <w:t>La PWA est installable grâce au manifeste et au service worker, mais son mode hors ligne est incomplet. La route racine n’est pas préchargée et le modèle GLB des flat bars n’est pas couvert par la liste de précache. La plateforme ne doit donc pas être présentée comme entièrement utilisable sans réseau. De la même manière, les huit modèles 3D sont des géométries génériques adaptées à la visualisation. Ils ne remplacent pas des plans CAO certifiés et l’administration ne prend pas encore en charge l’import de fichiers GLB ou GLTF.</w:t>
      </w:r>
    </w:p>
    <w:p>
      <w:pPr>
        <w:jc w:val="both"/>
      </w:pPr>
      <w:r>
        <w:rPr>
          <w:rFonts w:ascii="Times New Roman" w:hAnsi="Times New Roman" w:eastAsia="Times New Roman" w:cs="Times New Roman"/>
          <w:color w:val="111111"/>
          <w:sz w:val="24"/>
        </w:rPr>
        <w:t>Le stockage des téléversements s’effectue sur le disque local et la limitation de débit reste en mémoire. Ces choix conviennent à une instance de démonstration ou à un premier déploiement maîtrisé, mais ils ne sont pas partagés entre plusieurs serveurs. La promotion d’un fichier temporaire intervient avant la fin des écritures transactionnelles en base ; une erreur ultérieure peut donc laisser un fichier final orphelin. Le service d’audit sait repérer des incohérences, mais ne réalise pas automatiquement leur nettoyage.</w:t>
      </w:r>
    </w:p>
    <w:p>
      <w:pPr>
        <w:jc w:val="both"/>
      </w:pPr>
      <w:r>
        <w:rPr>
          <w:rFonts w:ascii="Times New Roman" w:hAnsi="Times New Roman" w:eastAsia="Times New Roman" w:cs="Times New Roman"/>
          <w:color w:val="111111"/>
          <w:sz w:val="24"/>
        </w:rPr>
        <w:t>L’envoi de courriels, les notifications SMS et l’assistant conversationnel dépendent d’une configuration externe. Ils peuvent être désactivés et ne doivent pas être considérés comme garantis sans clés ni fournisseurs. Le support WebAuthn est partiel : les challenges sont conservés en mémoire, le compteur de signature n’est pas actualisé et certaines vérifications pourraient être renforcées. Enfin, aucune chaîne CI/CD n’est présente dans le dépôt, aucun déploiement public n’a été vérifié et aucune restauration complète de sauvegarde MySQL n’a fait partie de l’audit.</w:t>
      </w:r>
    </w:p>
    <w:p>
      <w:pPr>
        <w:pStyle w:val="Heading3"/>
      </w:pPr>
      <w:r>
        <w:rPr>
          <w:rFonts w:ascii="Times New Roman" w:hAnsi="Times New Roman" w:eastAsia="Times New Roman" w:cs="Times New Roman"/>
          <w:b/>
          <w:color w:val="111111"/>
          <w:sz w:val="24"/>
        </w:rPr>
        <w:t>4.8.3 Perspectives réalistes</w:t>
      </w:r>
    </w:p>
    <w:p>
      <w:pPr>
        <w:jc w:val="both"/>
      </w:pPr>
      <w:r>
        <w:rPr>
          <w:rFonts w:ascii="Times New Roman" w:hAnsi="Times New Roman" w:eastAsia="Times New Roman" w:cs="Times New Roman"/>
          <w:color w:val="111111"/>
          <w:sz w:val="24"/>
        </w:rPr>
        <w:t>La première perspective consiste à stabiliser totalement la recette en remplaçant les images initiales externes par des fichiers locaux contrôlés. La deuxième est de modulariser le frontend sans modifier les parcours, puis d’ajouter des tests ciblés sur les composants extraits. La troisième concerne l’exploitation : intégrer une chaîne CI/CD qui exécute Maven, ESLint, le build et Playwright, puis produit des artefacts identifiables avant tout déploiement.</w:t>
      </w:r>
    </w:p>
    <w:p>
      <w:pPr>
        <w:jc w:val="both"/>
      </w:pPr>
      <w:r>
        <w:rPr>
          <w:rFonts w:ascii="Times New Roman" w:hAnsi="Times New Roman" w:eastAsia="Times New Roman" w:cs="Times New Roman"/>
          <w:color w:val="111111"/>
          <w:sz w:val="24"/>
        </w:rPr>
        <w:t>Pour une montée en charge horizontale, les fichiers devraient être placés dans un stockage partagé ou objet et la limitation de débit dans un service commun tel que Redis. Le nettoyage compensatoire des fichiers doit également être renforcé lorsque la transaction métier échoue. Le mode PWA pourrait précacher les ressources indispensables et prévoir une page hors ligne dédiée. Côté sécurité, la finalisation WebAuthn nécessiterait un stockage distribué des challenges, la mise à jour du signCount et une validation plus stricte des indicateurs d’authentification.</w:t>
      </w:r>
    </w:p>
    <w:p>
      <w:pPr>
        <w:jc w:val="both"/>
      </w:pPr>
      <w:r>
        <w:rPr>
          <w:rFonts w:ascii="Times New Roman" w:hAnsi="Times New Roman" w:eastAsia="Times New Roman" w:cs="Times New Roman"/>
          <w:color w:val="111111"/>
          <w:sz w:val="24"/>
        </w:rPr>
        <w:t>À plus long terme, des modèles 3D issus des données techniques validées pourraient remplacer les formes génériques, avec un véritable processus d’import et de contrôle. Une intégration ERP ou Odoo pourrait éviter certaines doubles saisies, mais elle suppose une étude fonctionnelle et des API d’entreprise qui ne faisaient pas partie du projet. Ces pistes sont présentées comme des prolongements et non comme des fonctionnalités déjà disponibles.</w:t>
      </w:r>
    </w:p>
    <w:p>
      <w:pPr>
        <w:pStyle w:val="Heading2"/>
      </w:pPr>
      <w:r>
        <w:rPr>
          <w:rFonts w:ascii="Times New Roman" w:hAnsi="Times New Roman"/>
          <w:color w:val="111111"/>
          <w:sz w:val="24"/>
        </w:rPr>
        <w:t>Conclusion du chapitre 4</w:t>
      </w:r>
    </w:p>
    <w:p>
      <w:r>
        <w:rPr>
          <w:rFonts w:ascii="Times New Roman" w:hAnsi="Times New Roman" w:eastAsia="Times New Roman"/>
          <w:color w:val="111111"/>
          <w:sz w:val="24"/>
        </w:rPr>
        <w:t>La réalisation transforme les besoins étudiés en une plateforme cohérente et vérifiée. Les fonctions publiques et administratives sont reliées à une source de données réelle, tandis que les tests, la sauvegarde et les procédures de déploiement fournissent une base solide pour la suite du projet.</w:t>
      </w:r>
    </w:p>
    <w:p>
      <w:r>
        <w:rPr>
          <w:rFonts w:ascii="Times New Roman" w:hAnsi="Times New Roman"/>
          <w:color w:val="111111"/>
          <w:sz w:val="24"/>
        </w:rPr>
        <w:br w:type="page"/>
      </w:r>
    </w:p>
    <w:p>
      <w:pPr>
        <w:pStyle w:val="Heading1"/>
      </w:pPr>
      <w:r>
        <w:rPr>
          <w:rFonts w:ascii="Times New Roman" w:hAnsi="Times New Roman"/>
          <w:color w:val="111111"/>
          <w:sz w:val="24"/>
        </w:rPr>
        <w:t>Conclusion générale et perspectives</w:t>
      </w:r>
    </w:p>
    <w:p>
      <w:r>
        <w:rPr>
          <w:rFonts w:ascii="Times New Roman" w:hAnsi="Times New Roman" w:eastAsia="Times New Roman"/>
          <w:color w:val="111111"/>
          <w:sz w:val="24"/>
        </w:rPr>
        <w:t>Le projet G-ROD avait pour objectif de concevoir une plateforme web B2B capable de valoriser l'activité de Morocco Copper Foundry et de structurer les échanges avec ses prospects et clients. Cet objectif a conduit à la réalisation d'un site public moderne, d'un catalogue dynamique et d'un espace d'administration couvrant le suivi commercial, les clients, les produits, les documents, les ressources et les notifications.</w:t>
      </w:r>
    </w:p>
    <w:p>
      <w:r>
        <w:rPr>
          <w:rFonts w:ascii="Times New Roman" w:hAnsi="Times New Roman" w:eastAsia="Times New Roman"/>
          <w:color w:val="111111"/>
          <w:sz w:val="24"/>
        </w:rPr>
        <w:t>L'architecture retenue associe React, Spring Boot et MySQL dans une séparation claire entre interface, API et persistance. Les fonctionnalités sensibles sont protégées par Spring Security, JWT et BCrypt, avec une option Passkey/WebAuthn. La gestion des fichiers, la limitation de requêtes, les migrations et l'initialisation idempotente renforcent la fiabilité de la solution.</w:t>
      </w:r>
    </w:p>
    <w:p>
      <w:r>
        <w:rPr>
          <w:rFonts w:ascii="Times New Roman" w:hAnsi="Times New Roman" w:eastAsia="Times New Roman"/>
          <w:color w:val="111111"/>
          <w:sz w:val="24"/>
        </w:rPr>
        <w:t>La recette finale confirme le bon fonctionnement des principaux parcours et des affichages responsive. Les tests automatisés, la sauvegarde de la base et la création d'une Release Candidate apportent une traçabilité supplémentaire et facilitent la présentation du projet.</w:t>
      </w:r>
    </w:p>
    <w:p>
      <w:r>
        <w:rPr>
          <w:rFonts w:ascii="Times New Roman" w:hAnsi="Times New Roman" w:eastAsia="Times New Roman"/>
          <w:color w:val="111111"/>
          <w:sz w:val="24"/>
        </w:rPr>
        <w:t>Plusieurs perspectives peuvent prolonger ce travail : modulariser davantage le frontend, automatiser l'intégration et le déploiement continus, utiliser un stockage partagé pour les contrôles distribués, externaliser les fichiers vers un stockage objet, ajouter des indicateurs commerciaux historiques et connecter la plateforme à d'autres outils internes de l'entreprise. Ces évolutions devront être priorisées selon les besoins réels et le contexte d'exploitation.</w:t>
      </w:r>
    </w:p>
    <w:p>
      <w:r>
        <w:rPr>
          <w:rFonts w:ascii="Times New Roman" w:hAnsi="Times New Roman"/>
          <w:color w:val="111111"/>
          <w:sz w:val="24"/>
        </w:rPr>
        <w:br w:type="page"/>
      </w:r>
    </w:p>
    <w:p>
      <w:pPr>
        <w:pStyle w:val="Heading1"/>
      </w:pPr>
      <w:r>
        <w:rPr>
          <w:rFonts w:ascii="Times New Roman" w:hAnsi="Times New Roman"/>
          <w:color w:val="111111"/>
          <w:sz w:val="24"/>
        </w:rPr>
        <w:t>Références bibliographiques</w:t>
      </w:r>
    </w:p>
    <w:p>
      <w:pPr>
        <w:ind w:left="397" w:hanging="397"/>
        <w:jc w:val="both"/>
      </w:pPr>
      <w:r>
        <w:rPr>
          <w:rFonts w:ascii="Times New Roman" w:hAnsi="Times New Roman" w:eastAsia="Times New Roman" w:cs="Times New Roman"/>
          <w:color w:val="111111"/>
          <w:sz w:val="24"/>
        </w:rPr>
        <w:t>[1] Spring, Spring Boot Reference Documentation, https://docs.spring.io/spring-boot/ (consulté le 14/09/2026).</w:t>
      </w:r>
    </w:p>
    <w:p>
      <w:pPr>
        <w:ind w:left="397" w:hanging="397"/>
        <w:jc w:val="both"/>
      </w:pPr>
      <w:r>
        <w:rPr>
          <w:rFonts w:ascii="Times New Roman" w:hAnsi="Times New Roman" w:eastAsia="Times New Roman" w:cs="Times New Roman"/>
          <w:color w:val="111111"/>
          <w:sz w:val="24"/>
        </w:rPr>
        <w:t>[2] Meta, React Documentation, https://react.dev/ (consultée le 14/09/2026).</w:t>
      </w:r>
    </w:p>
    <w:p>
      <w:pPr>
        <w:ind w:left="397" w:hanging="397"/>
        <w:jc w:val="both"/>
      </w:pPr>
      <w:r>
        <w:rPr>
          <w:rFonts w:ascii="Times New Roman" w:hAnsi="Times New Roman" w:eastAsia="Times New Roman" w:cs="Times New Roman"/>
          <w:color w:val="111111"/>
          <w:sz w:val="24"/>
        </w:rPr>
        <w:t>[3] Oracle, MySQL Reference Manual, https://dev.mysql.com/doc/ (consulté le 14/09/2026).</w:t>
      </w:r>
    </w:p>
    <w:p>
      <w:pPr>
        <w:ind w:left="397" w:hanging="397"/>
        <w:jc w:val="both"/>
      </w:pPr>
      <w:r>
        <w:rPr>
          <w:rFonts w:ascii="Times New Roman" w:hAnsi="Times New Roman" w:eastAsia="Times New Roman" w:cs="Times New Roman"/>
          <w:color w:val="111111"/>
          <w:sz w:val="24"/>
        </w:rPr>
        <w:t>[4] Vite, Guide officiel, https://vite.dev/guide/ (consulté le 14/09/2026).</w:t>
      </w:r>
    </w:p>
    <w:p>
      <w:pPr>
        <w:ind w:left="397" w:hanging="397"/>
        <w:jc w:val="both"/>
      </w:pPr>
      <w:r>
        <w:rPr>
          <w:rFonts w:ascii="Times New Roman" w:hAnsi="Times New Roman" w:eastAsia="Times New Roman" w:cs="Times New Roman"/>
          <w:color w:val="111111"/>
          <w:sz w:val="24"/>
        </w:rPr>
        <w:t>[5] Three.js, Documentation officielle, https://threejs.org/docs/ (consultée le 14/09/2026).</w:t>
      </w:r>
    </w:p>
    <w:p>
      <w:pPr>
        <w:ind w:left="397" w:hanging="397"/>
        <w:jc w:val="both"/>
      </w:pPr>
      <w:r>
        <w:rPr>
          <w:rFonts w:ascii="Times New Roman" w:hAnsi="Times New Roman" w:eastAsia="Times New Roman" w:cs="Times New Roman"/>
          <w:color w:val="111111"/>
          <w:sz w:val="24"/>
        </w:rPr>
        <w:t>[6] Microsoft, Playwright Documentation, https://playwright.dev/docs/intro (consultée le 14/09/2026).</w:t>
      </w:r>
    </w:p>
    <w:p>
      <w:pPr>
        <w:ind w:left="397" w:hanging="397"/>
        <w:jc w:val="both"/>
      </w:pPr>
      <w:r>
        <w:rPr>
          <w:rFonts w:ascii="Times New Roman" w:hAnsi="Times New Roman" w:eastAsia="Times New Roman" w:cs="Times New Roman"/>
          <w:color w:val="111111"/>
          <w:sz w:val="24"/>
        </w:rPr>
        <w:t>[7] OWASP Foundation, Cheat Sheet Series, https://cheatsheetseries.owasp.org/ (consultée le 14/09/2026).</w:t>
      </w:r>
    </w:p>
    <w:p>
      <w:pPr>
        <w:ind w:left="397" w:hanging="397"/>
        <w:jc w:val="both"/>
      </w:pPr>
      <w:r>
        <w:rPr>
          <w:rFonts w:ascii="Times New Roman" w:hAnsi="Times New Roman" w:eastAsia="Times New Roman" w:cs="Times New Roman"/>
          <w:color w:val="111111"/>
          <w:sz w:val="24"/>
        </w:rPr>
        <w:t>[8] W3C, Web Authentication: An API for accessing Public Key Credentials, https://www.w3.org/TR/webauthn-3/ (consulté le 14/09/2026).</w:t>
      </w:r>
    </w:p>
    <w:p>
      <w:pPr>
        <w:ind w:left="397" w:hanging="397"/>
        <w:jc w:val="both"/>
      </w:pPr>
      <w:r>
        <w:rPr>
          <w:rFonts w:ascii="Times New Roman" w:hAnsi="Times New Roman" w:eastAsia="Times New Roman" w:cs="Times New Roman"/>
          <w:color w:val="111111"/>
          <w:sz w:val="24"/>
        </w:rPr>
        <w:t>[9] Wieland, Products and solutions, https://www.wieland.com/en/products (consulté le 14/09/2026).</w:t>
      </w:r>
    </w:p>
    <w:p>
      <w:pPr>
        <w:ind w:left="397" w:hanging="397"/>
        <w:jc w:val="both"/>
      </w:pPr>
      <w:r>
        <w:rPr>
          <w:rFonts w:ascii="Times New Roman" w:hAnsi="Times New Roman" w:eastAsia="Times New Roman" w:cs="Times New Roman"/>
          <w:color w:val="111111"/>
          <w:sz w:val="24"/>
        </w:rPr>
        <w:t>[10] KME, Download center, https://www.kme.com/en/downloads (consulté le 14/09/2026).</w:t>
      </w:r>
    </w:p>
    <w:p>
      <w:pPr>
        <w:ind w:left="397" w:hanging="397"/>
        <w:jc w:val="both"/>
      </w:pPr>
      <w:r>
        <w:rPr>
          <w:rFonts w:ascii="Times New Roman" w:hAnsi="Times New Roman" w:eastAsia="Times New Roman" w:cs="Times New Roman"/>
          <w:color w:val="111111"/>
          <w:sz w:val="24"/>
        </w:rPr>
        <w:t>[11] Aurubis, Products and services, https://www.aurubis.com/en/products (consulté le 14/09/2026).</w:t>
      </w:r>
    </w:p>
    <w:p>
      <w:pPr>
        <w:ind w:left="397" w:hanging="397"/>
        <w:jc w:val="both"/>
      </w:pPr>
      <w:r>
        <w:rPr>
          <w:rFonts w:ascii="Times New Roman" w:hAnsi="Times New Roman" w:eastAsia="Times New Roman" w:cs="Times New Roman"/>
          <w:color w:val="111111"/>
          <w:sz w:val="24"/>
        </w:rPr>
        <w:t>[12] Nexans, Product catalogue, https://www.nexans.com/en/products.html (consulté le 14/09/2026).</w:t>
      </w:r>
    </w:p>
    <w:p>
      <w:pPr>
        <w:ind w:left="397" w:hanging="397"/>
        <w:jc w:val="both"/>
      </w:pPr>
      <w:r>
        <w:rPr>
          <w:rFonts w:ascii="Times New Roman" w:hAnsi="Times New Roman" w:eastAsia="Times New Roman" w:cs="Times New Roman"/>
          <w:color w:val="111111"/>
          <w:sz w:val="24"/>
        </w:rPr>
        <w:t>[13] Morocco Copper Foundry, Brochure institutionnelle G-ROD, document fourni avec le projet, 2026.</w:t>
      </w:r>
    </w:p>
    <w:p>
      <w:pPr>
        <w:ind w:left="397" w:hanging="397"/>
        <w:jc w:val="both"/>
      </w:pPr>
      <w:r>
        <w:rPr>
          <w:rFonts w:ascii="Times New Roman" w:hAnsi="Times New Roman" w:eastAsia="Times New Roman" w:cs="Times New Roman"/>
          <w:color w:val="111111"/>
          <w:sz w:val="24"/>
        </w:rPr>
        <w:t>[14] Projet G-ROD, code source, README, tests et audit technique de la Release Candidate v1.0.0-rc.1, dépôt local, 2026.</w:t>
      </w:r>
    </w:p>
    <w:p>
      <w:r>
        <w:rPr>
          <w:rFonts w:ascii="Times New Roman" w:hAnsi="Times New Roman"/>
          <w:color w:val="111111"/>
          <w:sz w:val="24"/>
        </w:rPr>
        <w:br w:type="page"/>
      </w:r>
    </w:p>
    <w:p>
      <w:pPr>
        <w:pStyle w:val="Heading1"/>
      </w:pPr>
      <w:r>
        <w:rPr>
          <w:rFonts w:ascii="Times New Roman" w:hAnsi="Times New Roman"/>
          <w:color w:val="111111"/>
          <w:sz w:val="24"/>
        </w:rPr>
        <w:t>Annexes</w:t>
      </w:r>
    </w:p>
    <w:p>
      <w:pPr>
        <w:pStyle w:val="Heading2"/>
      </w:pPr>
      <w:r>
        <w:rPr>
          <w:rFonts w:ascii="Times New Roman" w:hAnsi="Times New Roman"/>
          <w:color w:val="111111"/>
          <w:sz w:val="24"/>
        </w:rPr>
        <w:t>Annexe A — Principales routes frontend</w:t>
      </w:r>
    </w:p>
    <w:tbl>
      <w:tblPr>
        <w:tblStyle w:val="TableGrid"/>
        <w:tblW w:type="dxa" w:w="8788"/>
        <w:jc w:val="left"/>
        <w:tblLayout w:type="fixed"/>
        <w:tblLook w:firstColumn="1" w:firstRow="1" w:lastColumn="0" w:lastRow="0" w:noHBand="0" w:noVBand="1" w:val="04A0"/>
        <w:tblInd w:w="120" w:type="dxa"/>
      </w:tblPr>
      <w:tblGrid>
        <w:gridCol w:w="1937"/>
        <w:gridCol w:w="6851"/>
      </w:tblGrid>
      <w:tr>
        <w:trPr>
          <w:tblHeader w:val="true"/>
        </w:trPr>
        <w:tc>
          <w:tcPr>
            <w:tcW w:type="dxa" w:w="1937"/>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Espace</w:t>
            </w:r>
          </w:p>
        </w:tc>
        <w:tc>
          <w:tcPr>
            <w:tcW w:type="dxa" w:w="6851"/>
            <w:shd w:fill="003C2A"/>
            <w:vAlign w:val="center"/>
            <w:tcMar>
              <w:top w:w="90" w:type="dxa"/>
              <w:bottom w:w="90" w:type="dxa"/>
              <w:start w:w="120" w:type="dxa"/>
              <w:end w:w="120" w:type="dxa"/>
            </w:tcMar>
          </w:tcPr>
          <w:p>
            <w:pPr>
              <w:spacing w:after="0"/>
              <w:jc w:val="center"/>
            </w:pPr>
            <w:r>
              <w:rPr>
                <w:rFonts w:ascii="Times New Roman" w:hAnsi="Times New Roman" w:eastAsia="Arial"/>
                <w:b/>
                <w:color w:val="111111"/>
                <w:sz w:val="19"/>
              </w:rPr>
              <w:t>Routes</w:t>
            </w:r>
          </w:p>
        </w:tc>
      </w:tr>
      <w:tr>
        <w:tc>
          <w:tcPr>
            <w:tcW w:type="dxa" w:w="1937"/>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Public</w:t>
            </w:r>
          </w:p>
        </w:tc>
        <w:tc>
          <w:tcPr>
            <w:tcW w:type="dxa" w:w="6851"/>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 /catalogue, /catalogue/:productId, /resources, /processus, /pourquoi-grod, /demande-document, /devis</w:t>
            </w:r>
          </w:p>
        </w:tc>
      </w:tr>
      <w:tr>
        <w:tc>
          <w:tcPr>
            <w:tcW w:type="dxa" w:w="193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color w:val="111111"/>
                <w:sz w:val="19"/>
              </w:rPr>
              <w:t>Administration</w:t>
            </w:r>
          </w:p>
        </w:tc>
        <w:tc>
          <w:tcPr>
            <w:tcW w:type="dxa" w:w="6851"/>
            <w:shd w:fill="F7FAF8"/>
            <w:vAlign w:val="center"/>
            <w:tcMar>
              <w:top w:w="90" w:type="dxa"/>
              <w:bottom w:w="90" w:type="dxa"/>
              <w:start w:w="120" w:type="dxa"/>
              <w:end w:w="120" w:type="dxa"/>
            </w:tcMar>
          </w:tcPr>
          <w:p>
            <w:r>
              <w:rPr>
                <w:rFonts w:ascii="Times New Roman" w:hAnsi="Times New Roman"/>
                <w:color w:val="111111"/>
                <w:sz w:val="19"/>
              </w:rPr>
              <w:t>/admin/login, /admin/dashboard, /admin/demandes, /admin/clients, /admin/produits, /admin/documents, /admin/resources, /admin/notifications, /admin/account</w:t>
            </w:r>
          </w:p>
        </w:tc>
      </w:tr>
    </w:tbl>
    <w:p>
      <w:pPr>
        <w:spacing w:after="40"/>
      </w:pPr>
    </w:p>
    <w:p>
      <w:pPr>
        <w:pStyle w:val="Heading2"/>
      </w:pPr>
      <w:r>
        <w:rPr>
          <w:rFonts w:ascii="Times New Roman" w:hAnsi="Times New Roman"/>
          <w:color w:val="111111"/>
          <w:sz w:val="24"/>
        </w:rPr>
        <w:t>Annexe B — Principaux groupes d'API</w:t>
      </w:r>
    </w:p>
    <w:p>
      <w:pPr>
        <w:pStyle w:val="ListBullet"/>
      </w:pPr>
      <w:r>
        <w:rPr>
          <w:rFonts w:ascii="Times New Roman" w:hAnsi="Times New Roman" w:eastAsia="Times New Roman"/>
          <w:color w:val="111111"/>
          <w:sz w:val="24"/>
        </w:rPr>
        <w:t>/api/auth — connexion et mot de passe ;</w:t>
      </w:r>
    </w:p>
    <w:p>
      <w:pPr>
        <w:pStyle w:val="ListBullet"/>
      </w:pPr>
      <w:r>
        <w:rPr>
          <w:rFonts w:ascii="Times New Roman" w:hAnsi="Times New Roman" w:eastAsia="Times New Roman"/>
          <w:color w:val="111111"/>
          <w:sz w:val="24"/>
        </w:rPr>
        <w:t>/api/passkeys — inscription et connexion WebAuthn ;</w:t>
      </w:r>
    </w:p>
    <w:p>
      <w:pPr>
        <w:pStyle w:val="ListBullet"/>
      </w:pPr>
      <w:r>
        <w:rPr>
          <w:rFonts w:ascii="Times New Roman" w:hAnsi="Times New Roman" w:eastAsia="Times New Roman"/>
          <w:color w:val="111111"/>
          <w:sz w:val="24"/>
        </w:rPr>
        <w:t>/api/produits — catalogue et CRUD produits ;</w:t>
      </w:r>
    </w:p>
    <w:p>
      <w:pPr>
        <w:pStyle w:val="ListBullet"/>
      </w:pPr>
      <w:r>
        <w:rPr>
          <w:rFonts w:ascii="Times New Roman" w:hAnsi="Times New Roman" w:eastAsia="Times New Roman"/>
          <w:color w:val="111111"/>
          <w:sz w:val="24"/>
        </w:rPr>
        <w:t>/api/demandes-devis — demandes commerciales, statuts, PDF et pièces jointes ;</w:t>
      </w:r>
    </w:p>
    <w:p>
      <w:pPr>
        <w:pStyle w:val="ListBullet"/>
      </w:pPr>
      <w:r>
        <w:rPr>
          <w:rFonts w:ascii="Times New Roman" w:hAnsi="Times New Roman" w:eastAsia="Times New Roman"/>
          <w:color w:val="111111"/>
          <w:sz w:val="24"/>
        </w:rPr>
        <w:t>/api/demandes-documents — demandes de ressources ;</w:t>
      </w:r>
    </w:p>
    <w:p>
      <w:pPr>
        <w:pStyle w:val="ListBullet"/>
      </w:pPr>
      <w:r>
        <w:rPr>
          <w:rFonts w:ascii="Times New Roman" w:hAnsi="Times New Roman" w:eastAsia="Times New Roman"/>
          <w:color w:val="111111"/>
          <w:sz w:val="24"/>
        </w:rPr>
        <w:t>/api/documents-techniques — ressources publiques et administration ;</w:t>
      </w:r>
    </w:p>
    <w:p>
      <w:pPr>
        <w:pStyle w:val="ListBullet"/>
      </w:pPr>
      <w:r>
        <w:rPr>
          <w:rFonts w:ascii="Times New Roman" w:hAnsi="Times New Roman" w:eastAsia="Times New Roman"/>
          <w:color w:val="111111"/>
          <w:sz w:val="24"/>
        </w:rPr>
        <w:t>/api/admin — dashboard, pagination et pipeline ;</w:t>
      </w:r>
    </w:p>
    <w:p>
      <w:pPr>
        <w:pStyle w:val="ListBullet"/>
      </w:pPr>
      <w:r>
        <w:rPr>
          <w:rFonts w:ascii="Times New Roman" w:hAnsi="Times New Roman" w:eastAsia="Times New Roman"/>
          <w:color w:val="111111"/>
          <w:sz w:val="24"/>
        </w:rPr>
        <w:t>/api/admin/notifications — liste, compteur et état de lecture ;</w:t>
      </w:r>
    </w:p>
    <w:p>
      <w:pPr>
        <w:pStyle w:val="ListBullet"/>
      </w:pPr>
      <w:r>
        <w:rPr>
          <w:rFonts w:ascii="Times New Roman" w:hAnsi="Times New Roman" w:eastAsia="Times New Roman"/>
          <w:color w:val="111111"/>
          <w:sz w:val="24"/>
        </w:rPr>
        <w:t>/api/uploads — images et documents contrôlés.</w:t>
      </w:r>
    </w:p>
    <w:p>
      <w:pPr>
        <w:pStyle w:val="Heading2"/>
      </w:pPr>
      <w:r>
        <w:rPr>
          <w:rFonts w:ascii="Times New Roman" w:hAnsi="Times New Roman"/>
          <w:color w:val="111111"/>
          <w:sz w:val="24"/>
        </w:rPr>
        <w:t>Annexe C — Lancement local</w:t>
      </w:r>
    </w:p>
    <w:p>
      <w:pPr>
        <w:pStyle w:val="CodeBlock"/>
        <w:jc w:val="left"/>
      </w:pPr>
      <w:r>
        <w:rPr>
          <w:rFonts w:ascii="Times New Roman" w:hAnsi="Times New Roman" w:eastAsia="Consolas"/>
          <w:color w:val="111111"/>
          <w:sz w:val="24"/>
        </w:rPr>
        <w:t>Backend :</w:t>
        <w:br/>
        <w:t>cd grod-platform-backend</w:t>
        <w:br/>
        <w:t>set JWT_SECRET=&lt;secret local de 32 caractères minimum&gt;</w:t>
        <w:br/>
        <w:t>.\mvnw.cmd spring-boot:run</w:t>
        <w:br/>
        <w:br/>
        <w:t>Frontend :</w:t>
        <w:br/>
        <w:t>cd grod-platform-frontend</w:t>
        <w:br/>
        <w:t>npm.cmd run dev</w:t>
        <w:br/>
        <w:br/>
        <w:t>Adresse : http://localhost:5173</w:t>
      </w:r>
    </w:p>
    <w:p>
      <w:pPr>
        <w:pStyle w:val="Heading2"/>
      </w:pPr>
      <w:r>
        <w:t>Annexe D — Données personnelles et institutionnelles à renseigner</w:t>
      </w:r>
    </w:p>
    <w:p>
      <w:pPr>
        <w:pStyle w:val="ListBullet"/>
      </w:pPr>
      <w:r>
        <w:rPr>
          <w:rFonts w:ascii="Times New Roman" w:hAnsi="Times New Roman"/>
          <w:color w:val="111111"/>
          <w:sz w:val="24"/>
        </w:rPr>
        <w:t>identité complète de l’étudiant ;</w:t>
      </w:r>
    </w:p>
    <w:p>
      <w:pPr>
        <w:pStyle w:val="ListBullet"/>
      </w:pPr>
      <w:r>
        <w:rPr>
          <w:rFonts w:ascii="Times New Roman" w:hAnsi="Times New Roman"/>
          <w:color w:val="111111"/>
          <w:sz w:val="24"/>
        </w:rPr>
        <w:t>noms et fonctions des encadrants EMSI et entreprise ;</w:t>
      </w:r>
    </w:p>
    <w:p>
      <w:pPr>
        <w:pStyle w:val="ListBullet"/>
      </w:pPr>
      <w:r>
        <w:rPr>
          <w:rFonts w:ascii="Times New Roman" w:hAnsi="Times New Roman"/>
          <w:color w:val="111111"/>
          <w:sz w:val="24"/>
        </w:rPr>
        <w:t>description de l’ancien processus métier, si elle est validée par l’entreprise ;</w:t>
      </w:r>
    </w:p>
    <w:p>
      <w:pPr>
        <w:pStyle w:val="ListBullet"/>
      </w:pPr>
      <w:r>
        <w:rPr>
          <w:rFonts w:ascii="Times New Roman" w:hAnsi="Times New Roman"/>
          <w:color w:val="111111"/>
          <w:sz w:val="24"/>
        </w:rPr>
        <w:t>activité, adresse et éventuels chiffres institutionnels validés par l’entreprise.</w:t>
      </w:r>
    </w:p>
    <w:sectPr w:rsidR="003D1AC4" w:rsidRPr="003D1AC4" w:rsidSect="00371369">
      <w:headerReference w:type="default" r:id="rId21"/>
      <w:footerReference w:type="default" r:id="rId22"/>
      <w:pgSz w:w="11906" w:h="16838"/>
      <w:pgMar w:top="1417" w:right="1417" w:bottom="1417" w:left="1701" w:header="709" w:footer="709" w:gutter="0"/>
      <w:cols w:space="708"/>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F6FBF" w14:textId="77777777" w:rsidR="009F0086" w:rsidRDefault="009F0086" w:rsidP="00323F81">
      <w:r>
        <w:separator/>
      </w:r>
    </w:p>
  </w:endnote>
  <w:endnote w:type="continuationSeparator" w:id="0">
    <w:p w14:paraId="75A27C6E" w14:textId="77777777" w:rsidR="009F0086" w:rsidRDefault="009F0086" w:rsidP="00323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06A"/>
        <w:sz w:val="17"/>
      </w:rPr>
      <w:t xml:space="preserve">G-ROD — Morocco Copper Foundry     |     Page </w:t>
    </w:r>
    <w:r>
      <w:fldChar w:fldCharType="begin"/>
    </w:r>
    <w:r>
      <w:instrText xml:space="preserve">PAGE</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06A"/>
        <w:sz w:val="17"/>
      </w:rPr>
      <w:t xml:space="preserve">G-ROD — Morocco Copper Foundry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53C2A" w14:textId="77777777" w:rsidR="009F0086" w:rsidRDefault="009F0086" w:rsidP="00323F81">
      <w:r>
        <w:separator/>
      </w:r>
    </w:p>
  </w:footnote>
  <w:footnote w:type="continuationSeparator" w:id="0">
    <w:p w14:paraId="5438E0AE" w14:textId="77777777" w:rsidR="009F0086" w:rsidRDefault="009F0086" w:rsidP="00323F8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B75A22"/>
      </w:pBdr>
    </w:pPr>
    <w:r>
      <w:rPr>
        <w:rFonts w:ascii="Arial" w:hAnsi="Arial" w:eastAsia="Arial"/>
        <w:b/>
        <w:color w:val="64706A"/>
        <w:sz w:val="17"/>
      </w:rPr>
      <w:t>RAPPORT DE PROJET DE FIN D’ÉTUDES  |  G-ROD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B75A22"/>
      </w:pBdr>
    </w:pPr>
    <w:r>
      <w:rPr>
        <w:rFonts w:ascii="Arial" w:hAnsi="Arial" w:eastAsia="Arial"/>
        <w:b/>
        <w:color w:val="64706A"/>
        <w:sz w:val="17"/>
      </w:rPr>
      <w:t>RAPPORT DE PROJET DE FIN D’ÉTUDES  |  G-ROD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4E7F6B"/>
    <w:multiLevelType w:val="hybridMultilevel"/>
    <w:tmpl w:val="D070EB20"/>
    <w:lvl w:ilvl="0" w:tplc="65EEF968">
      <w:numFmt w:val="bullet"/>
      <w:lvlText w:val="-"/>
      <w:lvlJc w:val="left"/>
      <w:pPr>
        <w:ind w:left="644" w:hanging="360"/>
      </w:pPr>
      <w:rPr>
        <w:rFonts w:ascii="Calibri" w:eastAsiaTheme="minorHAnsi" w:hAnsi="Calibri" w:cs="Calibri"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0158C8EF"/>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44C63CF"/>
    <w:multiLevelType w:val="singleLevel"/>
    <w:tmpl w:val="D0A62B40"/>
    <w:lvl w:ilvl="0">
      <w:start w:val="1"/>
      <w:numFmt w:val="decimal"/>
      <w:pStyle w:val="ListNumber"/>
      <w:lvlText w:val="%1."/>
      <w:lvlJc w:val="left"/>
      <w:pPr>
        <w:tabs>
          <w:tab w:val="num" w:pos="360"/>
        </w:tabs>
        <w:ind w:left="360" w:hanging="360"/>
      </w:pPr>
    </w:lvl>
  </w:abstractNum>
  <w:num w:numId="2">
    <w:abstractNumId w:val="1"/>
  </w:num>
  <w:num w:numId="3">
    <w:abstractNumId w:val="2"/>
  </w:num>
  <w:num w:numId="4">
    <w:abstractNumId w:val="2"/>
    <w:lvlOverride w:ilvl="0">
      <w:startOverride w:val="1"/>
    </w:lvlOverride>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AC4"/>
    <w:rsid w:val="00001FBF"/>
    <w:rsid w:val="00035A32"/>
    <w:rsid w:val="002216C1"/>
    <w:rsid w:val="002E08CA"/>
    <w:rsid w:val="00323F81"/>
    <w:rsid w:val="00357C1E"/>
    <w:rsid w:val="00371369"/>
    <w:rsid w:val="003D1AC4"/>
    <w:rsid w:val="003F74FA"/>
    <w:rsid w:val="00445378"/>
    <w:rsid w:val="00475975"/>
    <w:rsid w:val="004C6ED7"/>
    <w:rsid w:val="00582B9F"/>
    <w:rsid w:val="0064124D"/>
    <w:rsid w:val="00665377"/>
    <w:rsid w:val="006A28B2"/>
    <w:rsid w:val="00773D38"/>
    <w:rsid w:val="007D6E88"/>
    <w:rsid w:val="007E1DBD"/>
    <w:rsid w:val="00861D86"/>
    <w:rsid w:val="00876970"/>
    <w:rsid w:val="008776C6"/>
    <w:rsid w:val="008A4B03"/>
    <w:rsid w:val="00914D33"/>
    <w:rsid w:val="009F0086"/>
    <w:rsid w:val="009F3ADD"/>
    <w:rsid w:val="00A86280"/>
    <w:rsid w:val="00BD2F28"/>
    <w:rsid w:val="00BF56B5"/>
    <w:rsid w:val="00CA24AB"/>
    <w:rsid w:val="00CB7E69"/>
    <w:rsid w:val="00D87731"/>
    <w:rsid w:val="00DA3E3D"/>
    <w:rsid w:val="00E1599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BE70"/>
  <w15:chartTrackingRefBased/>
  <w15:docId w15:val="{B885B39F-8246-DB45-AB99-B6F66287758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jc w:val="both"/>
    </w:pPr>
    <w:rPr>
      <w:rFonts w:ascii="Times New Roman" w:hAnsi="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FBF"/>
    <w:pPr>
      <w:ind w:left="720"/>
      <w:contextualSpacing/>
    </w:pPr>
  </w:style>
  <w:style w:type="paragraph" w:styleId="NoSpacing">
    <w:name w:val="No Spacing"/>
    <w:link w:val="NoSpacingChar"/>
    <w:uiPriority w:val="1"/>
    <w:qFormat/>
    <w:rsid w:val="00371369"/>
    <w:rPr>
      <w:rFonts w:eastAsiaTheme="minorEastAsia"/>
      <w:sz w:val="22"/>
      <w:szCs w:val="22"/>
      <w:lang w:val="en-US"/>
    </w:rPr>
  </w:style>
  <w:style w:type="character" w:customStyle="1" w:styleId="NoSpacingChar">
    <w:name w:val="No Spacing Char"/>
    <w:basedOn w:val="DefaultParagraphFont"/>
    <w:link w:val="NoSpacing"/>
    <w:uiPriority w:val="1"/>
    <w:rsid w:val="00371369"/>
    <w:rPr>
      <w:rFonts w:eastAsiaTheme="minorEastAsia"/>
      <w:sz w:val="22"/>
      <w:szCs w:val="22"/>
      <w:lang w:val="en-US"/>
    </w:rPr>
  </w:style>
  <w:style w:type="paragraph" w:styleId="Header">
    <w:name w:val="header"/>
    <w:basedOn w:val="Normal"/>
    <w:link w:val="HeaderChar"/>
    <w:uiPriority w:val="99"/>
    <w:unhideWhenUsed/>
    <w:rsid w:val="00323F81"/>
    <w:pPr>
      <w:tabs>
        <w:tab w:val="center" w:pos="4536"/>
        <w:tab w:val="right" w:pos="9072"/>
      </w:tabs>
    </w:pPr>
  </w:style>
  <w:style w:type="character" w:customStyle="1" w:styleId="HeaderChar">
    <w:name w:val="Header Char"/>
    <w:basedOn w:val="DefaultParagraphFont"/>
    <w:link w:val="Header"/>
    <w:uiPriority w:val="99"/>
    <w:rsid w:val="00323F81"/>
    <w:rPr>
      <w:lang w:val="en-US"/>
    </w:rPr>
  </w:style>
  <w:style w:type="paragraph" w:styleId="Footer">
    <w:name w:val="footer"/>
    <w:basedOn w:val="Normal"/>
    <w:link w:val="FooterChar"/>
    <w:uiPriority w:val="99"/>
    <w:unhideWhenUsed/>
    <w:rsid w:val="00323F81"/>
    <w:pPr>
      <w:tabs>
        <w:tab w:val="center" w:pos="4536"/>
        <w:tab w:val="right" w:pos="9072"/>
      </w:tabs>
    </w:pPr>
  </w:style>
  <w:style w:type="character" w:customStyle="1" w:styleId="FooterChar">
    <w:name w:val="Footer Char"/>
    <w:basedOn w:val="DefaultParagraphFont"/>
    <w:link w:val="Footer"/>
    <w:uiPriority w:val="99"/>
    <w:rsid w:val="00323F81"/>
    <w:rPr>
      <w:lang w:val="en-US"/>
    </w:rPr>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3C2A"/>
      <w:sz w:val="32"/>
      <w:szCs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paragraph" w:customStyle="1" w:styleId="Placeholder">
    <w:name w:val="Placeholder"/>
    <w:pPr>
      <w:spacing w:before="100" w:after="140"/>
      <w:ind w:left="198" w:right="198"/>
      <w:shd w:fill="F8EEE8"/>
    </w:pPr>
    <w:rPr>
      <w:rFonts w:ascii="Times New Roman" w:hAnsi="Times New Roman"/>
      <w:color w:val="B75A22"/>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006B3C"/>
      <w:sz w:val="28"/>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customStyle="1" w:styleId="FigureCaption">
    <w:name w:val="Figure Caption"/>
    <w:basedOn w:val="Caption"/>
    <w:pPr>
      <w:keepNext/>
      <w:spacing w:line="240" w:lineRule="auto"/>
      <w:jc w:val="center"/>
    </w:pPr>
    <w:rPr>
      <w:rFonts w:ascii="Times New Roman" w:hAnsi="Times New Roman"/>
      <w:sz w:val="20"/>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b/>
      <w:bCs/>
      <w:color w:val="B75A22"/>
      <w:sz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customStyle="1" w:styleId="TableCaption">
    <w:name w:val="Table Caption"/>
    <w:basedOn w:val="Caption"/>
    <w:pPr>
      <w:keepNext/>
      <w:spacing w:line="240" w:lineRule="auto"/>
      <w:jc w:val="center"/>
    </w:pPr>
    <w:rPr>
      <w:rFonts w:ascii="Times New Roman" w:hAnsi="Times New Roman"/>
      <w:sz w:val="20"/>
    </w:rPr>
  </w:style>
  <w:style w:type="paragraph" w:styleId="ListBullet">
    <w:name w:val="List Bullet"/>
    <w:basedOn w:val="Normal"/>
    <w:uiPriority w:val="99"/>
    <w:unhideWhenUsed/>
    <w:rsid w:val="00326F90"/>
    <w:pPr>
      <w:numPr>
        <w:numId w:val="2"/>
      </w:numPr>
      <w:spacing w:after="80" w:line="288" w:lineRule="auto"/>
      <w:ind w:left="720" w:hanging="360"/>
      <w:contextualSpacing/>
    </w:pPr>
    <w:rPr>
      <w:rFonts w:ascii="Times New Roman" w:hAnsi="Times New Roman"/>
      <w:sz w:val="24"/>
    </w:rPr>
  </w:style>
  <w:style w:type="paragraph" w:styleId="ListNumber">
    <w:name w:val="List Number"/>
    <w:basedOn w:val="Normal"/>
    <w:uiPriority w:val="99"/>
    <w:unhideWhenUsed/>
    <w:rsid w:val="00326F90"/>
    <w:pPr>
      <w:numPr>
        <w:numId w:val="3"/>
      </w:numPr>
      <w:spacing w:after="80" w:line="288" w:lineRule="auto"/>
      <w:ind w:left="720" w:hanging="360"/>
      <w:contextualSpacing/>
    </w:pPr>
    <w:rPr>
      <w:rFonts w:ascii="Times New Roman" w:hAnsi="Times New Roman"/>
      <w:sz w:val="24"/>
    </w:rPr>
  </w:style>
  <w:style w:type="paragraph" w:customStyle="1" w:styleId="CodeBlock">
    <w:name w:val="Code Block"/>
    <w:pPr>
      <w:spacing w:before="100" w:after="140"/>
      <w:ind w:left="198" w:right="198"/>
      <w:shd w:fill="F2F4F3"/>
    </w:pPr>
    <w:rPr>
      <w:rFonts w:ascii="Consolas" w:hAnsi="Consolas"/>
      <w:color w:val="003C2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77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Annee UNIVERSITAIRE: 2025-2026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Pages>
  <Words>2</Words>
  <Characters>18</Characters>
  <Application>Microsoft Office Word</Application>
  <DocSecurity>0</DocSecurity>
  <Lines>1</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Tuteur de l’école : Pr. prénom nom</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Plateforme G-ROD</dc:title>
  <dc:subject>Conception et développement d’une plateforme web B2B pour Morocco Copper Foundry</dc:subject>
  <dc:creator>[NOM COMPLET]</dc:creator>
  <cp:keywords/>
  <dc:description>Version finale académique — informations personnelles à compléter avant dépôt.</dc:description>
  <cp:lastModifiedBy>[NOM COMPLET]</cp:lastModifiedBy>
  <cp:revision>15</cp:revision>
  <cp:lastPrinted>2021-04-22T10:46:00Z</cp:lastPrinted>
  <dcterms:created xsi:type="dcterms:W3CDTF">2021-04-20T22:59:00Z</dcterms:created>
  <dcterms:modified xsi:type="dcterms:W3CDTF">2026-05-14T13:12:00Z</dcterms:modified>
</cp:coreProperties>
</file>