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color w:val="003C2A"/>
          <w:sz w:val="28"/>
        </w:rPr>
        <w:t>[NOM DE L'ÉCOLE]</w:t>
      </w:r>
    </w:p>
    <w:p>
      <w:pPr>
        <w:jc w:val="center"/>
      </w:pPr>
      <w:r>
        <w:rPr>
          <w:rFonts w:ascii="Arial" w:hAnsi="Arial" w:eastAsia="Arial"/>
          <w:b/>
          <w:color w:val="64706A"/>
          <w:sz w:val="26"/>
        </w:rPr>
        <w:t>Rapport de projet de fin d'études</w:t>
      </w:r>
    </w:p>
    <w:p>
      <w:pPr>
        <w:spacing w:before="640" w:after="520"/>
        <w:jc w:val="center"/>
      </w:pPr>
      <w:r>
        <w:drawing>
          <wp:inline xmlns:a="http://schemas.openxmlformats.org/drawingml/2006/main" xmlns:pic="http://schemas.openxmlformats.org/drawingml/2006/picture">
            <wp:extent cx="2232000" cy="376892"/>
            <wp:docPr id="1" name="Picture 1" descr="Logo de la marque industrielle G-ROD"/>
            <wp:cNvGraphicFramePr>
              <a:graphicFrameLocks noChangeAspect="1"/>
            </wp:cNvGraphicFramePr>
            <a:graphic>
              <a:graphicData uri="http://schemas.openxmlformats.org/drawingml/2006/picture">
                <pic:pic>
                  <pic:nvPicPr>
                    <pic:cNvPr id="0" name="grod-logo.png"/>
                    <pic:cNvPicPr/>
                  </pic:nvPicPr>
                  <pic:blipFill>
                    <a:blip r:embed="rId11"/>
                    <a:stretch>
                      <a:fillRect/>
                    </a:stretch>
                  </pic:blipFill>
                  <pic:spPr>
                    <a:xfrm>
                      <a:off x="0" y="0"/>
                      <a:ext cx="2232000" cy="376892"/>
                    </a:xfrm>
                    <a:prstGeom prst="rect"/>
                  </pic:spPr>
                </pic:pic>
              </a:graphicData>
            </a:graphic>
          </wp:inline>
        </w:drawing>
      </w:r>
    </w:p>
    <w:p>
      <w:pPr>
        <w:pStyle w:val="Title"/>
      </w:pPr>
      <w:r>
        <w:rPr>
          <w:rFonts w:ascii="Times New Roman" w:hAnsi="Times New Roman" w:eastAsia="Times New Roman"/>
          <w:b/>
          <w:color w:val="003C2A"/>
          <w:sz w:val="50"/>
        </w:rPr>
        <w:t>Conception et développement d'une plateforme web B2B pour G-ROD</w:t>
      </w:r>
    </w:p>
    <w:p>
      <w:pPr>
        <w:spacing w:after="560"/>
        <w:jc w:val="center"/>
      </w:pPr>
      <w:r>
        <w:rPr>
          <w:rFonts w:ascii="Arial" w:hAnsi="Arial" w:eastAsia="Arial"/>
          <w:i/>
          <w:color w:val="B75A22"/>
          <w:sz w:val="26"/>
        </w:rPr>
        <w:t>Catalogue industriel, demandes commerciales et espace d'administration</w:t>
      </w:r>
    </w:p>
    <w:tbl>
      <w:tblPr>
        <w:tblStyle w:val="TableGrid"/>
        <w:tblW w:type="dxa" w:w="9073"/>
        <w:jc w:val="left"/>
        <w:tblLayout w:type="fixed"/>
        <w:tblLook w:firstColumn="1" w:firstRow="1" w:lastColumn="0" w:lastRow="0" w:noHBand="0" w:noVBand="1" w:val="04A0"/>
        <w:tblInd w:w="120" w:type="dxa"/>
      </w:tblPr>
      <w:tblGrid>
        <w:gridCol w:w="4536"/>
        <w:gridCol w:w="4537"/>
      </w:tblGrid>
      <w:tr>
        <w:trPr>
          <w:tblHeader w:val="true"/>
        </w:trPr>
        <w:tc>
          <w:tcPr>
            <w:tcW w:type="dxa" w:w="4536"/>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Réalisé par</w:t>
            </w:r>
          </w:p>
        </w:tc>
        <w:tc>
          <w:tcPr>
            <w:tcW w:type="dxa" w:w="453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Encadrement</w:t>
            </w:r>
          </w:p>
        </w:tc>
      </w:tr>
      <w:tr>
        <w:tc>
          <w:tcPr>
            <w:tcW w:type="dxa" w:w="4536"/>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[NOM COMPLET]</w:t>
              <w:br/>
              <w:t>[FILIÈRE — NIVEAU]</w:t>
            </w:r>
          </w:p>
        </w:tc>
        <w:tc>
          <w:tcPr>
            <w:tcW w:type="dxa" w:w="453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Encadrant pédagogique : [NOM]</w:t>
              <w:br/>
              <w:t>Encadrant entreprise : [NOM]</w:t>
            </w:r>
          </w:p>
        </w:tc>
      </w:tr>
      <w:tr>
        <w:tc>
          <w:tcPr>
            <w:tcW w:type="dxa" w:w="453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Entreprise d'accueil</w:t>
            </w:r>
          </w:p>
        </w:tc>
        <w:tc>
          <w:tcPr>
            <w:tcW w:type="dxa" w:w="453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Morocco Copper Foundry — G-ROD</w:t>
            </w:r>
          </w:p>
        </w:tc>
      </w:tr>
    </w:tbl>
    <w:p>
      <w:pPr>
        <w:spacing w:after="40"/>
      </w:pPr>
    </w:p>
    <w:p>
      <w:pPr>
        <w:spacing w:before="440"/>
        <w:jc w:val="center"/>
      </w:pPr>
      <w:r>
        <w:rPr>
          <w:rFonts w:ascii="Arial" w:hAnsi="Arial" w:eastAsia="Arial"/>
          <w:b/>
          <w:color w:val="64706A"/>
          <w:sz w:val="22"/>
        </w:rPr>
        <w:t>Année universitaire : [20XX / 20XX]</w:t>
      </w:r>
    </w:p>
    <w:p>
      <w:r>
        <w:br w:type="page"/>
      </w:r>
    </w:p>
    <w:p>
      <w:pPr>
        <w:pStyle w:val="Heading1"/>
      </w:pPr>
      <w:r>
        <w:t>Remerciements</w:t>
      </w:r>
    </w:p>
    <w:p>
      <w:pPr>
        <w:pStyle w:val="Placeholder"/>
        <w:jc w:val="left"/>
      </w:pPr>
      <w:r>
        <w:rPr>
          <w:rFonts w:ascii="Times New Roman" w:hAnsi="Times New Roman" w:eastAsia="Times New Roman"/>
          <w:b/>
          <w:color w:val="B75A22"/>
          <w:sz w:val="21"/>
        </w:rPr>
        <w:t>À COMPLÉTER — Personnaliser les remerciements avec les noms des encadrants, de l'équipe et de l'établissement.</w:t>
      </w:r>
    </w:p>
    <w:p>
      <w:r>
        <w:rPr>
          <w:rFonts w:ascii="Times New Roman" w:hAnsi="Times New Roman" w:eastAsia="Times New Roman"/>
        </w:rPr>
        <w:t>Je tiens à exprimer ma sincère gratitude à toutes les personnes qui ont contribué à la réalisation de ce projet de fin d'études. Je remercie tout particulièrement mon encadrant en entreprise pour son accompagnement, ses remarques et la confiance accordée durant la conception de la plateforme G-ROD.</w:t>
      </w:r>
    </w:p>
    <w:p>
      <w:r>
        <w:rPr>
          <w:rFonts w:ascii="Times New Roman" w:hAnsi="Times New Roman" w:eastAsia="Times New Roman"/>
        </w:rPr>
        <w:t>Mes remerciements s'adressent également à mon encadrant pédagogique ainsi qu'à l'ensemble du corps professoral pour les connaissances transmises au cours de ma formation. Enfin, je remercie ma famille et mes proches pour leur soutien constant tout au long de ce parcours.</w:t>
      </w:r>
    </w:p>
    <w:p>
      <w:r>
        <w:br w:type="page"/>
      </w:r>
    </w:p>
    <w:p>
      <w:pPr>
        <w:pStyle w:val="Heading1"/>
      </w:pPr>
      <w:r>
        <w:t>Résumé</w:t>
      </w:r>
    </w:p>
    <w:p>
      <w:r>
        <w:rPr>
          <w:rFonts w:ascii="Times New Roman" w:hAnsi="Times New Roman" w:eastAsia="Times New Roman"/>
        </w:rPr>
        <w:t>Ce projet de fin d'études porte sur la conception et le développement d'une plateforme web B2B destinée à Morocco Copper Foundry, présentée sous la marque G-ROD. La solution répond au besoin de disposer d'une vitrine numérique moderne pour valoriser une gamme de produits en cuivre, recevoir les demandes de devis et de documents techniques, puis centraliser leur traitement dans un espace d'administration sécurisé.</w:t>
      </w:r>
    </w:p>
    <w:p>
      <w:r>
        <w:rPr>
          <w:rFonts w:ascii="Times New Roman" w:hAnsi="Times New Roman" w:eastAsia="Times New Roman"/>
        </w:rPr>
        <w:t>La plateforme comprend un site public responsive, un catalogue dynamique, des fiches produits, des aperçus tridimensionnels, un espace documentaire et plusieurs formulaires de contact. L'espace administrateur permet de suivre les demandes dans un pipeline commercial, de gérer les produits, les clients, les documents et les notifications. Le backend est réalisé avec Java 21 et Spring Boot, le frontend avec React et Vite, et les données sont persistées dans MySQL. La sécurité repose notamment sur Spring Security, l'authentification JWT, le chiffrement BCrypt, la limitation de requêtes et une option Passkey/WebAuthn.</w:t>
      </w:r>
    </w:p>
    <w:p>
      <w:r>
        <w:rPr>
          <w:rFonts w:ascii="Times New Roman" w:hAnsi="Times New Roman" w:eastAsia="Times New Roman"/>
        </w:rPr>
        <w:t>La qualité de la solution est vérifiée par des tests unitaires, d'intégration et de bout en bout exécutés avec Maven, H2 et Playwright. Les résultats obtenus montrent une solution fonctionnelle, cohérente et préparée pour un déploiement derrière Nginx, tout en identifiant des perspectives telles que la modularisation avancée du frontend et l'automatisation complète du déploiement.</w:t>
      </w:r>
    </w:p>
    <w:p>
      <w:r>
        <w:rPr>
          <w:rFonts w:ascii="Times New Roman" w:hAnsi="Times New Roman" w:eastAsia="Times New Roman"/>
          <w:b/>
          <w:color w:val="003C2A"/>
        </w:rPr>
        <w:t xml:space="preserve">Mots-clés : </w:t>
      </w:r>
      <w:r>
        <w:rPr>
          <w:rFonts w:ascii="Times New Roman" w:hAnsi="Times New Roman" w:eastAsia="Times New Roman"/>
        </w:rPr>
        <w:t>plateforme B2B, cuivre, React, Spring Boot, MySQL, catalogue, administration, sécurité, visualisation 3D.</w:t>
      </w:r>
    </w:p>
    <w:p>
      <w:r>
        <w:br w:type="page"/>
      </w:r>
    </w:p>
    <w:p>
      <w:pPr>
        <w:pStyle w:val="Heading1"/>
      </w:pPr>
      <w:r>
        <w:t>Abstract</w:t>
      </w:r>
    </w:p>
    <w:p>
      <w:r>
        <w:rPr>
          <w:rFonts w:ascii="Times New Roman" w:hAnsi="Times New Roman" w:eastAsia="Times New Roman"/>
        </w:rPr>
        <w:t>This final-year project focuses on the design and development of a B2B web platform for Morocco Copper Foundry under the G-ROD brand. The solution provides a modern digital showcase for copper products, collects quotation and technical-document requests, and centralizes their processing through a secure administration area.</w:t>
      </w:r>
    </w:p>
    <w:p>
      <w:r>
        <w:rPr>
          <w:rFonts w:ascii="Times New Roman" w:hAnsi="Times New Roman" w:eastAsia="Times New Roman"/>
        </w:rPr>
        <w:t>The platform includes a responsive public website, a dynamic catalog, detailed product pages, three-dimensional previews, a technical-resource area, and business request forms. The administration workspace supports request tracking through a commercial pipeline as well as product, client, document, and notification management. The backend is built with Java 21 and Spring Boot, the frontend uses React and Vite, and business data is stored in MySQL. Security mechanisms include Spring Security, JWT authentication, BCrypt password hashing, rate limiting, and optional Passkey/WebAuthn authentication.</w:t>
      </w:r>
    </w:p>
    <w:p>
      <w:r>
        <w:rPr>
          <w:rFonts w:ascii="Times New Roman" w:hAnsi="Times New Roman" w:eastAsia="Times New Roman"/>
        </w:rPr>
        <w:t>Quality assurance relies on unit, integration, and end-to-end tests executed with Maven, H2, and Playwright. The resulting release candidate is functional and prepared for deployment behind Nginx. Future improvements include further frontend modularization and a fully automated continuous-delivery pipeline.</w:t>
      </w:r>
    </w:p>
    <w:p>
      <w:r>
        <w:rPr>
          <w:rFonts w:ascii="Times New Roman" w:hAnsi="Times New Roman" w:eastAsia="Times New Roman"/>
          <w:b/>
          <w:color w:val="003C2A"/>
        </w:rPr>
        <w:t xml:space="preserve">Keywords: </w:t>
      </w:r>
      <w:r>
        <w:rPr>
          <w:rFonts w:ascii="Times New Roman" w:hAnsi="Times New Roman" w:eastAsia="Times New Roman"/>
        </w:rPr>
        <w:t>B2B platform, copper, React, Spring Boot, MySQL, catalog, administration, security, 3D visualization.</w:t>
      </w:r>
    </w:p>
    <w:p>
      <w:r>
        <w:br w:type="page"/>
      </w:r>
    </w:p>
    <w:p>
      <w:pPr>
        <w:pStyle w:val="Heading1"/>
      </w:pPr>
      <w:r>
        <w:t>Table des matières</w:t>
      </w:r>
    </w:p>
    <w:p>
      <w:fldSimple w:instr="TOC \o &quot;1-3&quot; \h \z \u">
        <w:r>
          <w:t>Mettre à jour la table des matières dans Word avec Ctrl+A puis F9.</w:t>
        </w:r>
      </w:fldSimple>
    </w:p>
    <w:p>
      <w:r>
        <w:br w:type="page"/>
      </w:r>
    </w:p>
    <w:p>
      <w:pPr>
        <w:pStyle w:val="Heading1"/>
      </w:pPr>
      <w:r>
        <w:t>Table des figures</w:t>
      </w:r>
    </w:p>
    <w:p>
      <w:r>
        <w:rPr>
          <w:rFonts w:ascii="Times New Roman" w:hAnsi="Times New Roman" w:eastAsia="Times New Roman"/>
        </w:rPr>
        <w:t>Figure 1.1 — Identité visuelle G-ROD</w:t>
      </w:r>
    </w:p>
    <w:p>
      <w:r>
        <w:rPr>
          <w:rFonts w:ascii="Times New Roman" w:hAnsi="Times New Roman" w:eastAsia="Times New Roman"/>
        </w:rPr>
        <w:t>Figure 1.2 — Schéma de production de Morocco Copper Foundry</w:t>
      </w:r>
    </w:p>
    <w:p>
      <w:r>
        <w:rPr>
          <w:rFonts w:ascii="Times New Roman" w:hAnsi="Times New Roman" w:eastAsia="Times New Roman"/>
        </w:rPr>
        <w:t>Figure 1.3 — Illustration de l'environnement industriel</w:t>
      </w:r>
    </w:p>
    <w:p>
      <w:r>
        <w:rPr>
          <w:rFonts w:ascii="Times New Roman" w:hAnsi="Times New Roman" w:eastAsia="Times New Roman"/>
        </w:rPr>
        <w:t>Figure 4.1 — Réception et tri des matières premières</w:t>
      </w:r>
    </w:p>
    <w:p>
      <w:r>
        <w:rPr>
          <w:rFonts w:ascii="Times New Roman" w:hAnsi="Times New Roman" w:eastAsia="Times New Roman"/>
        </w:rPr>
        <w:t>Figure 4.2 — Contrôle en laboratoire</w:t>
      </w:r>
    </w:p>
    <w:p>
      <w:pPr>
        <w:pStyle w:val="Placeholder"/>
        <w:jc w:val="left"/>
      </w:pPr>
      <w:r>
        <w:rPr>
          <w:rFonts w:ascii="Times New Roman" w:hAnsi="Times New Roman" w:eastAsia="Times New Roman"/>
          <w:b/>
          <w:color w:val="B75A22"/>
          <w:sz w:val="21"/>
        </w:rPr>
        <w:t>À COMPLÉTER — Ajouter les captures d'écran finales de l'application et actualiser cette liste.</w:t>
      </w:r>
    </w:p>
    <w:p>
      <w:r>
        <w:br w:type="page"/>
      </w:r>
    </w:p>
    <w:p>
      <w:pPr>
        <w:pStyle w:val="Heading1"/>
      </w:pPr>
      <w:r>
        <w:t>Liste des tableaux</w:t>
      </w:r>
    </w:p>
    <w:p>
      <w:r>
        <w:rPr>
          <w:rFonts w:ascii="Times New Roman" w:hAnsi="Times New Roman" w:eastAsia="Times New Roman"/>
        </w:rPr>
        <w:t>Tableau 2.1 — Acteurs et responsabilités</w:t>
      </w:r>
    </w:p>
    <w:p>
      <w:r>
        <w:rPr>
          <w:rFonts w:ascii="Times New Roman" w:hAnsi="Times New Roman" w:eastAsia="Times New Roman"/>
        </w:rPr>
        <w:t>Tableau 2.2 — Besoins fonctionnels du site public</w:t>
      </w:r>
    </w:p>
    <w:p>
      <w:r>
        <w:rPr>
          <w:rFonts w:ascii="Times New Roman" w:hAnsi="Times New Roman" w:eastAsia="Times New Roman"/>
        </w:rPr>
        <w:t>Tableau 2.3 — Besoins fonctionnels de l'administration</w:t>
      </w:r>
    </w:p>
    <w:p>
      <w:r>
        <w:rPr>
          <w:rFonts w:ascii="Times New Roman" w:hAnsi="Times New Roman" w:eastAsia="Times New Roman"/>
        </w:rPr>
        <w:t>Tableau 2.4 — Exigences non fonctionnelles</w:t>
      </w:r>
    </w:p>
    <w:p>
      <w:r>
        <w:rPr>
          <w:rFonts w:ascii="Times New Roman" w:hAnsi="Times New Roman" w:eastAsia="Times New Roman"/>
        </w:rPr>
        <w:t>Tableau 2.5 — Planification par phases</w:t>
      </w:r>
    </w:p>
    <w:p>
      <w:r>
        <w:rPr>
          <w:rFonts w:ascii="Times New Roman" w:hAnsi="Times New Roman" w:eastAsia="Times New Roman"/>
        </w:rPr>
        <w:t>Tableau 2.6 — Principaux risques du projet</w:t>
      </w:r>
    </w:p>
    <w:p>
      <w:r>
        <w:rPr>
          <w:rFonts w:ascii="Times New Roman" w:hAnsi="Times New Roman" w:eastAsia="Times New Roman"/>
        </w:rPr>
        <w:t>Tableau 3.1 — Comparaison des choix techniques</w:t>
      </w:r>
    </w:p>
    <w:p>
      <w:r>
        <w:rPr>
          <w:rFonts w:ascii="Times New Roman" w:hAnsi="Times New Roman" w:eastAsia="Times New Roman"/>
        </w:rPr>
        <w:t>Tableau 3.2 — Principaux cas d'utilisation</w:t>
      </w:r>
    </w:p>
    <w:p>
      <w:r>
        <w:rPr>
          <w:rFonts w:ascii="Times New Roman" w:hAnsi="Times New Roman" w:eastAsia="Times New Roman"/>
        </w:rPr>
        <w:t>Tableau 3.3 — Entités métier</w:t>
      </w:r>
    </w:p>
    <w:p>
      <w:r>
        <w:rPr>
          <w:rFonts w:ascii="Times New Roman" w:hAnsi="Times New Roman" w:eastAsia="Times New Roman"/>
        </w:rPr>
        <w:t>Tableau 4.1 — Technologies et outils</w:t>
      </w:r>
    </w:p>
    <w:p>
      <w:r>
        <w:rPr>
          <w:rFonts w:ascii="Times New Roman" w:hAnsi="Times New Roman" w:eastAsia="Times New Roman"/>
        </w:rPr>
        <w:t>Tableau 4.2 — Synthèse des tests</w:t>
      </w:r>
    </w:p>
    <w:p>
      <w:r>
        <w:br w:type="page"/>
      </w:r>
    </w:p>
    <w:p>
      <w:pPr>
        <w:pStyle w:val="Heading1"/>
      </w:pPr>
      <w:r>
        <w:t>Liste des acronymes</w:t>
      </w:r>
    </w:p>
    <w:tbl>
      <w:tblPr>
        <w:tblStyle w:val="TableGrid"/>
        <w:tblW w:type="dxa" w:w="9073"/>
        <w:jc w:val="left"/>
        <w:tblLayout w:type="fixed"/>
        <w:tblLook w:firstColumn="1" w:firstRow="1" w:lastColumn="0" w:lastRow="0" w:noHBand="0" w:noVBand="1" w:val="04A0"/>
        <w:tblInd w:w="120" w:type="dxa"/>
      </w:tblPr>
      <w:tblGrid>
        <w:gridCol w:w="1800"/>
        <w:gridCol w:w="7273"/>
      </w:tblGrid>
      <w:tr>
        <w:trPr>
          <w:tblHeader w:val="true"/>
        </w:trPr>
        <w:tc>
          <w:tcPr>
            <w:tcW w:type="dxa" w:w="18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Acronyme</w:t>
            </w:r>
          </w:p>
        </w:tc>
        <w:tc>
          <w:tcPr>
            <w:tcW w:type="dxa" w:w="72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Signification</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Application Programming Interface</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B2B</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Business to Business</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CRUD</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Create, Read, Update, Delete</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DTO</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Data Transfer Object</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HTTP</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Hypertext Transfer Protocol</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JWT</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JSON Web Token</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MCF</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Morocco Copper Foundry</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ORM</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Object-Relational Mapping</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PDF</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Portable Document Format</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PWA</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Progressive Web Application</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REST</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Representational State Transfer</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SPA</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Single Page Application</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UML</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Unified Modeling Language</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WebAuthn</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Web Authentication API</w:t>
            </w:r>
          </w:p>
        </w:tc>
      </w:tr>
    </w:tbl>
    <w:p>
      <w:pPr>
        <w:spacing w:after="40"/>
      </w:pPr>
    </w:p>
    <w:p>
      <w:r>
        <w:br w:type="page"/>
      </w:r>
    </w:p>
    <w:p>
      <w:pPr>
        <w:pStyle w:val="Heading1"/>
      </w:pPr>
      <w:r>
        <w:t>Introduction générale</w:t>
      </w:r>
    </w:p>
    <w:p>
      <w:r>
        <w:rPr>
          <w:rFonts w:ascii="Times New Roman" w:hAnsi="Times New Roman" w:eastAsia="Times New Roman"/>
        </w:rPr>
        <w:t>La transformation numérique touche désormais l'ensemble des secteurs industriels. Pour une entreprise opérant sur un marché B2B, la qualité de la présence numérique ne se limite plus à présenter une activité : elle doit faciliter l'accès à l'information technique, structurer la prise de contact, accélérer le traitement des demandes et garantir la cohérence des données partagées avec les prospects et les clients.</w:t>
      </w:r>
    </w:p>
    <w:p>
      <w:r>
        <w:rPr>
          <w:rFonts w:ascii="Times New Roman" w:hAnsi="Times New Roman" w:eastAsia="Times New Roman"/>
        </w:rPr>
        <w:t>Morocco Copper Foundry s'inscrit dans une dynamique industrielle fondée sur la valorisation du cuivre recyclé. Dans ce contexte, la marque G-ROD avait besoin d'une plateforme capable de présenter son identité, ses engagements, ses procédés et sa gamme de produits, tout en offrant des parcours concrets de demande de devis et de documentation. Le projet devait également proposer à l'équipe interne un espace unique pour administrer le catalogue et suivre les interactions commerciales.</w:t>
      </w:r>
    </w:p>
    <w:p>
      <w:r>
        <w:rPr>
          <w:rFonts w:ascii="Times New Roman" w:hAnsi="Times New Roman" w:eastAsia="Times New Roman"/>
        </w:rPr>
        <w:t>La problématique centrale peut ainsi être formulée de la manière suivante : comment concevoir une plateforme web moderne, sécurisée et évolutive permettant à G-ROD de valoriser son offre industrielle et de centraliser le cycle de traitement des demandes clients ? La réponse apportée repose sur une application web responsive comprenant un site public et un espace administrateur, reliés à une API métier et à une base de données relationnelle.</w:t>
      </w:r>
    </w:p>
    <w:p>
      <w:r>
        <w:rPr>
          <w:rFonts w:ascii="Times New Roman" w:hAnsi="Times New Roman" w:eastAsia="Times New Roman"/>
        </w:rPr>
        <w:t>Le travail a été conduit de manière itérative : analyse de l'existant, définition des parcours, développement progressif des modules, amélioration de l'expérience utilisateur, renforcement de la sécurité, automatisation des tests et préparation du déploiement. Cette démarche a permis de faire évoluer la solution tout en vérifiant régulièrement son fonctionnement sur plusieurs tailles d'écran.</w:t>
      </w:r>
    </w:p>
    <w:p>
      <w:r>
        <w:rPr>
          <w:rFonts w:ascii="Times New Roman" w:hAnsi="Times New Roman" w:eastAsia="Times New Roman"/>
        </w:rPr>
        <w:t>Le présent rapport est organisé en quatre chapitres. Le premier présente l'entreprise et le contexte industriel. Le deuxième expose la problématique, les besoins et l'organisation du projet. Le troisième décrit l'étude technique et la conception. Enfin, le quatrième détaille la réalisation, les fonctionnalités obtenues, la stratégie de tests et la préparation du déploiement.</w:t>
      </w:r>
    </w:p>
    <w:p>
      <w:r>
        <w:br w:type="page"/>
      </w:r>
    </w:p>
    <w:p>
      <w:pPr>
        <w:spacing w:before="1600" w:after="240"/>
        <w:jc w:val="center"/>
      </w:pPr>
      <w:r>
        <w:rPr>
          <w:rFonts w:ascii="Arial" w:hAnsi="Arial" w:eastAsia="Arial"/>
          <w:b/>
          <w:color w:val="B75A22"/>
          <w:sz w:val="24"/>
        </w:rPr>
        <w:t>CHAPITRE 1</w:t>
      </w:r>
    </w:p>
    <w:p>
      <w:pPr>
        <w:pStyle w:val="Title"/>
      </w:pPr>
      <w:r>
        <w:rPr>
          <w:rFonts w:ascii="Times New Roman" w:hAnsi="Times New Roman" w:eastAsia="Times New Roman"/>
          <w:b/>
          <w:color w:val="003C2A"/>
          <w:sz w:val="50"/>
        </w:rPr>
        <w:t>Contexte général et environnement du projet</w:t>
      </w:r>
    </w:p>
    <w:p>
      <w:pPr>
        <w:spacing w:after="560"/>
        <w:jc w:val="center"/>
      </w:pPr>
      <w:r>
        <w:rPr>
          <w:rFonts w:ascii="Times New Roman" w:hAnsi="Times New Roman" w:eastAsia="Times New Roman"/>
          <w:i/>
          <w:color w:val="64706A"/>
          <w:sz w:val="24"/>
        </w:rPr>
        <w:t>Présenter Morocco Copper Foundry, son activité et le positionnement de la plateforme G-ROD.</w:t>
      </w:r>
    </w:p>
    <w:p>
      <w:pPr>
        <w:jc w:val="center"/>
      </w:pPr>
      <w:r>
        <w:rPr>
          <w:rFonts w:ascii="Arial" w:hAnsi="Arial" w:eastAsia="Arial"/>
          <w:color w:val="B75A22"/>
          <w:sz w:val="28"/>
        </w:rPr>
        <w:t>●</w:t>
      </w:r>
    </w:p>
    <w:p>
      <w:r>
        <w:br w:type="page"/>
      </w:r>
    </w:p>
    <w:p>
      <w:pPr>
        <w:pStyle w:val="Heading1"/>
      </w:pPr>
      <w:r>
        <w:t>1.1 Présentation de l'entreprise</w:t>
      </w:r>
    </w:p>
    <w:p>
      <w:r>
        <w:rPr>
          <w:rFonts w:ascii="Times New Roman" w:hAnsi="Times New Roman" w:eastAsia="Times New Roman"/>
        </w:rPr>
        <w:t>Morocco Copper Foundry, abrégée MCF, est une entreprise marocaine spécialisée dans la valorisation des métaux non ferreux, avec un positionnement centré sur le cuivre recyclé. La communication institutionnelle de G-ROD présente une ambition industrielle associant performance, innovation, responsabilité environnementale et création de valeur au Maroc.</w:t>
      </w:r>
    </w:p>
    <w:p>
      <w:pPr>
        <w:jc w:val="center"/>
      </w:pPr>
      <w:r>
        <w:drawing>
          <wp:inline xmlns:a="http://schemas.openxmlformats.org/drawingml/2006/main" xmlns:pic="http://schemas.openxmlformats.org/drawingml/2006/picture">
            <wp:extent cx="2520000" cy="425523"/>
            <wp:docPr id="2" name="Picture 2" descr="Logo de la marque industrielle G-ROD"/>
            <wp:cNvGraphicFramePr>
              <a:graphicFrameLocks noChangeAspect="1"/>
            </wp:cNvGraphicFramePr>
            <a:graphic>
              <a:graphicData uri="http://schemas.openxmlformats.org/drawingml/2006/picture">
                <pic:pic>
                  <pic:nvPicPr>
                    <pic:cNvPr id="0" name="grod-logo.png"/>
                    <pic:cNvPicPr/>
                  </pic:nvPicPr>
                  <pic:blipFill>
                    <a:blip r:embed="rId11"/>
                    <a:stretch>
                      <a:fillRect/>
                    </a:stretch>
                  </pic:blipFill>
                  <pic:spPr>
                    <a:xfrm>
                      <a:off x="0" y="0"/>
                      <a:ext cx="2520000" cy="425523"/>
                    </a:xfrm>
                    <a:prstGeom prst="rect"/>
                  </pic:spPr>
                </pic:pic>
              </a:graphicData>
            </a:graphic>
          </wp:inline>
        </w:drawing>
      </w:r>
    </w:p>
    <w:p>
      <w:pPr>
        <w:pStyle w:val="Caption"/>
        <w:jc w:val="center"/>
      </w:pPr>
      <w:r>
        <w:t>Figure 1.1 — Identité visuelle G-ROD</w:t>
      </w:r>
    </w:p>
    <w:p>
      <w:pPr>
        <w:pStyle w:val="Heading2"/>
      </w:pPr>
      <w:r>
        <w:t>1.1.1 Historique et implantation</w:t>
      </w:r>
    </w:p>
    <w:p>
      <w:r>
        <w:rPr>
          <w:rFonts w:ascii="Times New Roman" w:hAnsi="Times New Roman" w:eastAsia="Times New Roman"/>
        </w:rPr>
        <w:t>Le projet industriel trouve son origine dans la volonté de structurer une filière nationale de valorisation des métaux non ferreux. La documentation institutionnelle situe la création de MCF en 2020 et son implantation à Youssoufia. L'entreprise vise à transformer une ressource recyclable en produits industriels répondant aux besoins des marchés locaux et internationaux.</w:t>
      </w:r>
    </w:p>
    <w:p>
      <w:r>
        <w:rPr>
          <w:rFonts w:ascii="Times New Roman" w:hAnsi="Times New Roman" w:eastAsia="Times New Roman"/>
        </w:rPr>
        <w:t>La trajectoire présentée par l'entreprise associe une montée en production progressive, le développement de produits issus du cuivre recyclé et une perspective d'extension de capacité. Les informations chiffrées et les échéances futures devront être confirmées par l'encadrant avant la version finale du rapport.</w:t>
      </w:r>
    </w:p>
    <w:p>
      <w:pPr>
        <w:pStyle w:val="Placeholder"/>
        <w:jc w:val="left"/>
      </w:pPr>
      <w:r>
        <w:rPr>
          <w:rFonts w:ascii="Times New Roman" w:hAnsi="Times New Roman" w:eastAsia="Times New Roman"/>
          <w:b/>
          <w:color w:val="B75A22"/>
          <w:sz w:val="21"/>
        </w:rPr>
        <w:t>À COMPLÉTER — Faire valider par l'entreprise les dates, chiffres d'investissement, capacités et projections avant dépôt final.</w:t>
      </w:r>
    </w:p>
    <w:p>
      <w:pPr>
        <w:pStyle w:val="Heading2"/>
      </w:pPr>
      <w:r>
        <w:t>1.1.2 Domaine d'activité</w:t>
      </w:r>
    </w:p>
    <w:p>
      <w:r>
        <w:rPr>
          <w:rFonts w:ascii="Times New Roman" w:hAnsi="Times New Roman" w:eastAsia="Times New Roman"/>
        </w:rPr>
        <w:t>MCF intervient dans la transformation et la valorisation du cuivre. Son approche participe à l'économie circulaire en donnant une nouvelle valeur à des matières recyclables et en réduisant le recours aux matières premières vierges. Le cuivre constitue une ressource stratégique pour les réseaux électriques, les énergies renouvelables, les câbles, les équipements industriels, le bâtiment et les infrastructures.</w:t>
      </w:r>
    </w:p>
    <w:p>
      <w:r>
        <w:rPr>
          <w:rFonts w:ascii="Times New Roman" w:hAnsi="Times New Roman" w:eastAsia="Times New Roman"/>
        </w:rPr>
        <w:t>L'activité couvre notamment la réception des matières premières, leur tri, le contrôle du poids, la transformation métallurgique, le contrôle de conformité, le stockage et l'expédition. Cette chaîne industrielle explique l'importance d'une communication technique fiable : les caractéristiques, dimensions, normes, conditionnements et disponibilités doivent être présentés avec prudence et confirmés selon les lots et les demandes.</w:t>
      </w:r>
    </w:p>
    <w:p>
      <w:pPr>
        <w:pStyle w:val="Heading2"/>
      </w:pPr>
      <w:r>
        <w:t>1.1.3 Gamme de produits</w:t>
      </w:r>
    </w:p>
    <w:p>
      <w:r>
        <w:rPr>
          <w:rFonts w:ascii="Times New Roman" w:hAnsi="Times New Roman" w:eastAsia="Times New Roman"/>
        </w:rPr>
        <w:t>La gamme présentée sur la plateforme comprend huit familles de produits : Copper Rod, Copper Anodes, Copper Bus Bars, Copper Flat Bars, Copper Tubes, Copper Sheets, Copper Wire et Custom Copper Parts. Chaque famille répond à des usages électriques, industriels, métallurgiques ou de fabrication sur mesure.</w:t>
      </w:r>
    </w:p>
    <w:p>
      <w:pPr>
        <w:pStyle w:val="Caption"/>
        <w:jc w:val="center"/>
      </w:pPr>
      <w:r>
        <w:t>Tableau 1.1 — Gamme de produits présentée sur la plateforme</w:t>
      </w:r>
    </w:p>
    <w:tbl>
      <w:tblPr>
        <w:tblStyle w:val="TableGrid"/>
        <w:tblW w:type="dxa" w:w="9073"/>
        <w:jc w:val="left"/>
        <w:tblLayout w:type="fixed"/>
        <w:tblLook w:firstColumn="1" w:firstRow="1" w:lastColumn="0" w:lastRow="0" w:noHBand="0" w:noVBand="1" w:val="04A0"/>
        <w:tblInd w:w="120" w:type="dxa"/>
      </w:tblPr>
      <w:tblGrid>
        <w:gridCol w:w="2500"/>
        <w:gridCol w:w="6573"/>
      </w:tblGrid>
      <w:tr>
        <w:trPr>
          <w:tblHeader w:val="true"/>
        </w:trPr>
        <w:tc>
          <w:tcPr>
            <w:tcW w:type="dxa" w:w="25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Produit</w:t>
            </w:r>
          </w:p>
        </w:tc>
        <w:tc>
          <w:tcPr>
            <w:tcW w:type="dxa" w:w="65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Positionnement fonctionnel</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Rod</w:t>
            </w:r>
          </w:p>
        </w:tc>
        <w:tc>
          <w:tcPr>
            <w:tcW w:type="dxa" w:w="65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Barres rondes en cuivre destinées aux applications électriques et industrielles.</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Anodes</w:t>
            </w:r>
          </w:p>
        </w:tc>
        <w:tc>
          <w:tcPr>
            <w:tcW w:type="dxa" w:w="65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Anodes pour procédés électrolytiques et métallurgiques.</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Bus Bars</w:t>
            </w:r>
          </w:p>
        </w:tc>
        <w:tc>
          <w:tcPr>
            <w:tcW w:type="dxa" w:w="65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Barres conductrices pour tableaux et installations électriques.</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Flat Bars</w:t>
            </w:r>
          </w:p>
        </w:tc>
        <w:tc>
          <w:tcPr>
            <w:tcW w:type="dxa" w:w="65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Méplats adaptés aux usages électriques et techniques.</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Tubes</w:t>
            </w:r>
          </w:p>
        </w:tc>
        <w:tc>
          <w:tcPr>
            <w:tcW w:type="dxa" w:w="65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Tubes pour plomberie, climatisation et installations industrielles.</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Sheets</w:t>
            </w:r>
          </w:p>
        </w:tc>
        <w:tc>
          <w:tcPr>
            <w:tcW w:type="dxa" w:w="65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Feuilles et plaques pour fabrication, revêtement et électricité.</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Wire</w:t>
            </w:r>
          </w:p>
        </w:tc>
        <w:tc>
          <w:tcPr>
            <w:tcW w:type="dxa" w:w="65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Fil conducteur pour câbles, bobinages et connexions.</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Custom Copper Parts</w:t>
            </w:r>
          </w:p>
        </w:tc>
        <w:tc>
          <w:tcPr>
            <w:tcW w:type="dxa" w:w="65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Pièces sur mesure réalisées selon un besoin ou un plan technique.</w:t>
            </w:r>
          </w:p>
        </w:tc>
      </w:tr>
    </w:tbl>
    <w:p>
      <w:pPr>
        <w:spacing w:after="40"/>
      </w:pPr>
    </w:p>
    <w:p>
      <w:pPr>
        <w:pStyle w:val="Heading2"/>
      </w:pPr>
      <w:r>
        <w:t>1.1.4 Valeurs et positionnement</w:t>
      </w:r>
    </w:p>
    <w:p>
      <w:r>
        <w:rPr>
          <w:rFonts w:ascii="Times New Roman" w:hAnsi="Times New Roman" w:eastAsia="Times New Roman"/>
        </w:rPr>
        <w:t>Le positionnement institutionnel met en avant l'intégrité, l'innovation, la durabilité, l'excellence, l'engagement social et la collaboration. Ces valeurs se traduisent dans la plateforme par une identité visuelle industrielle, une information structurée, des parcours simples et une attention particulière portée à la protection des données transmises par les visiteurs.</w:t>
      </w:r>
    </w:p>
    <w:p>
      <w:pPr>
        <w:pStyle w:val="Heading1"/>
      </w:pPr>
      <w:r>
        <w:t>1.2 Contexte de transformation numérique</w:t>
      </w:r>
    </w:p>
    <w:p>
      <w:r>
        <w:rPr>
          <w:rFonts w:ascii="Times New Roman" w:hAnsi="Times New Roman" w:eastAsia="Times New Roman"/>
        </w:rPr>
        <w:t>Avant la mise en place d'une plateforme structurée, la présentation commerciale et le traitement des demandes peuvent être dispersés entre des échanges informels, des fichiers et plusieurs canaux de communication. Cette dispersion rend plus difficile la mise à jour du catalogue, la recherche d'une demande, le suivi d'un client et la conservation d'un historique exploitable.</w:t>
      </w:r>
    </w:p>
    <w:p>
      <w:r>
        <w:rPr>
          <w:rFonts w:ascii="Times New Roman" w:hAnsi="Times New Roman" w:eastAsia="Times New Roman"/>
        </w:rPr>
        <w:t>La plateforme G-ROD répond à ce contexte par un point d'entrée public unique et un espace interne dédié. Le site public informe, oriente et collecte. L'espace administrateur centralise, qualifie et traite. Cette séparation des responsabilités améliore la lisibilité de l'expérience et limite l'exposition des fonctions sensibles.</w:t>
      </w:r>
    </w:p>
    <w:p>
      <w:pPr>
        <w:pStyle w:val="Heading1"/>
      </w:pPr>
      <w:r>
        <w:t>1.3 Positionnement du projet</w:t>
      </w:r>
    </w:p>
    <w:p>
      <w:r>
        <w:rPr>
          <w:rFonts w:ascii="Times New Roman" w:hAnsi="Times New Roman" w:eastAsia="Times New Roman"/>
        </w:rPr>
        <w:t>Le projet se situe à l'intersection de la communication institutionnelle, de la gestion de catalogue et du suivi commercial. Il ne s'agit pas uniquement d'un site vitrine : la solution gère des données métier, des statuts, des documents, des notifications et des accès authentifiés.</w:t>
      </w:r>
    </w:p>
    <w:p>
      <w:pPr>
        <w:pStyle w:val="ListBullet"/>
      </w:pPr>
      <w:r>
        <w:rPr>
          <w:rFonts w:ascii="Times New Roman" w:hAnsi="Times New Roman" w:eastAsia="Times New Roman"/>
        </w:rPr>
        <w:t>valoriser l'identité et les engagements industriels de G-ROD ;</w:t>
      </w:r>
    </w:p>
    <w:p>
      <w:pPr>
        <w:pStyle w:val="ListBullet"/>
      </w:pPr>
      <w:r>
        <w:rPr>
          <w:rFonts w:ascii="Times New Roman" w:hAnsi="Times New Roman" w:eastAsia="Times New Roman"/>
        </w:rPr>
        <w:t>rendre le catalogue accessible et compréhensible ;</w:t>
      </w:r>
    </w:p>
    <w:p>
      <w:pPr>
        <w:pStyle w:val="ListBullet"/>
      </w:pPr>
      <w:r>
        <w:rPr>
          <w:rFonts w:ascii="Times New Roman" w:hAnsi="Times New Roman" w:eastAsia="Times New Roman"/>
        </w:rPr>
        <w:t>faciliter les demandes de devis et de documents techniques ;</w:t>
      </w:r>
    </w:p>
    <w:p>
      <w:pPr>
        <w:pStyle w:val="ListBullet"/>
      </w:pPr>
      <w:r>
        <w:rPr>
          <w:rFonts w:ascii="Times New Roman" w:hAnsi="Times New Roman" w:eastAsia="Times New Roman"/>
        </w:rPr>
        <w:t>donner à l'équipe administrative une vision consolidée de l'activité ;</w:t>
      </w:r>
    </w:p>
    <w:p>
      <w:pPr>
        <w:pStyle w:val="ListBullet"/>
      </w:pPr>
      <w:r>
        <w:rPr>
          <w:rFonts w:ascii="Times New Roman" w:hAnsi="Times New Roman" w:eastAsia="Times New Roman"/>
        </w:rPr>
        <w:t>garantir la sécurité et la traçabilité des opérations sensibles ;</w:t>
      </w:r>
    </w:p>
    <w:p>
      <w:pPr>
        <w:pStyle w:val="ListBullet"/>
      </w:pPr>
      <w:r>
        <w:rPr>
          <w:rFonts w:ascii="Times New Roman" w:hAnsi="Times New Roman" w:eastAsia="Times New Roman"/>
        </w:rPr>
        <w:t>préparer une architecture exploitable en environnement de production.</w:t>
      </w:r>
    </w:p>
    <w:p>
      <w:pPr>
        <w:pStyle w:val="Heading1"/>
      </w:pPr>
      <w:r>
        <w:t>1.4 Processus industriel représenté</w:t>
      </w:r>
    </w:p>
    <w:p>
      <w:r>
        <w:rPr>
          <w:rFonts w:ascii="Times New Roman" w:hAnsi="Times New Roman" w:eastAsia="Times New Roman"/>
        </w:rPr>
        <w:t>La plateforme comporte une page consacrée au processus de production. Elle relie l'image institutionnelle au parcours numérique et permet de présenter les grandes étapes allant de la réception des matières à l'expédition des produits finis.</w:t>
      </w:r>
    </w:p>
    <w:p>
      <w:pPr>
        <w:jc w:val="center"/>
      </w:pPr>
      <w:r>
        <w:drawing>
          <wp:inline xmlns:a="http://schemas.openxmlformats.org/drawingml/2006/main" xmlns:pic="http://schemas.openxmlformats.org/drawingml/2006/picture">
            <wp:extent cx="5760000" cy="3840000"/>
            <wp:docPr id="3" name="Picture 3" descr="Schéma des étapes de production du cuivre chez MCF"/>
            <wp:cNvGraphicFramePr>
              <a:graphicFrameLocks noChangeAspect="1"/>
            </wp:cNvGraphicFramePr>
            <a:graphic>
              <a:graphicData uri="http://schemas.openxmlformats.org/drawingml/2006/picture">
                <pic:pic>
                  <pic:nvPicPr>
                    <pic:cNvPr id="0" name="mcf-flow-chart-production.png"/>
                    <pic:cNvPicPr/>
                  </pic:nvPicPr>
                  <pic:blipFill>
                    <a:blip r:embed="rId12"/>
                    <a:stretch>
                      <a:fillRect/>
                    </a:stretch>
                  </pic:blipFill>
                  <pic:spPr>
                    <a:xfrm>
                      <a:off x="0" y="0"/>
                      <a:ext cx="5760000" cy="3840000"/>
                    </a:xfrm>
                    <a:prstGeom prst="rect"/>
                  </pic:spPr>
                </pic:pic>
              </a:graphicData>
            </a:graphic>
          </wp:inline>
        </w:drawing>
      </w:r>
    </w:p>
    <w:p>
      <w:pPr>
        <w:pStyle w:val="Caption"/>
        <w:jc w:val="center"/>
      </w:pPr>
      <w:r>
        <w:t>Figure 1.2 — Schéma de production de Morocco Copper Foundry</w:t>
      </w:r>
    </w:p>
    <w:p>
      <w:pPr>
        <w:jc w:val="center"/>
      </w:pPr>
      <w:r>
        <w:drawing>
          <wp:inline xmlns:a="http://schemas.openxmlformats.org/drawingml/2006/main" xmlns:pic="http://schemas.openxmlformats.org/drawingml/2006/picture">
            <wp:extent cx="5580000" cy="2715517"/>
            <wp:docPr id="4" name="Picture 4" descr="Vue d'une installation industrielle liée au cuivre"/>
            <wp:cNvGraphicFramePr>
              <a:graphicFrameLocks noChangeAspect="1"/>
            </wp:cNvGraphicFramePr>
            <a:graphic>
              <a:graphicData uri="http://schemas.openxmlformats.org/drawingml/2006/picture">
                <pic:pic>
                  <pic:nvPicPr>
                    <pic:cNvPr id="0" name="process-hero-furnace-wide.jpg"/>
                    <pic:cNvPicPr/>
                  </pic:nvPicPr>
                  <pic:blipFill>
                    <a:blip r:embed="rId13"/>
                    <a:stretch>
                      <a:fillRect/>
                    </a:stretch>
                  </pic:blipFill>
                  <pic:spPr>
                    <a:xfrm>
                      <a:off x="0" y="0"/>
                      <a:ext cx="5580000" cy="2715517"/>
                    </a:xfrm>
                    <a:prstGeom prst="rect"/>
                  </pic:spPr>
                </pic:pic>
              </a:graphicData>
            </a:graphic>
          </wp:inline>
        </w:drawing>
      </w:r>
    </w:p>
    <w:p>
      <w:pPr>
        <w:pStyle w:val="Caption"/>
        <w:jc w:val="center"/>
      </w:pPr>
      <w:r>
        <w:t>Figure 1.3 — Illustration de l'environnement industriel</w:t>
      </w:r>
    </w:p>
    <w:p>
      <w:pPr>
        <w:pStyle w:val="Heading1"/>
      </w:pPr>
      <w:r>
        <w:t>1.5 Apports attendus</w:t>
      </w:r>
    </w:p>
    <w:p>
      <w:r>
        <w:rPr>
          <w:rFonts w:ascii="Times New Roman" w:hAnsi="Times New Roman" w:eastAsia="Times New Roman"/>
        </w:rPr>
        <w:t>Pour l'entreprise, le principal apport réside dans la centralisation : l'information produit, les demandes commerciales, les demandes documentaires et les actions administratives sont regroupées dans une seule solution. Pour les clients, le bénéfice est un accès plus rapide aux produits, aux documents publics et aux formulaires adaptés. Pour le projet de fin d'études, cette plateforme constitue un cas complet mobilisant conception d'interfaces, développement full stack, sécurité, persistance, gestion de fichiers, tests et préparation au déploiement.</w:t>
      </w:r>
    </w:p>
    <w:p>
      <w:pPr>
        <w:pStyle w:val="Heading2"/>
      </w:pPr>
      <w:r>
        <w:t>Conclusion du chapitre 1</w:t>
      </w:r>
    </w:p>
    <w:p>
      <w:r>
        <w:rPr>
          <w:rFonts w:ascii="Times New Roman" w:hAnsi="Times New Roman" w:eastAsia="Times New Roman"/>
        </w:rPr>
        <w:t>Ce chapitre a présenté l'environnement industriel de G-ROD et les motivations de la transformation numérique. Le chapitre suivant formalise la problématique, les acteurs, les besoins et la démarche de réalisation.</w:t>
      </w:r>
    </w:p>
    <w:p>
      <w:r>
        <w:br w:type="page"/>
      </w:r>
    </w:p>
    <w:p>
      <w:pPr>
        <w:spacing w:before="1600" w:after="240"/>
        <w:jc w:val="center"/>
      </w:pPr>
      <w:r>
        <w:rPr>
          <w:rFonts w:ascii="Arial" w:hAnsi="Arial" w:eastAsia="Arial"/>
          <w:b/>
          <w:color w:val="B75A22"/>
          <w:sz w:val="24"/>
        </w:rPr>
        <w:t>CHAPITRE 2</w:t>
      </w:r>
    </w:p>
    <w:p>
      <w:pPr>
        <w:pStyle w:val="Title"/>
      </w:pPr>
      <w:r>
        <w:rPr>
          <w:rFonts w:ascii="Times New Roman" w:hAnsi="Times New Roman" w:eastAsia="Times New Roman"/>
          <w:b/>
          <w:color w:val="003C2A"/>
          <w:sz w:val="50"/>
        </w:rPr>
        <w:t>Analyse de l'existant et cadrage du projet</w:t>
      </w:r>
    </w:p>
    <w:p>
      <w:pPr>
        <w:spacing w:after="560"/>
        <w:jc w:val="center"/>
      </w:pPr>
      <w:r>
        <w:rPr>
          <w:rFonts w:ascii="Times New Roman" w:hAnsi="Times New Roman" w:eastAsia="Times New Roman"/>
          <w:i/>
          <w:color w:val="64706A"/>
          <w:sz w:val="24"/>
        </w:rPr>
        <w:t>Transformer le besoin métier en exigences vérifiables et organiser la réalisation.</w:t>
      </w:r>
    </w:p>
    <w:p>
      <w:pPr>
        <w:jc w:val="center"/>
      </w:pPr>
      <w:r>
        <w:rPr>
          <w:rFonts w:ascii="Arial" w:hAnsi="Arial" w:eastAsia="Arial"/>
          <w:color w:val="B75A22"/>
          <w:sz w:val="28"/>
        </w:rPr>
        <w:t>●</w:t>
      </w:r>
    </w:p>
    <w:p>
      <w:r>
        <w:br w:type="page"/>
      </w:r>
    </w:p>
    <w:p>
      <w:pPr>
        <w:pStyle w:val="Heading1"/>
      </w:pPr>
      <w:r>
        <w:t>2.1 Problématique identifiée</w:t>
      </w:r>
    </w:p>
    <w:p>
      <w:r>
        <w:rPr>
          <w:rFonts w:ascii="Times New Roman" w:hAnsi="Times New Roman" w:eastAsia="Times New Roman"/>
        </w:rPr>
        <w:t>L'entreprise doit présenter une offre industrielle comportant plusieurs familles de produits et de nombreuses caractéristiques techniques. Elle doit parallèlement recevoir des demandes provenant de prospects, distinguer les demandes de devis des demandes documentaires, suivre leur statut et conserver un historique par client. L'objectif est donc de concevoir une solution accessible au public sans compromettre les fonctions de gestion réservées à l'administrateur.</w:t>
      </w:r>
    </w:p>
    <w:p>
      <w:r>
        <w:rPr>
          <w:rFonts w:ascii="Times New Roman" w:hAnsi="Times New Roman" w:eastAsia="Times New Roman"/>
        </w:rPr>
        <w:t>La problématique a été décomposée en trois axes : l'expérience publique, le pilotage administratif et la fiabilité technique. L'expérience publique doit être claire sur ordinateur, tablette et mobile. Le pilotage administratif doit rester efficace lorsque le volume de données augmente. La fiabilité technique doit couvrir l'authentification, la validation, les fichiers, les erreurs, les sauvegardes et les tests.</w:t>
      </w:r>
    </w:p>
    <w:p>
      <w:pPr>
        <w:pStyle w:val="Heading1"/>
      </w:pPr>
      <w:r>
        <w:t>2.2 Analyse de l'existant</w:t>
      </w:r>
    </w:p>
    <w:p>
      <w:r>
        <w:rPr>
          <w:rFonts w:ascii="Times New Roman" w:hAnsi="Times New Roman" w:eastAsia="Times New Roman"/>
        </w:rPr>
        <w:t>L'analyse de l'existant a mis en évidence le besoin d'une présentation plus cohérente des produits, d'une meilleure visibilité sur le statut des demandes et d'un point central pour administrer les contenus. La conception a donc retenu deux espaces complémentaires : un site public orienté visiteurs et un espace administrateur orienté traitement métier.</w:t>
      </w:r>
    </w:p>
    <w:p>
      <w:pPr>
        <w:pStyle w:val="Placeholder"/>
        <w:jc w:val="left"/>
      </w:pPr>
      <w:r>
        <w:rPr>
          <w:rFonts w:ascii="Times New Roman" w:hAnsi="Times New Roman" w:eastAsia="Times New Roman"/>
          <w:b/>
          <w:color w:val="B75A22"/>
          <w:sz w:val="21"/>
        </w:rPr>
        <w:t>À COMPLÉTER — Décrire ici, avec l'encadrant, l'ancien processus réel : téléphone, courriel, documents Excel, site antérieur ou absence de système.</w:t>
      </w:r>
    </w:p>
    <w:p>
      <w:pPr>
        <w:pStyle w:val="Heading1"/>
      </w:pPr>
      <w:r>
        <w:t>2.3 Acteurs du système</w:t>
      </w:r>
    </w:p>
    <w:p>
      <w:pPr>
        <w:pStyle w:val="Caption"/>
        <w:jc w:val="center"/>
      </w:pPr>
      <w:r>
        <w:t>Tableau 2.1 — Acteurs et responsabilités</w:t>
      </w:r>
    </w:p>
    <w:tbl>
      <w:tblPr>
        <w:tblStyle w:val="TableGrid"/>
        <w:tblW w:type="dxa" w:w="9073"/>
        <w:jc w:val="left"/>
        <w:tblLayout w:type="fixed"/>
        <w:tblLook w:firstColumn="1" w:firstRow="1" w:lastColumn="0" w:lastRow="0" w:noHBand="0" w:noVBand="1" w:val="04A0"/>
        <w:tblInd w:w="120" w:type="dxa"/>
      </w:tblPr>
      <w:tblGrid>
        <w:gridCol w:w="1750"/>
        <w:gridCol w:w="5123"/>
        <w:gridCol w:w="2200"/>
      </w:tblGrid>
      <w:tr>
        <w:trPr>
          <w:tblHeader w:val="true"/>
        </w:trPr>
        <w:tc>
          <w:tcPr>
            <w:tcW w:type="dxa" w:w="175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Acteur</w:t>
            </w:r>
          </w:p>
        </w:tc>
        <w:tc>
          <w:tcPr>
            <w:tcW w:type="dxa" w:w="512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Responsabilités principales</w:t>
            </w:r>
          </w:p>
        </w:tc>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Niveau d'accès</w:t>
            </w:r>
          </w:p>
        </w:tc>
      </w:tr>
      <w:tr>
        <w:tc>
          <w:tcPr>
            <w:tcW w:type="dxa" w:w="175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Visiteur</w:t>
            </w:r>
          </w:p>
        </w:tc>
        <w:tc>
          <w:tcPr>
            <w:tcW w:type="dxa" w:w="512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les pages publiques, le catalogue, les ressources et le processus.</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Public</w:t>
            </w:r>
          </w:p>
        </w:tc>
      </w:tr>
      <w:tr>
        <w:tc>
          <w:tcPr>
            <w:tcW w:type="dxa" w:w="175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Prospect / client</w:t>
            </w:r>
          </w:p>
        </w:tc>
        <w:tc>
          <w:tcPr>
            <w:tcW w:type="dxa" w:w="512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Envoyer une demande de devis ou de document et joindre un plan si nécessaire.</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Public avec validation</w:t>
            </w:r>
          </w:p>
        </w:tc>
      </w:tr>
      <w:tr>
        <w:tc>
          <w:tcPr>
            <w:tcW w:type="dxa" w:w="175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512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le catalogue, traiter les demandes, consulter les clients, publier les ressources et suivre les notifications.</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Authentifié</w:t>
            </w:r>
          </w:p>
        </w:tc>
      </w:tr>
    </w:tbl>
    <w:p>
      <w:pPr>
        <w:spacing w:after="40"/>
      </w:pPr>
    </w:p>
    <w:p>
      <w:pPr>
        <w:pStyle w:val="Heading1"/>
      </w:pPr>
      <w:r>
        <w:t>2.4 Besoins fonctionnels</w:t>
      </w:r>
    </w:p>
    <w:p>
      <w:pPr>
        <w:pStyle w:val="Heading2"/>
      </w:pPr>
      <w:r>
        <w:t>2.4.1 Site public</w:t>
      </w:r>
    </w:p>
    <w:p>
      <w:pPr>
        <w:pStyle w:val="Caption"/>
        <w:jc w:val="center"/>
      </w:pPr>
      <w:r>
        <w:t>Tableau 2.2 — Besoins fonctionnels du site public</w:t>
      </w:r>
    </w:p>
    <w:tbl>
      <w:tblPr>
        <w:tblStyle w:val="TableGrid"/>
        <w:tblW w:type="dxa" w:w="9073"/>
        <w:jc w:val="left"/>
        <w:tblLayout w:type="fixed"/>
        <w:tblLook w:firstColumn="1" w:firstRow="1" w:lastColumn="0" w:lastRow="0" w:noHBand="0" w:noVBand="1" w:val="04A0"/>
        <w:tblInd w:w="120" w:type="dxa"/>
      </w:tblPr>
      <w:tblGrid>
        <w:gridCol w:w="1300"/>
        <w:gridCol w:w="6073"/>
        <w:gridCol w:w="1700"/>
      </w:tblGrid>
      <w:tr>
        <w:trPr>
          <w:tblHeader w:val="true"/>
        </w:trPr>
        <w:tc>
          <w:tcPr>
            <w:tcW w:type="dxa" w:w="13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Identifiant</w:t>
            </w:r>
          </w:p>
        </w:tc>
        <w:tc>
          <w:tcPr>
            <w:tcW w:type="dxa" w:w="60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Besoin</w:t>
            </w:r>
          </w:p>
        </w:tc>
        <w:tc>
          <w:tcPr>
            <w:tcW w:type="dxa" w:w="17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Priorité</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FP-01</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Présenter l'entreprise, ses valeurs, son processus et ses partenaires.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FP-02</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Afficher les produits actifs issus de la base de données.</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FP-03</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Rechercher, filtrer et trier le catalogue.</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FP-04</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une fiche produit et un aperçu 3D lorsqu'il est disponible.</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FP-05</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Envoyer une demande de devis avec informations et pièce jointe optionnelle.</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FP-06</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ou demander un document technique.</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FP-07</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Utiliser une recherche rapide fondée sur les pages et données disponibles.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FP-08</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Utiliser la plateforme sur mobile et l'installer comme PWA lorsque le navigateur le permet.</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bl>
    <w:p>
      <w:pPr>
        <w:spacing w:after="40"/>
      </w:pPr>
    </w:p>
    <w:p>
      <w:pPr>
        <w:pStyle w:val="Heading2"/>
      </w:pPr>
      <w:r>
        <w:t>2.4.2 Espace administrateur</w:t>
      </w:r>
    </w:p>
    <w:p>
      <w:pPr>
        <w:pStyle w:val="Caption"/>
        <w:jc w:val="center"/>
      </w:pPr>
      <w:r>
        <w:t>Tableau 2.3 — Besoins fonctionnels de l'administration</w:t>
      </w:r>
    </w:p>
    <w:tbl>
      <w:tblPr>
        <w:tblStyle w:val="TableGrid"/>
        <w:tblW w:type="dxa" w:w="9073"/>
        <w:jc w:val="left"/>
        <w:tblLayout w:type="fixed"/>
        <w:tblLook w:firstColumn="1" w:firstRow="1" w:lastColumn="0" w:lastRow="0" w:noHBand="0" w:noVBand="1" w:val="04A0"/>
        <w:tblInd w:w="120" w:type="dxa"/>
      </w:tblPr>
      <w:tblGrid>
        <w:gridCol w:w="1300"/>
        <w:gridCol w:w="6073"/>
        <w:gridCol w:w="1700"/>
      </w:tblGrid>
      <w:tr>
        <w:trPr>
          <w:tblHeader w:val="true"/>
        </w:trPr>
        <w:tc>
          <w:tcPr>
            <w:tcW w:type="dxa" w:w="13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Identifiant</w:t>
            </w:r>
          </w:p>
        </w:tc>
        <w:tc>
          <w:tcPr>
            <w:tcW w:type="dxa" w:w="60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Besoin</w:t>
            </w:r>
          </w:p>
        </w:tc>
        <w:tc>
          <w:tcPr>
            <w:tcW w:type="dxa" w:w="17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Priorité</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FA-01</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Authentifier l'administrateur et protéger les routes sensibles.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Critique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FA-02</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Présenter un tableau de bord fondé sur les données réelles.</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FA-03</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Traiter, filtrer et paginer les demandes commerciales.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FA-04</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les produits, leurs images, leurs caractéristiques et leur état actif.</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FA-05</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les clients et leur historique de demandes.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FA-06</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Traiter les demandes de documents et publier les ressources techniques.</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FA-07</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Afficher des notifications persistantes avec état lu/non lu.</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FA-08</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le mot de passe, les préférences et l'authentification Passkey.</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FA-09</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Adapter la sidebar au desktop et au mobile sans dupliquer la logique.</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bl>
    <w:p>
      <w:pPr>
        <w:spacing w:after="40"/>
      </w:pPr>
    </w:p>
    <w:p>
      <w:pPr>
        <w:pStyle w:val="Heading1"/>
      </w:pPr>
      <w:r>
        <w:t>2.5 Exigences non fonctionnelles</w:t>
      </w:r>
    </w:p>
    <w:p>
      <w:pPr>
        <w:pStyle w:val="Caption"/>
        <w:jc w:val="center"/>
      </w:pPr>
      <w:r>
        <w:t>Tableau 2.4 — Exigences non fonctionnelles</w:t>
      </w:r>
    </w:p>
    <w:tbl>
      <w:tblPr>
        <w:tblStyle w:val="TableGrid"/>
        <w:tblW w:type="dxa" w:w="9073"/>
        <w:jc w:val="left"/>
        <w:tblLayout w:type="fixed"/>
        <w:tblLook w:firstColumn="1" w:firstRow="1" w:lastColumn="0" w:lastRow="0" w:noHBand="0" w:noVBand="1" w:val="04A0"/>
        <w:tblInd w:w="120" w:type="dxa"/>
      </w:tblPr>
      <w:tblGrid>
        <w:gridCol w:w="2200"/>
        <w:gridCol w:w="6873"/>
      </w:tblGrid>
      <w:tr>
        <w:trPr>
          <w:tblHeader w:val="true"/>
        </w:trPr>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Catégorie</w:t>
            </w:r>
          </w:p>
        </w:tc>
        <w:tc>
          <w:tcPr>
            <w:tcW w:type="dxa" w:w="68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Exigence vérifiable</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Sécurité</w:t>
            </w:r>
          </w:p>
        </w:tc>
        <w:tc>
          <w:tcPr>
            <w:tcW w:type="dxa" w:w="6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Authentification, mots de passe chiffrés, autorisations, validation et protection des fichiers.</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Performance</w:t>
            </w:r>
          </w:p>
        </w:tc>
        <w:tc>
          <w:tcPr>
            <w:tcW w:type="dxa" w:w="6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Pagination côté serveur pour les listes volumineuses et chargement différé des scènes 3D.</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Ergonomie</w:t>
            </w:r>
          </w:p>
        </w:tc>
        <w:tc>
          <w:tcPr>
            <w:tcW w:type="dxa" w:w="6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Navigation cohérente, feedback d'erreur, filtres lisibles et design responsive.</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Maintenabilité</w:t>
            </w:r>
          </w:p>
        </w:tc>
        <w:tc>
          <w:tcPr>
            <w:tcW w:type="dxa" w:w="6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Séparation frontend/backend et organisation backend par couches.</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Fiabilité</w:t>
            </w:r>
          </w:p>
        </w:tc>
        <w:tc>
          <w:tcPr>
            <w:tcW w:type="dxa" w:w="6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Migrations Flyway, initialisation idempotente, sauvegarde et restauration documentées.</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Testabilité</w:t>
            </w:r>
          </w:p>
        </w:tc>
        <w:tc>
          <w:tcPr>
            <w:tcW w:type="dxa" w:w="6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backend et scénarios navigateur isolés de la base métier.</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Déployabilité</w:t>
            </w:r>
          </w:p>
        </w:tc>
        <w:tc>
          <w:tcPr>
            <w:tcW w:type="dxa" w:w="6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reproductible et modèles Nginx/systemd pour un serveur Linux.</w:t>
            </w:r>
          </w:p>
        </w:tc>
      </w:tr>
    </w:tbl>
    <w:p>
      <w:pPr>
        <w:spacing w:after="40"/>
      </w:pPr>
    </w:p>
    <w:p>
      <w:pPr>
        <w:pStyle w:val="Heading1"/>
      </w:pPr>
      <w:r>
        <w:t>2.6 Périmètre du projet</w:t>
      </w:r>
    </w:p>
    <w:p>
      <w:r>
        <w:rPr>
          <w:rFonts w:ascii="Times New Roman" w:hAnsi="Times New Roman" w:eastAsia="Times New Roman"/>
        </w:rPr>
        <w:t>Le périmètre livré couvre le site web public, l'administration, l'API REST, la base MySQL, la gestion locale des fichiers, les notifications internes, l'envoi externe optionnel par courriel ou SMS, la visualisation 3D, les tests et les éléments de déploiement. La solution n'est pas une application mobile native ; elle est responsive et installable comme application web progressive lorsque les conditions du navigateur sont réunies.</w:t>
      </w:r>
    </w:p>
    <w:p>
      <w:r>
        <w:rPr>
          <w:rFonts w:ascii="Times New Roman" w:hAnsi="Times New Roman" w:eastAsia="Times New Roman"/>
        </w:rPr>
        <w:t>Les fonctions de paiement, de commande en ligne, de facturation, de gestion de stock industriel ou d'intégration avec un ERP ne font pas partie de cette version. Cette délimitation évite de confondre la gestion des demandes commerciales avec un système transactionnel complet.</w:t>
      </w:r>
    </w:p>
    <w:p>
      <w:pPr>
        <w:pStyle w:val="Heading1"/>
      </w:pPr>
      <w:r>
        <w:t>2.7 Méthodologie de travail</w:t>
      </w:r>
    </w:p>
    <w:p>
      <w:r>
        <w:rPr>
          <w:rFonts w:ascii="Times New Roman" w:hAnsi="Times New Roman" w:eastAsia="Times New Roman"/>
        </w:rPr>
        <w:t>La réalisation a suivi une démarche itérative inspirée des méthodes agiles. Chaque étape a associé observation, correction ciblée et vérification. Les retours visuels ont permis d'améliorer progressivement les pages publiques et administratives, tandis que les recettes techniques ont guidé le renforcement du backend, de la sécurité, de la pagination et du déploiement.</w:t>
      </w:r>
    </w:p>
    <w:p>
      <w:pPr>
        <w:pStyle w:val="ListNumber"/>
      </w:pPr>
      <w:r>
        <w:rPr>
          <w:rFonts w:ascii="Times New Roman" w:hAnsi="Times New Roman" w:eastAsia="Times New Roman"/>
        </w:rPr>
        <w:t>Analyser l'existant et identifier les besoins prioritaires.</w:t>
      </w:r>
    </w:p>
    <w:p>
      <w:pPr>
        <w:pStyle w:val="ListNumber"/>
      </w:pPr>
      <w:r>
        <w:rPr>
          <w:rFonts w:ascii="Times New Roman" w:hAnsi="Times New Roman" w:eastAsia="Times New Roman"/>
        </w:rPr>
        <w:t>Mettre en place l'architecture frontend, backend et base de données.</w:t>
      </w:r>
    </w:p>
    <w:p>
      <w:pPr>
        <w:pStyle w:val="ListNumber"/>
      </w:pPr>
      <w:r>
        <w:rPr>
          <w:rFonts w:ascii="Times New Roman" w:hAnsi="Times New Roman" w:eastAsia="Times New Roman"/>
        </w:rPr>
        <w:t>Développer les parcours publics et les fonctions administratives.</w:t>
      </w:r>
    </w:p>
    <w:p>
      <w:pPr>
        <w:pStyle w:val="ListNumber"/>
      </w:pPr>
      <w:r>
        <w:rPr>
          <w:rFonts w:ascii="Times New Roman" w:hAnsi="Times New Roman" w:eastAsia="Times New Roman"/>
        </w:rPr>
        <w:t>Corriger les incohérences fonctionnelles et visuelles observées.</w:t>
      </w:r>
    </w:p>
    <w:p>
      <w:pPr>
        <w:pStyle w:val="ListNumber"/>
      </w:pPr>
      <w:r>
        <w:rPr>
          <w:rFonts w:ascii="Times New Roman" w:hAnsi="Times New Roman" w:eastAsia="Times New Roman"/>
        </w:rPr>
        <w:t>Renforcer la sécurité, la gestion des fichiers et la persistance.</w:t>
      </w:r>
    </w:p>
    <w:p>
      <w:pPr>
        <w:pStyle w:val="ListNumber"/>
      </w:pPr>
      <w:r>
        <w:rPr>
          <w:rFonts w:ascii="Times New Roman" w:hAnsi="Times New Roman" w:eastAsia="Times New Roman"/>
        </w:rPr>
        <w:t>Ajouter des tests automatisés et effectuer une recette responsive.</w:t>
      </w:r>
    </w:p>
    <w:p>
      <w:pPr>
        <w:pStyle w:val="ListNumber"/>
      </w:pPr>
      <w:r>
        <w:rPr>
          <w:rFonts w:ascii="Times New Roman" w:hAnsi="Times New Roman" w:eastAsia="Times New Roman"/>
        </w:rPr>
        <w:t>Préparer la sauvegarde, le déploiement et une Release Candidate.</w:t>
      </w:r>
    </w:p>
    <w:p>
      <w:pPr>
        <w:pStyle w:val="Heading1"/>
      </w:pPr>
      <w:r>
        <w:t>2.8 Planification</w:t>
      </w:r>
    </w:p>
    <w:p>
      <w:pPr>
        <w:pStyle w:val="Caption"/>
        <w:jc w:val="center"/>
      </w:pPr>
      <w:r>
        <w:t>Tableau 2.5 — Planification par phases</w:t>
      </w:r>
    </w:p>
    <w:tbl>
      <w:tblPr>
        <w:tblStyle w:val="TableGrid"/>
        <w:tblW w:type="dxa" w:w="9073"/>
        <w:jc w:val="left"/>
        <w:tblLayout w:type="fixed"/>
        <w:tblLook w:firstColumn="1" w:firstRow="1" w:lastColumn="0" w:lastRow="0" w:noHBand="0" w:noVBand="1" w:val="04A0"/>
        <w:tblInd w:w="120" w:type="dxa"/>
      </w:tblPr>
      <w:tblGrid>
        <w:gridCol w:w="1900"/>
        <w:gridCol w:w="5273"/>
        <w:gridCol w:w="1900"/>
      </w:tblGrid>
      <w:tr>
        <w:trPr>
          <w:tblHeader w:val="true"/>
        </w:trPr>
        <w:tc>
          <w:tcPr>
            <w:tcW w:type="dxa" w:w="19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Phase</w:t>
            </w:r>
          </w:p>
        </w:tc>
        <w:tc>
          <w:tcPr>
            <w:tcW w:type="dxa" w:w="52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Livrables</w:t>
            </w:r>
          </w:p>
        </w:tc>
        <w:tc>
          <w:tcPr>
            <w:tcW w:type="dxa" w:w="19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Période</w:t>
            </w:r>
          </w:p>
        </w:tc>
      </w:tr>
      <w:tr>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1. Cadrage</w:t>
            </w:r>
          </w:p>
        </w:tc>
        <w:tc>
          <w:tcPr>
            <w:tcW w:type="dxa" w:w="5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Besoins, acteurs, périmètre et architecture initiale.</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2. Site public</w:t>
            </w:r>
          </w:p>
        </w:tc>
        <w:tc>
          <w:tcPr>
            <w:tcW w:type="dxa" w:w="5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Accueil, catalogue, fiches produits, processus et ressources.</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 API métier</w:t>
            </w:r>
          </w:p>
        </w:tc>
        <w:tc>
          <w:tcPr>
            <w:tcW w:type="dxa" w:w="5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Entités, repositories, services, contrôleurs et base MySQL.</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4. Administration</w:t>
            </w:r>
          </w:p>
        </w:tc>
        <w:tc>
          <w:tcPr>
            <w:tcW w:type="dxa" w:w="5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Dashboard, demandes, clients, produits, documents et ressources.</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5. Fonctions avancées</w:t>
            </w:r>
          </w:p>
        </w:tc>
        <w:tc>
          <w:tcPr>
            <w:tcW w:type="dxa" w:w="5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Notifications, Passkey, 3D, PWA, recherche et responsive.</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6. Fiabilisation</w:t>
            </w:r>
          </w:p>
        </w:tc>
        <w:tc>
          <w:tcPr>
            <w:tcW w:type="dxa" w:w="5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Sécurité, pagination, fichiers, tests, sauvegarde et déploiement.</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7. Livraison</w:t>
            </w:r>
          </w:p>
        </w:tc>
        <w:tc>
          <w:tcPr>
            <w:tcW w:type="dxa" w:w="5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Recette, documentation et Release Candidate.</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bl>
    <w:p>
      <w:pPr>
        <w:spacing w:after="40"/>
      </w:pPr>
    </w:p>
    <w:p>
      <w:pPr>
        <w:pStyle w:val="Placeholder"/>
        <w:jc w:val="left"/>
      </w:pPr>
      <w:r>
        <w:rPr>
          <w:rFonts w:ascii="Times New Roman" w:hAnsi="Times New Roman" w:eastAsia="Times New Roman"/>
          <w:b/>
          <w:color w:val="B75A22"/>
          <w:sz w:val="21"/>
        </w:rPr>
        <w:t>À COMPLÉTER — Remplacer les périodes par les dates réelles du stage et ajouter le diagramme de Gantt final.</w:t>
      </w:r>
    </w:p>
    <w:p>
      <w:pPr>
        <w:pStyle w:val="Heading1"/>
      </w:pPr>
      <w:r>
        <w:t>2.9 Gestion des risques et confidentialité</w:t>
      </w:r>
    </w:p>
    <w:p>
      <w:pPr>
        <w:pStyle w:val="Caption"/>
        <w:jc w:val="center"/>
      </w:pPr>
      <w:r>
        <w:t>Tableau 2.6 — Principaux risques du projet</w:t>
      </w:r>
    </w:p>
    <w:tbl>
      <w:tblPr>
        <w:tblStyle w:val="TableGrid"/>
        <w:tblW w:type="dxa" w:w="9073"/>
        <w:jc w:val="left"/>
        <w:tblLayout w:type="fixed"/>
        <w:tblLook w:firstColumn="1" w:firstRow="1" w:lastColumn="0" w:lastRow="0" w:noHBand="0" w:noVBand="1" w:val="04A0"/>
        <w:tblInd w:w="120" w:type="dxa"/>
      </w:tblPr>
      <w:tblGrid>
        <w:gridCol w:w="2600"/>
        <w:gridCol w:w="2473"/>
        <w:gridCol w:w="4000"/>
      </w:tblGrid>
      <w:tr>
        <w:trPr>
          <w:tblHeader w:val="true"/>
        </w:trPr>
        <w:tc>
          <w:tcPr>
            <w:tcW w:type="dxa" w:w="26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Risque</w:t>
            </w:r>
          </w:p>
        </w:tc>
        <w:tc>
          <w:tcPr>
            <w:tcW w:type="dxa" w:w="24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Impact</w:t>
            </w:r>
          </w:p>
        </w:tc>
        <w:tc>
          <w:tcPr>
            <w:tcW w:type="dxa" w:w="40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Mesure appliquée</w:t>
            </w:r>
          </w:p>
        </w:tc>
      </w:tr>
      <w:tr>
        <w:tc>
          <w:tcPr>
            <w:tcW w:type="dxa" w:w="26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Accès non autorisé</w:t>
            </w:r>
          </w:p>
        </w:tc>
        <w:tc>
          <w:tcPr>
            <w:tcW w:type="dxa" w:w="24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Exposition des données Admin</w:t>
            </w:r>
          </w:p>
        </w:tc>
        <w:tc>
          <w:tcPr>
            <w:tcW w:type="dxa" w:w="40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Security, JWT et routes protégées.</w:t>
            </w:r>
          </w:p>
        </w:tc>
      </w:tr>
      <w:tr>
        <w:tc>
          <w:tcPr>
            <w:tcW w:type="dxa" w:w="26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Mot de passe compromis</w:t>
            </w:r>
          </w:p>
        </w:tc>
        <w:tc>
          <w:tcPr>
            <w:tcW w:type="dxa" w:w="24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Usurpation du compte</w:t>
            </w:r>
          </w:p>
        </w:tc>
        <w:tc>
          <w:tcPr>
            <w:tcW w:type="dxa" w:w="40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BCrypt, changement contrôlé et Passkey optionnelle.</w:t>
            </w:r>
          </w:p>
        </w:tc>
      </w:tr>
      <w:tr>
        <w:tc>
          <w:tcPr>
            <w:tcW w:type="dxa" w:w="26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Upload dangereux</w:t>
            </w:r>
          </w:p>
        </w:tc>
        <w:tc>
          <w:tcPr>
            <w:tcW w:type="dxa" w:w="24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Fichier invalide ou trop volumineux</w:t>
            </w:r>
          </w:p>
        </w:tc>
        <w:tc>
          <w:tcPr>
            <w:tcW w:type="dxa" w:w="40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Validation du type, de la taille et stockage contrôlé.</w:t>
            </w:r>
          </w:p>
        </w:tc>
      </w:tr>
      <w:tr>
        <w:tc>
          <w:tcPr>
            <w:tcW w:type="dxa" w:w="26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Surcharge d'un endpoint public</w:t>
            </w:r>
          </w:p>
        </w:tc>
        <w:tc>
          <w:tcPr>
            <w:tcW w:type="dxa" w:w="24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Dégradation du service</w:t>
            </w:r>
          </w:p>
        </w:tc>
        <w:tc>
          <w:tcPr>
            <w:tcW w:type="dxa" w:w="40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Rate limiting par IP sur les routes sensibles.</w:t>
            </w:r>
          </w:p>
        </w:tc>
      </w:tr>
      <w:tr>
        <w:tc>
          <w:tcPr>
            <w:tcW w:type="dxa" w:w="26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Perte de données</w:t>
            </w:r>
          </w:p>
        </w:tc>
        <w:tc>
          <w:tcPr>
            <w:tcW w:type="dxa" w:w="24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Interruption ou perte métier</w:t>
            </w:r>
          </w:p>
        </w:tc>
        <w:tc>
          <w:tcPr>
            <w:tcW w:type="dxa" w:w="40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Migrations et scripts de sauvegarde/restauration.</w:t>
            </w:r>
          </w:p>
        </w:tc>
      </w:tr>
      <w:tr>
        <w:tc>
          <w:tcPr>
            <w:tcW w:type="dxa" w:w="26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Régression interface</w:t>
            </w:r>
          </w:p>
        </w:tc>
        <w:tc>
          <w:tcPr>
            <w:tcW w:type="dxa" w:w="24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Fonctionnalité cassée</w:t>
            </w:r>
          </w:p>
        </w:tc>
        <w:tc>
          <w:tcPr>
            <w:tcW w:type="dxa" w:w="40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Lint, build et scénarios Playwright.</w:t>
            </w:r>
          </w:p>
        </w:tc>
      </w:tr>
    </w:tbl>
    <w:p>
      <w:pPr>
        <w:spacing w:after="40"/>
      </w:pPr>
    </w:p>
    <w:p>
      <w:pPr>
        <w:pStyle w:val="Heading2"/>
      </w:pPr>
      <w:r>
        <w:t>Conclusion du chapitre 2</w:t>
      </w:r>
    </w:p>
    <w:p>
      <w:r>
        <w:rPr>
          <w:rFonts w:ascii="Times New Roman" w:hAnsi="Times New Roman" w:eastAsia="Times New Roman"/>
        </w:rPr>
        <w:t>Le cadrage a transformé le besoin général en exigences fonctionnelles et non fonctionnelles mesurables. Cette base permet d'aborder la conception technique et les modèles de données avec une séparation claire entre parcours publics et fonctions administratives.</w:t>
      </w:r>
    </w:p>
    <w:p>
      <w:r>
        <w:br w:type="page"/>
      </w:r>
    </w:p>
    <w:p>
      <w:pPr>
        <w:spacing w:before="1600" w:after="240"/>
        <w:jc w:val="center"/>
      </w:pPr>
      <w:r>
        <w:rPr>
          <w:rFonts w:ascii="Arial" w:hAnsi="Arial" w:eastAsia="Arial"/>
          <w:b/>
          <w:color w:val="B75A22"/>
          <w:sz w:val="24"/>
        </w:rPr>
        <w:t>CHAPITRE 3</w:t>
      </w:r>
    </w:p>
    <w:p>
      <w:pPr>
        <w:pStyle w:val="Title"/>
      </w:pPr>
      <w:r>
        <w:rPr>
          <w:rFonts w:ascii="Times New Roman" w:hAnsi="Times New Roman" w:eastAsia="Times New Roman"/>
          <w:b/>
          <w:color w:val="003C2A"/>
          <w:sz w:val="50"/>
        </w:rPr>
        <w:t>Étude, analyse et conception de la solution</w:t>
      </w:r>
    </w:p>
    <w:p>
      <w:pPr>
        <w:spacing w:after="560"/>
        <w:jc w:val="center"/>
      </w:pPr>
      <w:r>
        <w:rPr>
          <w:rFonts w:ascii="Times New Roman" w:hAnsi="Times New Roman" w:eastAsia="Times New Roman"/>
          <w:i/>
          <w:color w:val="64706A"/>
          <w:sz w:val="24"/>
        </w:rPr>
        <w:t>Justifier les choix techniques et décrire les interactions, les données et la sécurité.</w:t>
      </w:r>
    </w:p>
    <w:p>
      <w:pPr>
        <w:jc w:val="center"/>
      </w:pPr>
      <w:r>
        <w:rPr>
          <w:rFonts w:ascii="Arial" w:hAnsi="Arial" w:eastAsia="Arial"/>
          <w:color w:val="B75A22"/>
          <w:sz w:val="28"/>
        </w:rPr>
        <w:t>●</w:t>
      </w:r>
    </w:p>
    <w:p>
      <w:r>
        <w:br w:type="page"/>
      </w:r>
    </w:p>
    <w:p>
      <w:pPr>
        <w:pStyle w:val="Heading1"/>
      </w:pPr>
      <w:r>
        <w:t>3.1 Critères de choix</w:t>
      </w:r>
    </w:p>
    <w:p>
      <w:r>
        <w:rPr>
          <w:rFonts w:ascii="Times New Roman" w:hAnsi="Times New Roman" w:eastAsia="Times New Roman"/>
        </w:rPr>
        <w:t>Les choix ont été guidés par la capacité à construire rapidement une interface interactive, à exposer une API robuste, à manipuler des données relationnelles et à sécuriser les fonctions administratives. La disponibilité d'un écosystème de tests et la possibilité de préparer un déploiement standard sur Linux ont également été prises en compte.</w:t>
      </w:r>
    </w:p>
    <w:p>
      <w:pPr>
        <w:pStyle w:val="ListBullet"/>
      </w:pPr>
      <w:r>
        <w:rPr>
          <w:rFonts w:ascii="Times New Roman" w:hAnsi="Times New Roman" w:eastAsia="Times New Roman"/>
        </w:rPr>
        <w:t>maturité et documentation des technologies ;</w:t>
      </w:r>
    </w:p>
    <w:p>
      <w:pPr>
        <w:pStyle w:val="ListBullet"/>
      </w:pPr>
      <w:r>
        <w:rPr>
          <w:rFonts w:ascii="Times New Roman" w:hAnsi="Times New Roman" w:eastAsia="Times New Roman"/>
        </w:rPr>
        <w:t>compatibilité avec une architecture web séparant frontend et backend ;</w:t>
      </w:r>
    </w:p>
    <w:p>
      <w:pPr>
        <w:pStyle w:val="ListBullet"/>
      </w:pPr>
      <w:r>
        <w:rPr>
          <w:rFonts w:ascii="Times New Roman" w:hAnsi="Times New Roman" w:eastAsia="Times New Roman"/>
        </w:rPr>
        <w:t>prise en charge de la validation, de la sécurité et de la persistance ;</w:t>
      </w:r>
    </w:p>
    <w:p>
      <w:pPr>
        <w:pStyle w:val="ListBullet"/>
      </w:pPr>
      <w:r>
        <w:rPr>
          <w:rFonts w:ascii="Times New Roman" w:hAnsi="Times New Roman" w:eastAsia="Times New Roman"/>
        </w:rPr>
        <w:t>capacité à gérer des composants interactifs et de la 3D ;</w:t>
      </w:r>
    </w:p>
    <w:p>
      <w:pPr>
        <w:pStyle w:val="ListBullet"/>
      </w:pPr>
      <w:r>
        <w:rPr>
          <w:rFonts w:ascii="Times New Roman" w:hAnsi="Times New Roman" w:eastAsia="Times New Roman"/>
        </w:rPr>
        <w:t>possibilité d'automatiser les tests et le build ;</w:t>
      </w:r>
    </w:p>
    <w:p>
      <w:pPr>
        <w:pStyle w:val="ListBullet"/>
      </w:pPr>
      <w:r>
        <w:rPr>
          <w:rFonts w:ascii="Times New Roman" w:hAnsi="Times New Roman" w:eastAsia="Times New Roman"/>
        </w:rPr>
        <w:t>facilité d'exploitation derrière un reverse proxy.</w:t>
      </w:r>
    </w:p>
    <w:p>
      <w:pPr>
        <w:pStyle w:val="Heading1"/>
      </w:pPr>
      <w:r>
        <w:t>3.2 Étude comparative et choix final</w:t>
      </w:r>
    </w:p>
    <w:p>
      <w:pPr>
        <w:pStyle w:val="Caption"/>
        <w:jc w:val="center"/>
      </w:pPr>
      <w:r>
        <w:t>Tableau 3.1 — Comparaison des choix techniques</w:t>
      </w:r>
    </w:p>
    <w:tbl>
      <w:tblPr>
        <w:tblStyle w:val="TableGrid"/>
        <w:tblW w:type="dxa" w:w="9073"/>
        <w:jc w:val="left"/>
        <w:tblLayout w:type="fixed"/>
        <w:tblLook w:firstColumn="1" w:firstRow="1" w:lastColumn="0" w:lastRow="0" w:noHBand="0" w:noVBand="1" w:val="04A0"/>
        <w:tblInd w:w="120" w:type="dxa"/>
      </w:tblPr>
      <w:tblGrid>
        <w:gridCol w:w="1800"/>
        <w:gridCol w:w="2400"/>
        <w:gridCol w:w="4873"/>
      </w:tblGrid>
      <w:tr>
        <w:trPr>
          <w:tblHeader w:val="true"/>
        </w:trPr>
        <w:tc>
          <w:tcPr>
            <w:tcW w:type="dxa" w:w="18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Couche</w:t>
            </w:r>
          </w:p>
        </w:tc>
        <w:tc>
          <w:tcPr>
            <w:tcW w:type="dxa" w:w="24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Option retenue</w:t>
            </w:r>
          </w:p>
        </w:tc>
        <w:tc>
          <w:tcPr>
            <w:tcW w:type="dxa" w:w="48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Justification dans G-ROD</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Interface</w:t>
            </w:r>
          </w:p>
        </w:tc>
        <w:tc>
          <w:tcPr>
            <w:tcW w:type="dxa" w:w="24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React 19</w:t>
            </w:r>
          </w:p>
        </w:tc>
        <w:tc>
          <w:tcPr>
            <w:tcW w:type="dxa" w:w="4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Composants, état interactif, routage SPA et intégration de Three.js.</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frontend</w:t>
            </w:r>
          </w:p>
        </w:tc>
        <w:tc>
          <w:tcPr>
            <w:tcW w:type="dxa" w:w="24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Vite 8</w:t>
            </w:r>
          </w:p>
        </w:tc>
        <w:tc>
          <w:tcPr>
            <w:tcW w:type="dxa" w:w="4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Serveur de développement rapide et génération d'assets optimisés.</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Backend</w:t>
            </w:r>
          </w:p>
        </w:tc>
        <w:tc>
          <w:tcPr>
            <w:tcW w:type="dxa" w:w="24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Boot 3.5</w:t>
            </w:r>
          </w:p>
        </w:tc>
        <w:tc>
          <w:tcPr>
            <w:tcW w:type="dxa" w:w="4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 REST, injection de dépendances, validation et sécurité intégrées.</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Persistance</w:t>
            </w:r>
          </w:p>
        </w:tc>
        <w:tc>
          <w:tcPr>
            <w:tcW w:type="dxa" w:w="24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Data JPA / Hibernate</w:t>
            </w:r>
          </w:p>
        </w:tc>
        <w:tc>
          <w:tcPr>
            <w:tcW w:type="dxa" w:w="4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Repositories, modèle relationnel et réduction du code répétitif.</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Base de données</w:t>
            </w:r>
          </w:p>
        </w:tc>
        <w:tc>
          <w:tcPr>
            <w:tcW w:type="dxa" w:w="24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MySQL</w:t>
            </w:r>
          </w:p>
        </w:tc>
        <w:tc>
          <w:tcPr>
            <w:tcW w:type="dxa" w:w="4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Persistance transactionnelle adaptée aux entités métier.</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Migrations</w:t>
            </w:r>
          </w:p>
        </w:tc>
        <w:tc>
          <w:tcPr>
            <w:tcW w:type="dxa" w:w="24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Flyway</w:t>
            </w:r>
          </w:p>
        </w:tc>
        <w:tc>
          <w:tcPr>
            <w:tcW w:type="dxa" w:w="4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Versionnement reproductible du schéma de base de données.</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3D</w:t>
            </w:r>
          </w:p>
        </w:tc>
        <w:tc>
          <w:tcPr>
            <w:tcW w:type="dxa" w:w="24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Three.js</w:t>
            </w:r>
          </w:p>
        </w:tc>
        <w:tc>
          <w:tcPr>
            <w:tcW w:type="dxa" w:w="4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Rendu interactif des modèles GLB dans le navigateur.</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navigateur</w:t>
            </w:r>
          </w:p>
        </w:tc>
        <w:tc>
          <w:tcPr>
            <w:tcW w:type="dxa" w:w="24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Playwright</w:t>
            </w:r>
          </w:p>
        </w:tc>
        <w:tc>
          <w:tcPr>
            <w:tcW w:type="dxa" w:w="4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Validation des parcours critiques et des tailles d'écran.</w:t>
            </w:r>
          </w:p>
        </w:tc>
      </w:tr>
    </w:tbl>
    <w:p>
      <w:pPr>
        <w:spacing w:after="40"/>
      </w:pPr>
    </w:p>
    <w:p>
      <w:r>
        <w:rPr>
          <w:rFonts w:ascii="Times New Roman" w:hAnsi="Times New Roman" w:eastAsia="Times New Roman"/>
        </w:rPr>
        <w:t>L'architecture retenue est une application web en deux parties : une SPA React communique en HTTP/JSON avec une API Spring Boot. Le backend applique les règles métier et accède à MySQL. Les fichiers administrés sont stockés hors du répertoire web public et servis par des endpoints contrôlés.</w:t>
      </w:r>
    </w:p>
    <w:p>
      <w:pPr>
        <w:pStyle w:val="CodeBlock"/>
        <w:jc w:val="left"/>
      </w:pPr>
      <w:r>
        <w:rPr>
          <w:rFonts w:ascii="Consolas" w:hAnsi="Consolas" w:eastAsia="Consolas"/>
          <w:color w:val="003C2A"/>
          <w:sz w:val="19"/>
        </w:rPr>
        <w:t>Navigateur (React / Vite / PWA)</w:t>
        <w:br/>
        <w:t xml:space="preserve">          │  HTTPS + JSON + fichiers contrôlés</w:t>
        <w:br/>
        <w:t xml:space="preserve">          ▼</w:t>
        <w:br/>
        <w:t>Nginx / Reverse proxy</w:t>
        <w:br/>
        <w:t xml:space="preserve">          │  /api/*</w:t>
        <w:br/>
        <w:t xml:space="preserve">          ▼</w:t>
        <w:br/>
        <w:t>Spring Boot ── Spring Security ── Services métier</w:t>
        <w:br/>
        <w:t xml:space="preserve">          │                         │</w:t>
        <w:br/>
        <w:t xml:space="preserve">          ├──────── MySQL           └──────── Stockage des uploads</w:t>
      </w:r>
    </w:p>
    <w:p>
      <w:pPr>
        <w:pStyle w:val="Heading1"/>
      </w:pPr>
      <w:r>
        <w:t>3.3 Architecture logique</w:t>
      </w:r>
    </w:p>
    <w:p>
      <w:pPr>
        <w:pStyle w:val="Heading2"/>
      </w:pPr>
      <w:r>
        <w:t>3.3.1 Organisation du backend</w:t>
      </w:r>
    </w:p>
    <w:p>
      <w:r>
        <w:rPr>
          <w:rFonts w:ascii="Times New Roman" w:hAnsi="Times New Roman" w:eastAsia="Times New Roman"/>
        </w:rPr>
        <w:t>Le backend est structuré par responsabilités. Les contrôleurs reçoivent les requêtes HTTP et exposent des contrats REST. Les services portent les traitements métier. Les repositories assurent l'accès aux données. Les entités représentent le modèle persistant et les DTO limitent les données échangées avec le frontend. Les packages de configuration, de sécurité et de gestion des exceptions regroupent les préoccupations transversales.</w:t>
      </w:r>
    </w:p>
    <w:p>
      <w:pPr>
        <w:pStyle w:val="CodeBlock"/>
        <w:jc w:val="left"/>
      </w:pPr>
      <w:r>
        <w:rPr>
          <w:rFonts w:ascii="Consolas" w:hAnsi="Consolas" w:eastAsia="Consolas"/>
          <w:color w:val="003C2A"/>
          <w:sz w:val="19"/>
        </w:rPr>
        <w:t>controller  →  validation HTTP et endpoints REST</w:t>
        <w:br/>
        <w:t>service     →  règles métier et transactions</w:t>
        <w:br/>
        <w:t>repository  →  requêtes JPA et pagination</w:t>
        <w:br/>
        <w:t>entity      →  modèle relationnel persistant</w:t>
        <w:br/>
        <w:t>dto         →  contrats d'entrée et de sortie</w:t>
        <w:br/>
        <w:t>security    →  JWT, rate limiting et WebAuthn</w:t>
        <w:br/>
        <w:t>config      →  sécurité, CORS, bootstrap et propriétés</w:t>
      </w:r>
    </w:p>
    <w:p>
      <w:pPr>
        <w:pStyle w:val="Heading2"/>
      </w:pPr>
      <w:r>
        <w:t>3.3.2 Organisation du frontend</w:t>
      </w:r>
    </w:p>
    <w:p>
      <w:r>
        <w:rPr>
          <w:rFonts w:ascii="Times New Roman" w:hAnsi="Times New Roman" w:eastAsia="Times New Roman"/>
        </w:rPr>
        <w:t>Le frontend utilise React Router pour les pages publiques et administratives. Les appels à l'API alimentent les vues du catalogue, les formulaires et les tableaux de gestion. Les états de navigation, de thème, de filtres, de pagination et de panneaux responsives sont gérés côté client.</w:t>
      </w:r>
    </w:p>
    <w:p>
      <w:r>
        <w:rPr>
          <w:rFonts w:ascii="Times New Roman" w:hAnsi="Times New Roman" w:eastAsia="Times New Roman"/>
        </w:rPr>
        <w:t>La version actuelle reste fonctionnelle mais concentre encore une grande partie des composants et styles dans les fichiers App.jsx et App.css. Une modularisation en pages, layouts, composants, hooks et services constitue une amélioration de maintenabilité identifiée pour la suite, sans remettre en cause l'architecture fonctionnelle validée.</w:t>
      </w:r>
    </w:p>
    <w:p>
      <w:pPr>
        <w:pStyle w:val="Heading1"/>
      </w:pPr>
      <w:r>
        <w:t>3.4 Cas d'utilisation</w:t>
      </w:r>
    </w:p>
    <w:p>
      <w:pPr>
        <w:pStyle w:val="Caption"/>
        <w:jc w:val="center"/>
      </w:pPr>
      <w:r>
        <w:t>Tableau 3.2 — Principaux cas d'utilisation</w:t>
      </w:r>
    </w:p>
    <w:tbl>
      <w:tblPr>
        <w:tblStyle w:val="TableGrid"/>
        <w:tblW w:type="dxa" w:w="9073"/>
        <w:jc w:val="left"/>
        <w:tblLayout w:type="fixed"/>
        <w:tblLook w:firstColumn="1" w:firstRow="1" w:lastColumn="0" w:lastRow="0" w:noHBand="0" w:noVBand="1" w:val="04A0"/>
        <w:tblInd w:w="120" w:type="dxa"/>
      </w:tblPr>
      <w:tblGrid>
        <w:gridCol w:w="2500"/>
        <w:gridCol w:w="1900"/>
        <w:gridCol w:w="4673"/>
      </w:tblGrid>
      <w:tr>
        <w:trPr>
          <w:tblHeader w:val="true"/>
        </w:trPr>
        <w:tc>
          <w:tcPr>
            <w:tcW w:type="dxa" w:w="25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Cas</w:t>
            </w:r>
          </w:p>
        </w:tc>
        <w:tc>
          <w:tcPr>
            <w:tcW w:type="dxa" w:w="19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Acteur</w:t>
            </w:r>
          </w:p>
        </w:tc>
        <w:tc>
          <w:tcPr>
            <w:tcW w:type="dxa" w:w="46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Scénario nominal</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 catalogue</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Visiteur</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Charger les produits actifs, rechercher, filtrer puis ouvrir une fiche.</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Demander un devis</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Prospect</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Renseigner le formulaire, joindre éventuellement un plan et valider.</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Demander un document</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Client</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Choisir un type, préciser le produit et transmettre la demande.</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Traiter une demande</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la demande, changer son statut et exporter son PDF.</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un produit</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Créer ou modifier les informations, l'image et l'état actif.</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Publier une ressource</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Téléverser un PDF, définir le type, le produit et la visibilité.</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les notifications</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Filtrer, ouvrir l'élément lié et marquer comme lu.</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Se connecter par Passkey</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Initier le challenge WebAuthn et valider avec l'appareil.</w:t>
            </w:r>
          </w:p>
        </w:tc>
      </w:tr>
    </w:tbl>
    <w:p>
      <w:pPr>
        <w:spacing w:after="40"/>
      </w:pPr>
    </w:p>
    <w:p>
      <w:pPr>
        <w:pStyle w:val="Placeholder"/>
        <w:jc w:val="left"/>
      </w:pPr>
      <w:r>
        <w:rPr>
          <w:rFonts w:ascii="Times New Roman" w:hAnsi="Times New Roman" w:eastAsia="Times New Roman"/>
          <w:b/>
          <w:color w:val="B75A22"/>
          <w:sz w:val="21"/>
        </w:rPr>
        <w:t>À COMPLÉTER — Insérer le diagramme UML de cas d'utilisation global avec les acteurs Visiteur, Client et Administrateur.</w:t>
      </w:r>
    </w:p>
    <w:p>
      <w:pPr>
        <w:pStyle w:val="Heading1"/>
      </w:pPr>
      <w:r>
        <w:t>3.5 Diagrammes de séquence</w:t>
      </w:r>
    </w:p>
    <w:p>
      <w:pPr>
        <w:pStyle w:val="Heading2"/>
      </w:pPr>
      <w:r>
        <w:t>3.5.1 Création d'une demande de devis</w:t>
      </w:r>
    </w:p>
    <w:p>
      <w:pPr>
        <w:pStyle w:val="ListNumber"/>
      </w:pPr>
      <w:r>
        <w:rPr>
          <w:rFonts w:ascii="Times New Roman" w:hAnsi="Times New Roman" w:eastAsia="Times New Roman"/>
        </w:rPr>
        <w:t>Le client complète le formulaire public et choisit éventuellement un fichier.</w:t>
      </w:r>
    </w:p>
    <w:p>
      <w:pPr>
        <w:pStyle w:val="ListNumber"/>
      </w:pPr>
      <w:r>
        <w:rPr>
          <w:rFonts w:ascii="Times New Roman" w:hAnsi="Times New Roman" w:eastAsia="Times New Roman"/>
        </w:rPr>
        <w:t>Le frontend valide les données puis envoie le fichier vers la zone temporaire.</w:t>
      </w:r>
    </w:p>
    <w:p>
      <w:pPr>
        <w:pStyle w:val="ListNumber"/>
      </w:pPr>
      <w:r>
        <w:rPr>
          <w:rFonts w:ascii="Times New Roman" w:hAnsi="Times New Roman" w:eastAsia="Times New Roman"/>
        </w:rPr>
        <w:t>L'API valide la requête, crée ou rattache le client et enregistre la demande.</w:t>
      </w:r>
    </w:p>
    <w:p>
      <w:pPr>
        <w:pStyle w:val="ListNumber"/>
      </w:pPr>
      <w:r>
        <w:rPr>
          <w:rFonts w:ascii="Times New Roman" w:hAnsi="Times New Roman" w:eastAsia="Times New Roman"/>
        </w:rPr>
        <w:t>Le fichier est promu vers le stockage définitif après réussite de la transaction.</w:t>
      </w:r>
    </w:p>
    <w:p>
      <w:pPr>
        <w:pStyle w:val="ListNumber"/>
      </w:pPr>
      <w:r>
        <w:rPr>
          <w:rFonts w:ascii="Times New Roman" w:hAnsi="Times New Roman" w:eastAsia="Times New Roman"/>
        </w:rPr>
        <w:t>Une notification métier est créée et l'envoi externe optionnel est tenté.</w:t>
      </w:r>
    </w:p>
    <w:p>
      <w:pPr>
        <w:pStyle w:val="ListNumber"/>
      </w:pPr>
      <w:r>
        <w:rPr>
          <w:rFonts w:ascii="Times New Roman" w:hAnsi="Times New Roman" w:eastAsia="Times New Roman"/>
        </w:rPr>
        <w:t>Le frontend confirme la création sans exposer les détails internes.</w:t>
      </w:r>
    </w:p>
    <w:p>
      <w:pPr>
        <w:pStyle w:val="Placeholder"/>
        <w:jc w:val="left"/>
      </w:pPr>
      <w:r>
        <w:rPr>
          <w:rFonts w:ascii="Times New Roman" w:hAnsi="Times New Roman" w:eastAsia="Times New Roman"/>
          <w:b/>
          <w:color w:val="B75A22"/>
          <w:sz w:val="21"/>
        </w:rPr>
        <w:t>À COMPLÉTER — Insérer le diagramme de séquence UML correspondant.</w:t>
      </w:r>
    </w:p>
    <w:p>
      <w:pPr>
        <w:pStyle w:val="Heading2"/>
      </w:pPr>
      <w:r>
        <w:t>3.5.2 Authentification administrateur</w:t>
      </w:r>
    </w:p>
    <w:p>
      <w:pPr>
        <w:pStyle w:val="ListNumber"/>
      </w:pPr>
      <w:r>
        <w:rPr>
          <w:rFonts w:ascii="Times New Roman" w:hAnsi="Times New Roman" w:eastAsia="Times New Roman"/>
        </w:rPr>
        <w:t>L'administrateur transmet son adresse et son mot de passe sur la route de connexion.</w:t>
      </w:r>
    </w:p>
    <w:p>
      <w:pPr>
        <w:pStyle w:val="ListNumber"/>
      </w:pPr>
      <w:r>
        <w:rPr>
          <w:rFonts w:ascii="Times New Roman" w:hAnsi="Times New Roman" w:eastAsia="Times New Roman"/>
        </w:rPr>
        <w:t>Spring Security charge le compte et compare le mot de passe avec BCrypt.</w:t>
      </w:r>
    </w:p>
    <w:p>
      <w:pPr>
        <w:pStyle w:val="ListNumber"/>
      </w:pPr>
      <w:r>
        <w:rPr>
          <w:rFonts w:ascii="Times New Roman" w:hAnsi="Times New Roman" w:eastAsia="Times New Roman"/>
        </w:rPr>
        <w:t>En cas de succès, le backend génère un JWT signé et limité dans le temps.</w:t>
      </w:r>
    </w:p>
    <w:p>
      <w:pPr>
        <w:pStyle w:val="ListNumber"/>
      </w:pPr>
      <w:r>
        <w:rPr>
          <w:rFonts w:ascii="Times New Roman" w:hAnsi="Times New Roman" w:eastAsia="Times New Roman"/>
        </w:rPr>
        <w:t>Le frontend conserve la session et joint le jeton aux requêtes protégées.</w:t>
      </w:r>
    </w:p>
    <w:p>
      <w:pPr>
        <w:pStyle w:val="ListNumber"/>
      </w:pPr>
      <w:r>
        <w:rPr>
          <w:rFonts w:ascii="Times New Roman" w:hAnsi="Times New Roman" w:eastAsia="Times New Roman"/>
        </w:rPr>
        <w:t>Le filtre JWT vérifie la signature et reconstruit l'identité authentifiée.</w:t>
      </w:r>
    </w:p>
    <w:p>
      <w:pPr>
        <w:pStyle w:val="Placeholder"/>
        <w:jc w:val="left"/>
      </w:pPr>
      <w:r>
        <w:rPr>
          <w:rFonts w:ascii="Times New Roman" w:hAnsi="Times New Roman" w:eastAsia="Times New Roman"/>
          <w:b/>
          <w:color w:val="B75A22"/>
          <w:sz w:val="21"/>
        </w:rPr>
        <w:t>À COMPLÉTER — Insérer le diagramme de séquence de connexion JWT et, séparément, celui de WebAuthn.</w:t>
      </w:r>
    </w:p>
    <w:p>
      <w:pPr>
        <w:pStyle w:val="Heading1"/>
      </w:pPr>
      <w:r>
        <w:t>3.6 Modèle de données</w:t>
      </w:r>
    </w:p>
    <w:p>
      <w:pPr>
        <w:pStyle w:val="Caption"/>
        <w:jc w:val="center"/>
      </w:pPr>
      <w:r>
        <w:t>Tableau 3.3 — Entités métier</w:t>
      </w:r>
    </w:p>
    <w:tbl>
      <w:tblPr>
        <w:tblStyle w:val="TableGrid"/>
        <w:tblW w:type="dxa" w:w="9073"/>
        <w:jc w:val="left"/>
        <w:tblLayout w:type="fixed"/>
        <w:tblLook w:firstColumn="1" w:firstRow="1" w:lastColumn="0" w:lastRow="0" w:noHBand="0" w:noVBand="1" w:val="04A0"/>
        <w:tblInd w:w="120" w:type="dxa"/>
      </w:tblPr>
      <w:tblGrid>
        <w:gridCol w:w="2200"/>
        <w:gridCol w:w="3900"/>
        <w:gridCol w:w="2973"/>
      </w:tblGrid>
      <w:tr>
        <w:trPr>
          <w:tblHeader w:val="true"/>
        </w:trPr>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Entité</w:t>
            </w:r>
          </w:p>
        </w:tc>
        <w:tc>
          <w:tcPr>
            <w:tcW w:type="dxa" w:w="39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Rôle métier</w:t>
            </w:r>
          </w:p>
        </w:tc>
        <w:tc>
          <w:tcPr>
            <w:tcW w:type="dxa" w:w="29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Relations principales</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Utilisateur</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Compte administrateur et rôle.</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Passkeys, lectures de notifications.</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Produit</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Catalogue, caractéristiques, image, état et modèle 3D.</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Demandes et documents techniques.</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Client</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Identité issue des interactions commerciales.</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Demandes de devis et historique.</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DemandeDevis</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Besoin commercial, quantités, statut, priorité et pièce jointe.</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Client et produit.</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DemandeDocument</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 d'une ressource technique.</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Produit et coordonnées client.</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DocumentTechnique</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PDF public ou privé associé à un type et éventuellement un produit.</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Produit.</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Notification</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Événement métier persistant et cible de navigation.</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Lecture par utilisateur.</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NotificationLecture</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État lu/non lu propre à l'administrateur.</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Utilisateur et notification.</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AdminPasskeyCredential</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Clé publique et compteur WebAuthn.</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Adresse du compte administrateur.</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AppSetting</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Préférences administratives persistantes.</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Clé/valeur de configuration.</w:t>
            </w:r>
          </w:p>
        </w:tc>
      </w:tr>
    </w:tbl>
    <w:p>
      <w:pPr>
        <w:spacing w:after="40"/>
      </w:pPr>
    </w:p>
    <w:p>
      <w:pPr>
        <w:pStyle w:val="Placeholder"/>
        <w:jc w:val="left"/>
      </w:pPr>
      <w:r>
        <w:rPr>
          <w:rFonts w:ascii="Times New Roman" w:hAnsi="Times New Roman" w:eastAsia="Times New Roman"/>
          <w:b/>
          <w:color w:val="B75A22"/>
          <w:sz w:val="21"/>
        </w:rPr>
        <w:t>À COMPLÉTER — Insérer le diagramme de classes ou le modèle relationnel final généré depuis ces entités.</w:t>
      </w:r>
    </w:p>
    <w:p>
      <w:pPr>
        <w:pStyle w:val="Heading1"/>
      </w:pPr>
      <w:r>
        <w:t>3.7 Conception de la sécurité</w:t>
      </w:r>
    </w:p>
    <w:p>
      <w:r>
        <w:rPr>
          <w:rFonts w:ascii="Times New Roman" w:hAnsi="Times New Roman" w:eastAsia="Times New Roman"/>
        </w:rPr>
        <w:t>La conception applique une défense en profondeur. Les routes publiques sont limitées aux consultations et créations attendues. Les fonctions d'administration exigent une authentification. Les mots de passe ne sont jamais stockés en clair. Les JWT sont signés avec un secret externe au dépôt. Les origines autorisées sont configurées afin de maîtriser les appels depuis le navigateur.</w:t>
      </w:r>
    </w:p>
    <w:p>
      <w:r>
        <w:rPr>
          <w:rFonts w:ascii="Times New Roman" w:hAnsi="Times New Roman" w:eastAsia="Times New Roman"/>
        </w:rPr>
        <w:t>Les endpoints publics sensibles disposent d'une limitation de fréquence par adresse IP. Les fichiers font l'objet de contrôles de type et de taille. Les PDF privés et les plans de devis ne sont pas exposés directement par Nginx : leur téléchargement passe par des contrôleurs qui appliquent les règles d'accès.</w:t>
      </w:r>
    </w:p>
    <w:p>
      <w:r>
        <w:rPr>
          <w:rFonts w:ascii="Times New Roman" w:hAnsi="Times New Roman" w:eastAsia="Times New Roman"/>
        </w:rPr>
        <w:t>L'option Passkey s'appuie sur WebAuthn pour permettre l'utilisation de Face ID, Touch ID ou Windows Hello. En dehors de localhost, ce mécanisme exige HTTPS, un identifiant RP correspondant au domaine et une validation stricte de l'origine. Les challenges étant actuellement conservés en mémoire, le déploiement recommandé reste mono-instance tant qu'un stockage partagé n'est pas ajouté.</w:t>
      </w:r>
    </w:p>
    <w:p>
      <w:pPr>
        <w:pStyle w:val="Heading1"/>
      </w:pPr>
      <w:r>
        <w:t>3.8 Conception de la montée en charge fonctionnelle</w:t>
      </w:r>
    </w:p>
    <w:p>
      <w:r>
        <w:rPr>
          <w:rFonts w:ascii="Times New Roman" w:hAnsi="Times New Roman" w:eastAsia="Times New Roman"/>
        </w:rPr>
        <w:t>Les listes d'administration ne chargent pas nécessairement toutes les données en une seule fois. Des endpoints dédiés fournissent des pages filtrées et triées pour les demandes, les produits, les documents et les ressources. Le pipeline commercial retourne des colonnes par statut avec des compteurs globaux et un nombre limité de cartes prioritaires. Cette stratégie maintient une interface lisible lorsque le nombre de demandes augmente.</w:t>
      </w:r>
    </w:p>
    <w:p>
      <w:pPr>
        <w:pStyle w:val="Heading2"/>
      </w:pPr>
      <w:r>
        <w:t>Conclusion du chapitre 3</w:t>
      </w:r>
    </w:p>
    <w:p>
      <w:r>
        <w:rPr>
          <w:rFonts w:ascii="Times New Roman" w:hAnsi="Times New Roman" w:eastAsia="Times New Roman"/>
        </w:rPr>
        <w:t>La conception retenue sépare clairement l'interface, l'API, les règles métier, les données et les fichiers. Les modèles d'interaction et de sécurité définissent le cadre de la réalisation présentée dans le dernier chapitre.</w:t>
      </w:r>
    </w:p>
    <w:p>
      <w:r>
        <w:br w:type="page"/>
      </w:r>
    </w:p>
    <w:p>
      <w:pPr>
        <w:spacing w:before="1600" w:after="240"/>
        <w:jc w:val="center"/>
      </w:pPr>
      <w:r>
        <w:rPr>
          <w:rFonts w:ascii="Arial" w:hAnsi="Arial" w:eastAsia="Arial"/>
          <w:b/>
          <w:color w:val="B75A22"/>
          <w:sz w:val="24"/>
        </w:rPr>
        <w:t>CHAPITRE 4</w:t>
      </w:r>
    </w:p>
    <w:p>
      <w:pPr>
        <w:pStyle w:val="Title"/>
      </w:pPr>
      <w:r>
        <w:rPr>
          <w:rFonts w:ascii="Times New Roman" w:hAnsi="Times New Roman" w:eastAsia="Times New Roman"/>
          <w:b/>
          <w:color w:val="003C2A"/>
          <w:sz w:val="50"/>
        </w:rPr>
        <w:t>Réalisation et mise en œuvre</w:t>
      </w:r>
    </w:p>
    <w:p>
      <w:pPr>
        <w:spacing w:after="560"/>
        <w:jc w:val="center"/>
      </w:pPr>
      <w:r>
        <w:rPr>
          <w:rFonts w:ascii="Times New Roman" w:hAnsi="Times New Roman" w:eastAsia="Times New Roman"/>
          <w:i/>
          <w:color w:val="64706A"/>
          <w:sz w:val="24"/>
        </w:rPr>
        <w:t>Décrire les fonctionnalités livrées, les contrôles de qualité et la préparation de l'exploitation.</w:t>
      </w:r>
    </w:p>
    <w:p>
      <w:pPr>
        <w:jc w:val="center"/>
      </w:pPr>
      <w:r>
        <w:rPr>
          <w:rFonts w:ascii="Arial" w:hAnsi="Arial" w:eastAsia="Arial"/>
          <w:color w:val="B75A22"/>
          <w:sz w:val="28"/>
        </w:rPr>
        <w:t>●</w:t>
      </w:r>
    </w:p>
    <w:p>
      <w:r>
        <w:br w:type="page"/>
      </w:r>
    </w:p>
    <w:p>
      <w:pPr>
        <w:pStyle w:val="Heading1"/>
      </w:pPr>
      <w:r>
        <w:t>4.1 Environnement technique</w:t>
      </w:r>
    </w:p>
    <w:p>
      <w:pPr>
        <w:pStyle w:val="Caption"/>
        <w:jc w:val="center"/>
      </w:pPr>
      <w:r>
        <w:t>Tableau 4.1 — Technologies et outils</w:t>
      </w:r>
    </w:p>
    <w:tbl>
      <w:tblPr>
        <w:tblStyle w:val="TableGrid"/>
        <w:tblW w:type="dxa" w:w="9073"/>
        <w:jc w:val="left"/>
        <w:tblLayout w:type="fixed"/>
        <w:tblLook w:firstColumn="1" w:firstRow="1" w:lastColumn="0" w:lastRow="0" w:noHBand="0" w:noVBand="1" w:val="04A0"/>
        <w:tblInd w:w="120" w:type="dxa"/>
      </w:tblPr>
      <w:tblGrid>
        <w:gridCol w:w="2200"/>
        <w:gridCol w:w="2200"/>
        <w:gridCol w:w="4673"/>
      </w:tblGrid>
      <w:tr>
        <w:trPr>
          <w:tblHeader w:val="true"/>
        </w:trPr>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Technologie</w:t>
            </w:r>
          </w:p>
        </w:tc>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Version observée</w:t>
            </w:r>
          </w:p>
        </w:tc>
        <w:tc>
          <w:tcPr>
            <w:tcW w:type="dxa" w:w="46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Utilisation</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Java</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21</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Langage du backend.</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Boot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3.5.14</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 REST et configuration applicative.</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Security</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Gérée par Spring Boot</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Authentification, autorisation et BCrypt.</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MySQL</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Configuration projet</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Base relationnelle métier.</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Flyway</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Gérée par Spring Boot</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 du schéma.</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React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19.2.6</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Interface publique et administration.</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React Router</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7.15.1</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Navigation côté client.</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Vite</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8.0.12</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Développement et build frontend.</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Three.js</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0.185.1</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Aperçus 3D des produits.</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Playwright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1.62.1</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de bout en bout et responsive.</w:t>
            </w:r>
          </w:p>
        </w:tc>
      </w:tr>
    </w:tbl>
    <w:p>
      <w:pPr>
        <w:spacing w:after="40"/>
      </w:pPr>
    </w:p>
    <w:p>
      <w:pPr>
        <w:pStyle w:val="Heading1"/>
      </w:pPr>
      <w:r>
        <w:t>4.2 Réalisation du backend</w:t>
      </w:r>
    </w:p>
    <w:p>
      <w:r>
        <w:rPr>
          <w:rFonts w:ascii="Times New Roman" w:hAnsi="Times New Roman" w:eastAsia="Times New Roman"/>
        </w:rPr>
        <w:t>L'API expose des contrôleurs spécialisés pour l'authentification, les produits, les clients, les demandes de devis, les demandes de documents, les ressources techniques, les notifications, les préférences et les Passkeys. Les échanges utilisent des DTO validés afin de limiter les données acceptées et retournées.</w:t>
      </w:r>
    </w:p>
    <w:p>
      <w:r>
        <w:rPr>
          <w:rFonts w:ascii="Times New Roman" w:hAnsi="Times New Roman" w:eastAsia="Times New Roman"/>
        </w:rPr>
        <w:t>Les services métier gèrent notamment la création des demandes, la génération de PDF, la consolidation des clients, les changements de statut, les notifications et le cycle de vie des fichiers. Les repositories Spring Data fournissent les recherches, les agrégations, les compteurs et la pagination nécessaires aux tableaux d'administration.</w:t>
      </w:r>
    </w:p>
    <w:p>
      <w:r>
        <w:rPr>
          <w:rFonts w:ascii="Times New Roman" w:hAnsi="Times New Roman" w:eastAsia="Times New Roman"/>
        </w:rPr>
        <w:t>Le composant d'initialisation crée uniquement les données de référence absentes. Il ne réécrit pas un produit déjà administré. Cette idempotence évite qu'un produit désactivé ou modifié depuis l'administration soit réinitialisé au redémarrage du backend.</w:t>
      </w:r>
    </w:p>
    <w:p>
      <w:pPr>
        <w:pStyle w:val="Heading1"/>
      </w:pPr>
      <w:r>
        <w:t>4.3 Réalisation du site public</w:t>
      </w:r>
    </w:p>
    <w:p>
      <w:pPr>
        <w:pStyle w:val="Heading2"/>
      </w:pPr>
      <w:r>
        <w:t>4.3.1 Accueil et identité</w:t>
      </w:r>
    </w:p>
    <w:p>
      <w:r>
        <w:rPr>
          <w:rFonts w:ascii="Times New Roman" w:hAnsi="Times New Roman" w:eastAsia="Times New Roman"/>
        </w:rPr>
        <w:t>La page d'accueil présente G-ROD, les engagements liés au cuivre recyclé, les produits mis en avant et les principaux appels à l'action. La navigation donne accès au catalogue, aux ressources, au processus de production, à la présentation de l'entreprise et au formulaire de devis.</w:t>
      </w:r>
    </w:p>
    <w:p>
      <w:pPr>
        <w:jc w:val="center"/>
      </w:pPr>
      <w:r>
        <w:drawing>
          <wp:inline xmlns:a="http://schemas.openxmlformats.org/drawingml/2006/main" xmlns:pic="http://schemas.openxmlformats.org/drawingml/2006/picture">
            <wp:extent cx="5472000" cy="3644438"/>
            <wp:docPr id="5" name="Picture 5" descr="Illustration de la réception des matières premières"/>
            <wp:cNvGraphicFramePr>
              <a:graphicFrameLocks noChangeAspect="1"/>
            </wp:cNvGraphicFramePr>
            <a:graphic>
              <a:graphicData uri="http://schemas.openxmlformats.org/drawingml/2006/picture">
                <pic:pic>
                  <pic:nvPicPr>
                    <pic:cNvPr id="0" name="process-reception.jpg"/>
                    <pic:cNvPicPr/>
                  </pic:nvPicPr>
                  <pic:blipFill>
                    <a:blip r:embed="rId14"/>
                    <a:stretch>
                      <a:fillRect/>
                    </a:stretch>
                  </pic:blipFill>
                  <pic:spPr>
                    <a:xfrm>
                      <a:off x="0" y="0"/>
                      <a:ext cx="5472000" cy="3644438"/>
                    </a:xfrm>
                    <a:prstGeom prst="rect"/>
                  </pic:spPr>
                </pic:pic>
              </a:graphicData>
            </a:graphic>
          </wp:inline>
        </w:drawing>
      </w:r>
    </w:p>
    <w:p>
      <w:pPr>
        <w:pStyle w:val="Caption"/>
        <w:jc w:val="center"/>
      </w:pPr>
      <w:r>
        <w:t>Figure 4.1 — Réception et tri des matières premières</w:t>
      </w:r>
    </w:p>
    <w:p>
      <w:pPr>
        <w:pStyle w:val="Heading2"/>
      </w:pPr>
      <w:r>
        <w:t>4.3.2 Catalogue et fiches produits</w:t>
      </w:r>
    </w:p>
    <w:p>
      <w:r>
        <w:rPr>
          <w:rFonts w:ascii="Times New Roman" w:hAnsi="Times New Roman" w:eastAsia="Times New Roman"/>
        </w:rPr>
        <w:t>Le catalogue charge les produits actifs depuis l'API. L'utilisateur peut effectuer une recherche, filtrer selon l'application, limiter l'affichage aux produits actifs et changer le mode de présentation. Un assistant de sélection propose un produit à partir de l'application et du besoin principal lorsqu'une correspondance est disponible.</w:t>
      </w:r>
    </w:p>
    <w:p>
      <w:r>
        <w:rPr>
          <w:rFonts w:ascii="Times New Roman" w:hAnsi="Times New Roman" w:eastAsia="Times New Roman"/>
        </w:rPr>
        <w:t>Chaque fiche produit regroupe l'image, la description, la pureté, les dimensions, les normes, les applications et les documents associés. Les valeurs non disponibles ne sont pas inventées. Les aperçus 3D utilisent des modèles GLB locaux et sont chargés à la demande pour limiter le coût initial.</w:t>
      </w:r>
    </w:p>
    <w:p>
      <w:pPr>
        <w:pStyle w:val="Placeholder"/>
        <w:jc w:val="left"/>
      </w:pPr>
      <w:r>
        <w:rPr>
          <w:rFonts w:ascii="Times New Roman" w:hAnsi="Times New Roman" w:eastAsia="Times New Roman"/>
          <w:b/>
          <w:color w:val="B75A22"/>
          <w:sz w:val="21"/>
        </w:rPr>
        <w:t>À COMPLÉTER — Insérer une capture du catalogue en mode cartes et une capture d'une fiche produit avec aperçu 3D.</w:t>
      </w:r>
    </w:p>
    <w:p>
      <w:pPr>
        <w:pStyle w:val="Heading2"/>
      </w:pPr>
      <w:r>
        <w:t>4.3.3 Demande de devis</w:t>
      </w:r>
    </w:p>
    <w:p>
      <w:r>
        <w:rPr>
          <w:rFonts w:ascii="Times New Roman" w:hAnsi="Times New Roman" w:eastAsia="Times New Roman"/>
        </w:rPr>
        <w:t>Le formulaire de devis recueille les coordonnées, le produit, la quantité et les précisions techniques. Il peut inclure un lien vers un plan, un besoin de livraison et une pièce jointe. Les champs obligatoires et les formats sont contrôlés avant l'enregistrement. Une référence unique facilite ensuite le suivi dans l'administration.</w:t>
      </w:r>
    </w:p>
    <w:p>
      <w:pPr>
        <w:pStyle w:val="Placeholder"/>
        <w:jc w:val="left"/>
      </w:pPr>
      <w:r>
        <w:rPr>
          <w:rFonts w:ascii="Times New Roman" w:hAnsi="Times New Roman" w:eastAsia="Times New Roman"/>
          <w:b/>
          <w:color w:val="B75A22"/>
          <w:sz w:val="21"/>
        </w:rPr>
        <w:t>À COMPLÉTER — Insérer une capture du formulaire de devis et du message de confirmation.</w:t>
      </w:r>
    </w:p>
    <w:p>
      <w:pPr>
        <w:pStyle w:val="Heading2"/>
      </w:pPr>
      <w:r>
        <w:t>4.3.4 Ressources et demandes documentaires</w:t>
      </w:r>
    </w:p>
    <w:p>
      <w:r>
        <w:rPr>
          <w:rFonts w:ascii="Times New Roman" w:hAnsi="Times New Roman" w:eastAsia="Times New Roman"/>
        </w:rPr>
        <w:t>La page Ressources présente les documents techniques actifs et publics. La recherche s'appuie sur le titre, le type, le produit et les mots-clés disponibles. Lorsqu'un document n'est pas directement accessible, le visiteur peut transmettre une demande en précisant le type et le produit concernés.</w:t>
      </w:r>
    </w:p>
    <w:p>
      <w:pPr>
        <w:jc w:val="center"/>
      </w:pPr>
      <w:r>
        <w:drawing>
          <wp:inline xmlns:a="http://schemas.openxmlformats.org/drawingml/2006/main" xmlns:pic="http://schemas.openxmlformats.org/drawingml/2006/picture">
            <wp:extent cx="5472000" cy="3644438"/>
            <wp:docPr id="6" name="Picture 6" descr="Illustration du contrôle de qualité en laboratoire"/>
            <wp:cNvGraphicFramePr>
              <a:graphicFrameLocks noChangeAspect="1"/>
            </wp:cNvGraphicFramePr>
            <a:graphic>
              <a:graphicData uri="http://schemas.openxmlformats.org/drawingml/2006/picture">
                <pic:pic>
                  <pic:nvPicPr>
                    <pic:cNvPr id="0" name="process-lab.jpg"/>
                    <pic:cNvPicPr/>
                  </pic:nvPicPr>
                  <pic:blipFill>
                    <a:blip r:embed="rId15"/>
                    <a:stretch>
                      <a:fillRect/>
                    </a:stretch>
                  </pic:blipFill>
                  <pic:spPr>
                    <a:xfrm>
                      <a:off x="0" y="0"/>
                      <a:ext cx="5472000" cy="3644438"/>
                    </a:xfrm>
                    <a:prstGeom prst="rect"/>
                  </pic:spPr>
                </pic:pic>
              </a:graphicData>
            </a:graphic>
          </wp:inline>
        </w:drawing>
      </w:r>
    </w:p>
    <w:p>
      <w:pPr>
        <w:pStyle w:val="Caption"/>
        <w:jc w:val="center"/>
      </w:pPr>
      <w:r>
        <w:t>Figure 4.2 — Contrôle en laboratoire</w:t>
      </w:r>
    </w:p>
    <w:p>
      <w:pPr>
        <w:pStyle w:val="Heading2"/>
      </w:pPr>
      <w:r>
        <w:t>4.3.5 Expérience responsive et PWA</w:t>
      </w:r>
    </w:p>
    <w:p>
      <w:r>
        <w:rPr>
          <w:rFonts w:ascii="Times New Roman" w:hAnsi="Times New Roman" w:eastAsia="Times New Roman"/>
        </w:rPr>
        <w:t>L'interface adapte la navigation, les grilles, les formulaires et les contenus aux formats desktop, tablette et mobile. Un manifeste, un service worker et les icônes nécessaires permettent au navigateur de proposer l'installation de l'application lorsque les critères PWA sont satisfaits. La plateforme reste une application web et non une application mobile native.</w:t>
      </w:r>
    </w:p>
    <w:p>
      <w:r>
        <w:rPr>
          <w:rFonts w:ascii="Times New Roman" w:hAnsi="Times New Roman" w:eastAsia="Times New Roman"/>
        </w:rPr>
        <w:t>Le mode sombre est disponible sur les pages publiques et administratives. Des corrections spécifiques ont été apportées aux contrastes, aux champs, aux cartes et aux tableaux afin de préserver la lisibilité dans les deux thèmes.</w:t>
      </w:r>
    </w:p>
    <w:p>
      <w:pPr>
        <w:pStyle w:val="Heading1"/>
      </w:pPr>
      <w:r>
        <w:t>4.4 Réalisation de l'espace administrateur</w:t>
      </w:r>
    </w:p>
    <w:p>
      <w:pPr>
        <w:pStyle w:val="Heading2"/>
      </w:pPr>
      <w:r>
        <w:t>4.4.1 Dashboard commercial</w:t>
      </w:r>
    </w:p>
    <w:p>
      <w:r>
        <w:rPr>
          <w:rFonts w:ascii="Times New Roman" w:hAnsi="Times New Roman" w:eastAsia="Times New Roman"/>
        </w:rPr>
        <w:t>Le dashboard fournit une synthèse des demandes totales, des nouvelles demandes, des documents en attente et des produits actifs. Il affiche également les demandes récentes, l'état du catalogue, des actions rapides, des analyses commerciales et un pipeline par statut. Les compteurs proviennent des données réelles du backend.</w:t>
      </w:r>
    </w:p>
    <w:p>
      <w:r>
        <w:rPr>
          <w:rFonts w:ascii="Times New Roman" w:hAnsi="Times New Roman" w:eastAsia="Times New Roman"/>
        </w:rPr>
        <w:t>Le pipeline distingue les demandes nouvelles, en traitement, traitées et annulées. Chaque colonne affiche un compteur global, tandis que les cartes visibles sont limitées aux demandes les plus prioritaires. Un accès permet d'ouvrir la liste filtrée lorsqu'un volume supérieur doit être consulté.</w:t>
      </w:r>
    </w:p>
    <w:p>
      <w:pPr>
        <w:pStyle w:val="Placeholder"/>
        <w:jc w:val="left"/>
      </w:pPr>
      <w:r>
        <w:rPr>
          <w:rFonts w:ascii="Times New Roman" w:hAnsi="Times New Roman" w:eastAsia="Times New Roman"/>
          <w:b/>
          <w:color w:val="B75A22"/>
          <w:sz w:val="21"/>
        </w:rPr>
        <w:t>À COMPLÉTER — Insérer une capture du Dashboard commercial et du pipeline.</w:t>
      </w:r>
    </w:p>
    <w:p>
      <w:pPr>
        <w:pStyle w:val="Heading2"/>
      </w:pPr>
      <w:r>
        <w:t>4.4.2 Gestion des demandes</w:t>
      </w:r>
    </w:p>
    <w:p>
      <w:r>
        <w:rPr>
          <w:rFonts w:ascii="Times New Roman" w:hAnsi="Times New Roman" w:eastAsia="Times New Roman"/>
        </w:rPr>
        <w:t>La page Demandes combine recherche, statut, tri et pagination côté serveur. Les informations essentielles — référence, client, produit, date, quantité, priorité et statut — sont regroupées dans une vue opérationnelle. L'administrateur peut télécharger le PDF, ouvrir une pièce jointe autorisée, changer le statut et supprimer une demande selon le besoin métier.</w:t>
      </w:r>
    </w:p>
    <w:p>
      <w:pPr>
        <w:pStyle w:val="Heading2"/>
      </w:pPr>
      <w:r>
        <w:t>4.4.3 Gestion des clients</w:t>
      </w:r>
    </w:p>
    <w:p>
      <w:r>
        <w:rPr>
          <w:rFonts w:ascii="Times New Roman" w:hAnsi="Times New Roman" w:eastAsia="Times New Roman"/>
        </w:rPr>
        <w:t>Les clients sont consolidés à partir des demandes réelles. La page affiche les coordonnées, le nombre de demandes, les produits concernés, la dernière interaction et l'état du suivi. Un panneau de détail et une page d'historique permettent d'examiner les demandes rattachées à un même client sans créer de données artificielles.</w:t>
      </w:r>
    </w:p>
    <w:p>
      <w:pPr>
        <w:pStyle w:val="Heading2"/>
      </w:pPr>
      <w:r>
        <w:t>4.4.4 Gestion des produits</w:t>
      </w:r>
    </w:p>
    <w:p>
      <w:r>
        <w:rPr>
          <w:rFonts w:ascii="Times New Roman" w:hAnsi="Times New Roman" w:eastAsia="Times New Roman"/>
        </w:rPr>
        <w:t>L'administrateur peut créer, modifier, activer ou désactiver un produit, gérer son image et renseigner ses caractéristiques. Les images sont téléversées par un endpoint spécialisé, puis leur chemin est associé au produit. La logique d'initialisation préserve ensuite toutes les modifications administratives lors des redémarrages.</w:t>
      </w:r>
    </w:p>
    <w:p>
      <w:pPr>
        <w:pStyle w:val="Heading2"/>
      </w:pPr>
      <w:r>
        <w:t>4.4.5 Documents et ressources techniques</w:t>
      </w:r>
    </w:p>
    <w:p>
      <w:r>
        <w:rPr>
          <w:rFonts w:ascii="Times New Roman" w:hAnsi="Times New Roman" w:eastAsia="Times New Roman"/>
        </w:rPr>
        <w:t>Les demandes de documents disposent de leur propre page et de statuts métier. Les ressources techniques sont administrées sous forme de PDF avec un titre, un type, un produit éventuel, une visibilité publique ou privée et un état actif. Les types proposés proviennent de valeurs réellement utilisables afin d'éviter un formulaire bloqué sur une liste vide.</w:t>
      </w:r>
    </w:p>
    <w:p>
      <w:pPr>
        <w:pStyle w:val="Heading2"/>
      </w:pPr>
      <w:r>
        <w:t>4.4.6 Notifications</w:t>
      </w:r>
    </w:p>
    <w:p>
      <w:r>
        <w:rPr>
          <w:rFonts w:ascii="Times New Roman" w:hAnsi="Times New Roman" w:eastAsia="Times New Roman"/>
        </w:rPr>
        <w:t>La cloche de la topbar et l'entrée de la sidebar utilisent le même compteur de notifications non lues. Le dropdown affiche les événements récents et permet de les marquer comme lus. La page dédiée propose les catégories réellement calculables et des liens vers la demande, le document ou le client associé lorsqu'une navigation valide existe.</w:t>
      </w:r>
    </w:p>
    <w:p>
      <w:r>
        <w:rPr>
          <w:rFonts w:ascii="Times New Roman" w:hAnsi="Times New Roman" w:eastAsia="Times New Roman"/>
        </w:rPr>
        <w:t>L'état lu/non lu est persisté côté backend pour chaque utilisateur via une entité de lecture. Le badge disparaît lorsque le nombre est nul et se met à jour après une action de lecture.</w:t>
      </w:r>
    </w:p>
    <w:p>
      <w:pPr>
        <w:pStyle w:val="Heading2"/>
      </w:pPr>
      <w:r>
        <w:t>4.4.7 Mon compte et Passkey</w:t>
      </w:r>
    </w:p>
    <w:p>
      <w:r>
        <w:rPr>
          <w:rFonts w:ascii="Times New Roman" w:hAnsi="Times New Roman" w:eastAsia="Times New Roman"/>
        </w:rPr>
        <w:t>La page Mon compte sépare le profil, la sécurité et les préférences. Le paramètre tab de l'URL constitue la source de vérité pour permettre le rafraîchissement direct et la navigation précédent/suivant. La section Sécurité conserve le changement de mot de passe et l'activation d'une Passkey. Les préférences de notification peuvent être enregistrées côté backend sans afficher d'informations fictives.</w:t>
      </w:r>
    </w:p>
    <w:p>
      <w:pPr>
        <w:pStyle w:val="Heading2"/>
      </w:pPr>
      <w:r>
        <w:t>4.4.8 Sidebar responsive</w:t>
      </w:r>
    </w:p>
    <w:p>
      <w:r>
        <w:rPr>
          <w:rFonts w:ascii="Times New Roman" w:hAnsi="Times New Roman" w:eastAsia="Times New Roman"/>
        </w:rPr>
        <w:t>Sur desktop, la sidebar peut être réduite aux icônes ; son état est conservé localement. Sur mobile et tablette, elle devient un drawer fermé par le bouton, l'overlay ou la navigation. Une seule source d'état au niveau de l'espace Admin évite de reproduire cette logique dans chaque page.</w:t>
      </w:r>
    </w:p>
    <w:p>
      <w:pPr>
        <w:pStyle w:val="Heading1"/>
      </w:pPr>
      <w:r>
        <w:t>4.5 Gestion des fichiers</w:t>
      </w:r>
    </w:p>
    <w:p>
      <w:r>
        <w:rPr>
          <w:rFonts w:ascii="Times New Roman" w:hAnsi="Times New Roman" w:eastAsia="Times New Roman"/>
        </w:rPr>
        <w:t>Les fichiers de devis sont d'abord placés dans un répertoire temporaire puis déplacés vers leur emplacement définitif uniquement lorsque la création métier réussit. Un nettoyage planifié cible les fichiers temporaires expirés, sans supprimer automatiquement les fichiers définitifs. Un service d'audit peut identifier les fichiers potentiellement orphelins en lecture seule.</w:t>
      </w:r>
    </w:p>
    <w:p>
      <w:r>
        <w:rPr>
          <w:rFonts w:ascii="Times New Roman" w:hAnsi="Times New Roman" w:eastAsia="Times New Roman"/>
        </w:rPr>
        <w:t>En production, les uploads sont placés hors du répertoire public. Les images produits peuvent être relayées de manière contrôlée, tandis que les plans de devis et documents privés nécessitent un endpoint authentifié. Cette organisation réduit le risque de contournement des règles d'accès.</w:t>
      </w:r>
    </w:p>
    <w:p>
      <w:pPr>
        <w:pStyle w:val="Heading1"/>
      </w:pPr>
      <w:r>
        <w:t>4.6 Tests et recette</w:t>
      </w:r>
    </w:p>
    <w:p>
      <w:r>
        <w:rPr>
          <w:rFonts w:ascii="Times New Roman" w:hAnsi="Times New Roman" w:eastAsia="Times New Roman"/>
        </w:rPr>
        <w:t>La stratégie de qualité combine plusieurs niveaux. Les tests backend utilisent JUnit, Spring Boot Test, Spring Security Test et une base H2 isolée. Les scénarios Playwright démarrent un environnement de test indépendant de la base MySQL métier, avec leurs propres uploads.</w:t>
      </w:r>
    </w:p>
    <w:p>
      <w:pPr>
        <w:pStyle w:val="Caption"/>
        <w:jc w:val="center"/>
      </w:pPr>
      <w:r>
        <w:t>Tableau 4.2 — Synthèse des tests</w:t>
      </w:r>
    </w:p>
    <w:tbl>
      <w:tblPr>
        <w:tblStyle w:val="TableGrid"/>
        <w:tblW w:type="dxa" w:w="9073"/>
        <w:jc w:val="left"/>
        <w:tblLayout w:type="fixed"/>
        <w:tblLook w:firstColumn="1" w:firstRow="1" w:lastColumn="0" w:lastRow="0" w:noHBand="0" w:noVBand="1" w:val="04A0"/>
        <w:tblInd w:w="120" w:type="dxa"/>
      </w:tblPr>
      <w:tblGrid>
        <w:gridCol w:w="2100"/>
        <w:gridCol w:w="2200"/>
        <w:gridCol w:w="4773"/>
      </w:tblGrid>
      <w:tr>
        <w:trPr>
          <w:tblHeader w:val="true"/>
        </w:trPr>
        <w:tc>
          <w:tcPr>
            <w:tcW w:type="dxa" w:w="21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Vérification</w:t>
            </w:r>
          </w:p>
        </w:tc>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Résultat observé</w:t>
            </w:r>
          </w:p>
        </w:tc>
        <w:tc>
          <w:tcPr>
            <w:tcW w:type="dxa" w:w="47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Couverture</w:t>
            </w:r>
          </w:p>
        </w:tc>
      </w:tr>
      <w:tr>
        <w:tc>
          <w:tcPr>
            <w:tcW w:type="dxa" w:w="21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Maven</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44 tests réussis</w:t>
            </w:r>
          </w:p>
        </w:tc>
        <w:tc>
          <w:tcPr>
            <w:tcW w:type="dxa" w:w="47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Services, sécurité, migrations, initialisation, fichiers, pagination et pipeline.</w:t>
            </w:r>
          </w:p>
        </w:tc>
      </w:tr>
      <w:tr>
        <w:tc>
          <w:tcPr>
            <w:tcW w:type="dxa" w:w="21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ESLint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Aucune erreur</w:t>
            </w:r>
          </w:p>
        </w:tc>
        <w:tc>
          <w:tcPr>
            <w:tcW w:type="dxa" w:w="47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Qualité statique du code frontend.</w:t>
            </w:r>
          </w:p>
        </w:tc>
      </w:tr>
      <w:tr>
        <w:tc>
          <w:tcPr>
            <w:tcW w:type="dxa" w:w="21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Vite</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réussi</w:t>
            </w:r>
          </w:p>
        </w:tc>
        <w:tc>
          <w:tcPr>
            <w:tcW w:type="dxa" w:w="47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Production des assets frontend.</w:t>
            </w:r>
          </w:p>
        </w:tc>
      </w:tr>
      <w:tr>
        <w:tc>
          <w:tcPr>
            <w:tcW w:type="dxa" w:w="21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Playwright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38 scénarios réussis</w:t>
            </w:r>
          </w:p>
        </w:tc>
        <w:tc>
          <w:tcPr>
            <w:tcW w:type="dxa" w:w="47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Parcours publics/Admin, uploads, responsive, thème sombre, 3D et pagination.</w:t>
            </w:r>
          </w:p>
        </w:tc>
      </w:tr>
      <w:tr>
        <w:tc>
          <w:tcPr>
            <w:tcW w:type="dxa" w:w="21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Recette réelle</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 et pages HTTP accessibles</w:t>
            </w:r>
          </w:p>
        </w:tc>
        <w:tc>
          <w:tcPr>
            <w:tcW w:type="dxa" w:w="47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Backend MySQL et frontend lancés sur des ports de validation.</w:t>
            </w:r>
          </w:p>
        </w:tc>
      </w:tr>
    </w:tbl>
    <w:p>
      <w:pPr>
        <w:spacing w:after="40"/>
      </w:pPr>
    </w:p>
    <w:p>
      <w:r>
        <w:rPr>
          <w:rFonts w:ascii="Times New Roman" w:hAnsi="Times New Roman" w:eastAsia="Times New Roman"/>
        </w:rPr>
        <w:t>La recette couvre notamment la connexion, la gestion des statuts, la persistance des images produits, les notifications, les documents, les ressources, la navigation du compte, la sidebar, les affichages desktop/tablette/mobile et le chargement différé des modèles 3D.</w:t>
      </w:r>
    </w:p>
    <w:p>
      <w:pPr>
        <w:pStyle w:val="Heading1"/>
      </w:pPr>
      <w:r>
        <w:t>4.7 Préparation du déploiement</w:t>
      </w:r>
    </w:p>
    <w:p>
      <w:r>
        <w:rPr>
          <w:rFonts w:ascii="Times New Roman" w:hAnsi="Times New Roman" w:eastAsia="Times New Roman"/>
        </w:rPr>
        <w:t>L'architecture de production documentée place Nginx devant le frontend statique et l'API Spring Boot. Les requêtes vers /api sont relayées vers le backend lié à l'interface locale du serveur. MySQL et le répertoire d'uploads ne sont pas exposés directement.</w:t>
      </w:r>
    </w:p>
    <w:p>
      <w:pPr>
        <w:pStyle w:val="CodeBlock"/>
        <w:jc w:val="left"/>
      </w:pPr>
      <w:r>
        <w:rPr>
          <w:rFonts w:ascii="Consolas" w:hAnsi="Consolas" w:eastAsia="Consolas"/>
          <w:color w:val="003C2A"/>
          <w:sz w:val="19"/>
        </w:rPr>
        <w:t>Internet → HTTPS Nginx → fichiers React statiques</w:t>
        <w:br/>
        <w:t xml:space="preserve">                      └→ /api/* → Spring Boot (127.0.0.1:8080)</w:t>
        <w:br/>
        <w:t xml:space="preserve">                                      ├→ MySQL</w:t>
        <w:br/>
        <w:t xml:space="preserve">                                      └→ UPLOAD_DIR hors webroot</w:t>
      </w:r>
    </w:p>
    <w:p>
      <w:r>
        <w:rPr>
          <w:rFonts w:ascii="Times New Roman" w:hAnsi="Times New Roman" w:eastAsia="Times New Roman"/>
        </w:rPr>
        <w:t>Le dépôt contient des modèles Nginx et systemd, un exemple de variables d'environnement, des scripts de sauvegarde/restauration ainsi qu'une procédure Flyway. Les secrets ne sont pas versionnés. La Release Candidate v1.0.0-rc.2 a été créée et publiée dans le dépôt GitHub configuré après validation des tests.</w:t>
      </w:r>
    </w:p>
    <w:p>
      <w:r>
        <w:rPr>
          <w:rFonts w:ascii="Times New Roman" w:hAnsi="Times New Roman" w:eastAsia="Times New Roman"/>
        </w:rPr>
        <w:t>Il est important de distinguer préparation et déploiement effectif : les fichiers et procédures sont prêts, mais la mise en production finale exige un domaine, un certificat HTTPS, des secrets propres à l'environnement, un compte MySQL dédié et une validation post-déploiement.</w:t>
      </w:r>
    </w:p>
    <w:p>
      <w:pPr>
        <w:pStyle w:val="Heading1"/>
      </w:pPr>
      <w:r>
        <w:t>4.8 Résultats, limites et enseignements</w:t>
      </w:r>
    </w:p>
    <w:p>
      <w:r>
        <w:rPr>
          <w:rFonts w:ascii="Times New Roman" w:hAnsi="Times New Roman" w:eastAsia="Times New Roman"/>
        </w:rPr>
        <w:t>La solution obtenue répond au périmètre défini : elle présente l'entreprise et ses produits, collecte les demandes et fournit un espace Admin complet pour les traiter. Les données affichées proviennent de l'API et la logique métier est persistée. La plateforme est utilisable sur plusieurs tailles d'écran et peut être installée comme PWA.</w:t>
      </w:r>
    </w:p>
    <w:p>
      <w:r>
        <w:rPr>
          <w:rFonts w:ascii="Times New Roman" w:hAnsi="Times New Roman" w:eastAsia="Times New Roman"/>
        </w:rPr>
        <w:t>La principale limite technique identifiée concerne la taille des fichiers frontend App.jsx et App.css, qui concentrent encore une part importante des pages et styles. La séparation en composants, pages, layouts, hooks et services réduirait le coût de maintenance. Par ailleurs, les challenges WebAuthn et le rate limiting sont adaptés à une instance unique ; un déploiement distribué nécessiterait un stockage partagé, par exemple Redis ou une passerelle d'API.</w:t>
      </w:r>
    </w:p>
    <w:p>
      <w:r>
        <w:rPr>
          <w:rFonts w:ascii="Times New Roman" w:hAnsi="Times New Roman" w:eastAsia="Times New Roman"/>
        </w:rPr>
        <w:t>Le projet a permis de consolider des compétences en analyse fonctionnelle, conception full stack, gestion de données, sécurité web, expérience responsive, tests automatisés, gestion de versions et préparation de l'exploitation.</w:t>
      </w:r>
    </w:p>
    <w:p>
      <w:pPr>
        <w:pStyle w:val="Heading2"/>
      </w:pPr>
      <w:r>
        <w:t>Conclusion du chapitre 4</w:t>
      </w:r>
    </w:p>
    <w:p>
      <w:r>
        <w:rPr>
          <w:rFonts w:ascii="Times New Roman" w:hAnsi="Times New Roman" w:eastAsia="Times New Roman"/>
        </w:rPr>
        <w:t>La réalisation transforme les besoins étudiés en une plateforme cohérente et vérifiée. Les fonctions publiques et administratives sont reliées à une source de données réelle, tandis que les tests, la sauvegarde et les procédures de déploiement fournissent une base solide pour la suite du projet.</w:t>
      </w:r>
    </w:p>
    <w:p>
      <w:r>
        <w:br w:type="page"/>
      </w:r>
    </w:p>
    <w:p>
      <w:pPr>
        <w:pStyle w:val="Heading1"/>
      </w:pPr>
      <w:r>
        <w:t>Conclusion générale et perspectives</w:t>
      </w:r>
    </w:p>
    <w:p>
      <w:r>
        <w:rPr>
          <w:rFonts w:ascii="Times New Roman" w:hAnsi="Times New Roman" w:eastAsia="Times New Roman"/>
        </w:rPr>
        <w:t>Le projet G-ROD avait pour objectif de concevoir une plateforme web B2B capable de valoriser l'activité de Morocco Copper Foundry et de structurer les échanges avec ses prospects et clients. Cet objectif a conduit à la réalisation d'un site public moderne, d'un catalogue dynamique et d'un espace d'administration couvrant le suivi commercial, les clients, les produits, les documents, les ressources et les notifications.</w:t>
      </w:r>
    </w:p>
    <w:p>
      <w:r>
        <w:rPr>
          <w:rFonts w:ascii="Times New Roman" w:hAnsi="Times New Roman" w:eastAsia="Times New Roman"/>
        </w:rPr>
        <w:t>L'architecture retenue associe React, Spring Boot et MySQL dans une séparation claire entre interface, API et persistance. Les fonctionnalités sensibles sont protégées par Spring Security, JWT et BCrypt, avec une option Passkey/WebAuthn. La gestion des fichiers, la limitation de requêtes, les migrations et l'initialisation idempotente renforcent la fiabilité de la solution.</w:t>
      </w:r>
    </w:p>
    <w:p>
      <w:r>
        <w:rPr>
          <w:rFonts w:ascii="Times New Roman" w:hAnsi="Times New Roman" w:eastAsia="Times New Roman"/>
        </w:rPr>
        <w:t>La recette finale confirme le bon fonctionnement des principaux parcours et des affichages responsive. Les tests automatisés, la sauvegarde de la base et la création d'une Release Candidate apportent une traçabilité supplémentaire et facilitent la présentation du projet.</w:t>
      </w:r>
    </w:p>
    <w:p>
      <w:r>
        <w:rPr>
          <w:rFonts w:ascii="Times New Roman" w:hAnsi="Times New Roman" w:eastAsia="Times New Roman"/>
        </w:rPr>
        <w:t>Plusieurs perspectives peuvent prolonger ce travail : modulariser davantage le frontend, automatiser l'intégration et le déploiement continus, utiliser un stockage partagé pour les contrôles distribués, externaliser les fichiers vers un stockage objet, ajouter des indicateurs commerciaux historiques et connecter la plateforme à d'autres outils internes de l'entreprise. Ces évolutions devront être priorisées selon les besoins réels et le contexte d'exploitation.</w:t>
      </w:r>
    </w:p>
    <w:p>
      <w:r>
        <w:br w:type="page"/>
      </w:r>
    </w:p>
    <w:p>
      <w:pPr>
        <w:pStyle w:val="Heading1"/>
      </w:pPr>
      <w:r>
        <w:t>Bibliographie et webographie</w:t>
      </w:r>
    </w:p>
    <w:p>
      <w:pPr>
        <w:pStyle w:val="ListBullet"/>
      </w:pPr>
      <w:r>
        <w:rPr>
          <w:rFonts w:ascii="Times New Roman" w:hAnsi="Times New Roman" w:eastAsia="Times New Roman"/>
          <w:sz w:val="21"/>
        </w:rPr>
        <w:t>Morocco Copper Foundry — Brochure institutionnelle G-ROD, document interne intégré au projet, 2026.</w:t>
      </w:r>
    </w:p>
    <w:p>
      <w:pPr>
        <w:pStyle w:val="ListBullet"/>
      </w:pPr>
      <w:r>
        <w:rPr>
          <w:rFonts w:ascii="Times New Roman" w:hAnsi="Times New Roman" w:eastAsia="Times New Roman"/>
          <w:sz w:val="21"/>
        </w:rPr>
        <w:t>Documentation du projet G-ROD — README, procédures de déploiement, sauvegarde et migration, version v1.0.0-rc.2.</w:t>
      </w:r>
    </w:p>
    <w:p>
      <w:pPr>
        <w:pStyle w:val="ListBullet"/>
      </w:pPr>
      <w:r>
        <w:rPr>
          <w:rFonts w:ascii="Times New Roman" w:hAnsi="Times New Roman" w:eastAsia="Times New Roman"/>
          <w:sz w:val="21"/>
        </w:rPr>
        <w:t>Spring — Spring Boot Reference Documentation, https://docs.spring.io/spring-boot/ (consulté en septembre 2026).</w:t>
      </w:r>
    </w:p>
    <w:p>
      <w:pPr>
        <w:pStyle w:val="ListBullet"/>
      </w:pPr>
      <w:r>
        <w:rPr>
          <w:rFonts w:ascii="Times New Roman" w:hAnsi="Times New Roman" w:eastAsia="Times New Roman"/>
          <w:sz w:val="21"/>
        </w:rPr>
        <w:t>React — Documentation officielle, https://react.dev/ (consultée en septembre 2026).</w:t>
      </w:r>
    </w:p>
    <w:p>
      <w:pPr>
        <w:pStyle w:val="ListBullet"/>
      </w:pPr>
      <w:r>
        <w:rPr>
          <w:rFonts w:ascii="Times New Roman" w:hAnsi="Times New Roman" w:eastAsia="Times New Roman"/>
          <w:sz w:val="21"/>
        </w:rPr>
        <w:t>MySQL — MySQL 8.0 Reference Manual, https://dev.mysql.com/doc/refman/8.0/en/ (consulté en septembre 2026).</w:t>
      </w:r>
    </w:p>
    <w:p>
      <w:pPr>
        <w:pStyle w:val="ListBullet"/>
      </w:pPr>
      <w:r>
        <w:rPr>
          <w:rFonts w:ascii="Times New Roman" w:hAnsi="Times New Roman" w:eastAsia="Times New Roman"/>
          <w:sz w:val="21"/>
        </w:rPr>
        <w:t>Vite — Guide officiel, https://vite.dev/guide/ (consulté en septembre 2026).</w:t>
      </w:r>
    </w:p>
    <w:p>
      <w:pPr>
        <w:pStyle w:val="ListBullet"/>
      </w:pPr>
      <w:r>
        <w:rPr>
          <w:rFonts w:ascii="Times New Roman" w:hAnsi="Times New Roman" w:eastAsia="Times New Roman"/>
          <w:sz w:val="21"/>
        </w:rPr>
        <w:t>Three.js — Documentation officielle, https://threejs.org/docs/ (consultée en septembre 2026).</w:t>
      </w:r>
    </w:p>
    <w:p>
      <w:pPr>
        <w:pStyle w:val="ListBullet"/>
      </w:pPr>
      <w:r>
        <w:rPr>
          <w:rFonts w:ascii="Times New Roman" w:hAnsi="Times New Roman" w:eastAsia="Times New Roman"/>
          <w:sz w:val="21"/>
        </w:rPr>
        <w:t>Playwright — Documentation officielle, https://playwright.dev/docs/intro (consultée en septembre 2026).</w:t>
      </w:r>
    </w:p>
    <w:p>
      <w:pPr>
        <w:pStyle w:val="ListBullet"/>
      </w:pPr>
      <w:r>
        <w:rPr>
          <w:rFonts w:ascii="Times New Roman" w:hAnsi="Times New Roman" w:eastAsia="Times New Roman"/>
          <w:sz w:val="21"/>
        </w:rPr>
        <w:t>OWASP Foundation — Authentication et JSON Web Token Cheat Sheets, https://cheatsheetseries.owasp.org/.</w:t>
      </w:r>
    </w:p>
    <w:p>
      <w:r>
        <w:br w:type="page"/>
      </w:r>
    </w:p>
    <w:p>
      <w:pPr>
        <w:pStyle w:val="Heading1"/>
      </w:pPr>
      <w:r>
        <w:t>Annexes</w:t>
      </w:r>
    </w:p>
    <w:p>
      <w:pPr>
        <w:pStyle w:val="Heading2"/>
      </w:pPr>
      <w:r>
        <w:t>Annexe A — Principales routes frontend</w:t>
      </w:r>
    </w:p>
    <w:tbl>
      <w:tblPr>
        <w:tblStyle w:val="TableGrid"/>
        <w:tblW w:type="dxa" w:w="9073"/>
        <w:jc w:val="left"/>
        <w:tblLayout w:type="fixed"/>
        <w:tblLook w:firstColumn="1" w:firstRow="1" w:lastColumn="0" w:lastRow="0" w:noHBand="0" w:noVBand="1" w:val="04A0"/>
        <w:tblInd w:w="120" w:type="dxa"/>
      </w:tblPr>
      <w:tblGrid>
        <w:gridCol w:w="2000"/>
        <w:gridCol w:w="7073"/>
      </w:tblGrid>
      <w:tr>
        <w:trPr>
          <w:tblHeader w:val="true"/>
        </w:trPr>
        <w:tc>
          <w:tcPr>
            <w:tcW w:type="dxa" w:w="20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Espace</w:t>
            </w:r>
          </w:p>
        </w:tc>
        <w:tc>
          <w:tcPr>
            <w:tcW w:type="dxa" w:w="70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Routes</w:t>
            </w:r>
          </w:p>
        </w:tc>
      </w:tr>
      <w:tr>
        <w:tc>
          <w:tcPr>
            <w:tcW w:type="dxa" w:w="20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Public</w:t>
            </w:r>
          </w:p>
        </w:tc>
        <w:tc>
          <w:tcPr>
            <w:tcW w:type="dxa" w:w="7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 /catalogue, /catalogue/:productId, /resources, /processus, /pourquoi-grod, /demande-document, /devis</w:t>
            </w:r>
          </w:p>
        </w:tc>
      </w:tr>
      <w:tr>
        <w:tc>
          <w:tcPr>
            <w:tcW w:type="dxa" w:w="20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Administration</w:t>
            </w:r>
          </w:p>
        </w:tc>
        <w:tc>
          <w:tcPr>
            <w:tcW w:type="dxa" w:w="7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/admin/login, /admin/dashboard, /admin/demandes, /admin/clients, /admin/produits, /admin/documents, /admin/ressources, /admin/notifications, /admin/account</w:t>
            </w:r>
          </w:p>
        </w:tc>
      </w:tr>
    </w:tbl>
    <w:p>
      <w:pPr>
        <w:spacing w:after="40"/>
      </w:pPr>
    </w:p>
    <w:p>
      <w:pPr>
        <w:pStyle w:val="Heading2"/>
      </w:pPr>
      <w:r>
        <w:t>Annexe B — Principaux groupes d'API</w:t>
      </w:r>
    </w:p>
    <w:p>
      <w:pPr>
        <w:pStyle w:val="ListBullet"/>
      </w:pPr>
      <w:r>
        <w:rPr>
          <w:rFonts w:ascii="Times New Roman" w:hAnsi="Times New Roman" w:eastAsia="Times New Roman"/>
        </w:rPr>
        <w:t>/api/auth — connexion et mot de passe ;</w:t>
      </w:r>
    </w:p>
    <w:p>
      <w:pPr>
        <w:pStyle w:val="ListBullet"/>
      </w:pPr>
      <w:r>
        <w:rPr>
          <w:rFonts w:ascii="Times New Roman" w:hAnsi="Times New Roman" w:eastAsia="Times New Roman"/>
        </w:rPr>
        <w:t>/api/passkeys — inscription et connexion WebAuthn ;</w:t>
      </w:r>
    </w:p>
    <w:p>
      <w:pPr>
        <w:pStyle w:val="ListBullet"/>
      </w:pPr>
      <w:r>
        <w:rPr>
          <w:rFonts w:ascii="Times New Roman" w:hAnsi="Times New Roman" w:eastAsia="Times New Roman"/>
        </w:rPr>
        <w:t>/api/produits — catalogue et CRUD produits ;</w:t>
      </w:r>
    </w:p>
    <w:p>
      <w:pPr>
        <w:pStyle w:val="ListBullet"/>
      </w:pPr>
      <w:r>
        <w:rPr>
          <w:rFonts w:ascii="Times New Roman" w:hAnsi="Times New Roman" w:eastAsia="Times New Roman"/>
        </w:rPr>
        <w:t>/api/demandes-devis — demandes commerciales, statuts, PDF et pièces jointes ;</w:t>
      </w:r>
    </w:p>
    <w:p>
      <w:pPr>
        <w:pStyle w:val="ListBullet"/>
      </w:pPr>
      <w:r>
        <w:rPr>
          <w:rFonts w:ascii="Times New Roman" w:hAnsi="Times New Roman" w:eastAsia="Times New Roman"/>
        </w:rPr>
        <w:t>/api/demandes-documents — demandes de ressources ;</w:t>
      </w:r>
    </w:p>
    <w:p>
      <w:pPr>
        <w:pStyle w:val="ListBullet"/>
      </w:pPr>
      <w:r>
        <w:rPr>
          <w:rFonts w:ascii="Times New Roman" w:hAnsi="Times New Roman" w:eastAsia="Times New Roman"/>
        </w:rPr>
        <w:t>/api/documents-techniques — ressources publiques et administration ;</w:t>
      </w:r>
    </w:p>
    <w:p>
      <w:pPr>
        <w:pStyle w:val="ListBullet"/>
      </w:pPr>
      <w:r>
        <w:rPr>
          <w:rFonts w:ascii="Times New Roman" w:hAnsi="Times New Roman" w:eastAsia="Times New Roman"/>
        </w:rPr>
        <w:t>/api/admin — dashboard, pagination et pipeline ;</w:t>
      </w:r>
    </w:p>
    <w:p>
      <w:pPr>
        <w:pStyle w:val="ListBullet"/>
      </w:pPr>
      <w:r>
        <w:rPr>
          <w:rFonts w:ascii="Times New Roman" w:hAnsi="Times New Roman" w:eastAsia="Times New Roman"/>
        </w:rPr>
        <w:t>/api/admin/notifications — liste, compteur et état de lecture ;</w:t>
      </w:r>
    </w:p>
    <w:p>
      <w:pPr>
        <w:pStyle w:val="ListBullet"/>
      </w:pPr>
      <w:r>
        <w:rPr>
          <w:rFonts w:ascii="Times New Roman" w:hAnsi="Times New Roman" w:eastAsia="Times New Roman"/>
        </w:rPr>
        <w:t>/api/uploads — images et documents contrôlés.</w:t>
      </w:r>
    </w:p>
    <w:p>
      <w:pPr>
        <w:pStyle w:val="Heading2"/>
      </w:pPr>
      <w:r>
        <w:t>Annexe C — Lancement local</w:t>
      </w:r>
    </w:p>
    <w:p>
      <w:pPr>
        <w:pStyle w:val="CodeBlock"/>
        <w:jc w:val="left"/>
      </w:pPr>
      <w:r>
        <w:rPr>
          <w:rFonts w:ascii="Consolas" w:hAnsi="Consolas" w:eastAsia="Consolas"/>
          <w:color w:val="003C2A"/>
          <w:sz w:val="19"/>
        </w:rPr>
        <w:t>Backend :</w:t>
        <w:br/>
        <w:t>cd grod-platform-backend</w:t>
        <w:br/>
        <w:t>set JWT_SECRET=&lt;secret local de 32 caractères minimum&gt;</w:t>
        <w:br/>
        <w:t>.\mvnw.cmd spring-boot:run</w:t>
        <w:br/>
        <w:br/>
        <w:t>Frontend :</w:t>
        <w:br/>
        <w:t>cd grod-platform-frontend</w:t>
        <w:br/>
        <w:t>npm.cmd run dev</w:t>
        <w:br/>
        <w:br/>
        <w:t>Adresse : http://localhost:5173</w:t>
      </w:r>
    </w:p>
    <w:p>
      <w:pPr>
        <w:pStyle w:val="Heading2"/>
      </w:pPr>
      <w:r>
        <w:t>Annexe D — Informations restant à compléter</w:t>
      </w:r>
    </w:p>
    <w:p>
      <w:pPr>
        <w:pStyle w:val="ListBullet"/>
      </w:pPr>
      <w:r>
        <w:rPr>
          <w:rFonts w:ascii="Times New Roman" w:hAnsi="Times New Roman" w:eastAsia="Times New Roman"/>
        </w:rPr>
        <w:t>identité de l'étudiant, filière, établissement et année universitaire ;</w:t>
      </w:r>
    </w:p>
    <w:p>
      <w:pPr>
        <w:pStyle w:val="ListBullet"/>
      </w:pPr>
      <w:r>
        <w:rPr>
          <w:rFonts w:ascii="Times New Roman" w:hAnsi="Times New Roman" w:eastAsia="Times New Roman"/>
        </w:rPr>
        <w:t>noms et fonctions des encadrants ;</w:t>
      </w:r>
    </w:p>
    <w:p>
      <w:pPr>
        <w:pStyle w:val="ListBullet"/>
      </w:pPr>
      <w:r>
        <w:rPr>
          <w:rFonts w:ascii="Times New Roman" w:hAnsi="Times New Roman" w:eastAsia="Times New Roman"/>
        </w:rPr>
        <w:t>dates exactes du stage ;</w:t>
      </w:r>
    </w:p>
    <w:p>
      <w:pPr>
        <w:pStyle w:val="ListBullet"/>
      </w:pPr>
      <w:r>
        <w:rPr>
          <w:rFonts w:ascii="Times New Roman" w:hAnsi="Times New Roman" w:eastAsia="Times New Roman"/>
        </w:rPr>
        <w:t>description validée de l'ancien processus métier ;</w:t>
      </w:r>
    </w:p>
    <w:p>
      <w:pPr>
        <w:pStyle w:val="ListBullet"/>
      </w:pPr>
      <w:r>
        <w:rPr>
          <w:rFonts w:ascii="Times New Roman" w:hAnsi="Times New Roman" w:eastAsia="Times New Roman"/>
        </w:rPr>
        <w:t>chronologie réelle et diagramme de Gantt ;</w:t>
      </w:r>
    </w:p>
    <w:p>
      <w:pPr>
        <w:pStyle w:val="ListBullet"/>
      </w:pPr>
      <w:r>
        <w:rPr>
          <w:rFonts w:ascii="Times New Roman" w:hAnsi="Times New Roman" w:eastAsia="Times New Roman"/>
        </w:rPr>
        <w:t>diagrammes UML exportés en haute résolution ;</w:t>
      </w:r>
    </w:p>
    <w:p>
      <w:pPr>
        <w:pStyle w:val="ListBullet"/>
      </w:pPr>
      <w:r>
        <w:rPr>
          <w:rFonts w:ascii="Times New Roman" w:hAnsi="Times New Roman" w:eastAsia="Times New Roman"/>
        </w:rPr>
        <w:t>captures finales des interfaces publiques et administratives ;</w:t>
      </w:r>
    </w:p>
    <w:p>
      <w:pPr>
        <w:pStyle w:val="ListBullet"/>
      </w:pPr>
      <w:r>
        <w:rPr>
          <w:rFonts w:ascii="Times New Roman" w:hAnsi="Times New Roman" w:eastAsia="Times New Roman"/>
        </w:rPr>
        <w:t>validation des chiffres institutionnels et des perspectives par l'entreprise.</w:t>
      </w:r>
    </w:p>
    <w:sectPr w:rsidR="00FC693F" w:rsidRPr="0006063C" w:rsidSect="00034616">
      <w:headerReference w:type="default" r:id="rId9"/>
      <w:footerReference w:type="default" r:id="rId10"/>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olor w:val="64706A"/>
        <w:sz w:val="17"/>
      </w:rPr>
      <w:t xml:space="preserve">G-ROD — Morocco Copper Foundry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B75A22"/>
      </w:pBdr>
    </w:pPr>
    <w:r>
      <w:rPr>
        <w:rFonts w:ascii="Arial" w:hAnsi="Arial" w:eastAsia="Arial"/>
        <w:b/>
        <w:color w:val="64706A"/>
        <w:sz w:val="17"/>
      </w:rPr>
      <w:t>RAPPORT DE PROJET DE FIN D'ÉTUDES  |  G-ROD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006B3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6B3C"/>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B75A2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b/>
      <w:color w:val="003C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b/>
      <w:bCs/>
      <w:i/>
      <w:color w:val="64706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before="100" w:after="140"/>
      <w:ind w:left="198" w:right="198"/>
      <w:shd w:fill="F8EEE8"/>
    </w:pPr>
    <w:rPr>
      <w:rFonts w:ascii="Times New Roman" w:hAnsi="Times New Roman"/>
      <w:color w:val="B75A22"/>
      <w:sz w:val="21"/>
    </w:rPr>
  </w:style>
  <w:style w:type="paragraph" w:customStyle="1" w:styleId="CodeBlock">
    <w:name w:val="Code Block"/>
    <w:pPr>
      <w:spacing w:before="100" w:after="140"/>
      <w:ind w:left="198" w:right="198"/>
      <w:shd w:fill="F2F4F3"/>
    </w:pPr>
    <w:rPr>
      <w:rFonts w:ascii="Consolas" w:hAnsi="Consolas"/>
      <w:color w:val="003C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Plateforme G-ROD</dc:title>
  <dc:subject>Conception et développement d'une plateforme web B2B pour Morocco Copper Foundry</dc:subject>
  <dc:creator>[NOM COMPLET]</dc:creator>
  <cp:keywords>G-ROD, React, Spring Boot, MySQL, PFE</cp:keywords>
  <dc:description>Version de travail 1 — informations personnelles et figures UML à compléter.</dc:description>
  <cp:lastModifiedBy/>
  <cp:revision>1</cp:revision>
  <dcterms:created xsi:type="dcterms:W3CDTF">2013-12-23T23:15:00Z</dcterms:created>
  <dcterms:modified xsi:type="dcterms:W3CDTF">2013-12-23T23:15:00Z</dcterms:modified>
  <cp:category/>
</cp:coreProperties>
</file>