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242" w:type="dxa"/>
        <w:tblInd w:w="-180" w:type="dxa"/>
        <w:tblLook w:val="04A0" w:firstRow="1" w:lastRow="0" w:firstColumn="1" w:lastColumn="0" w:noHBand="0" w:noVBand="1"/>
      </w:tblPr>
      <w:tblGrid>
        <w:gridCol w:w="5130"/>
        <w:gridCol w:w="5112"/>
      </w:tblGrid>
      <w:tr w:rsidR="00662A7F" w:rsidRPr="00611093" w14:paraId="68D16F16" w14:textId="77777777" w:rsidTr="009A2C03">
        <w:trPr>
          <w:trHeight w:val="1528"/>
        </w:trPr>
        <w:tc>
          <w:tcPr>
            <w:tcW w:w="5130" w:type="dxa"/>
          </w:tcPr>
          <w:p w14:paraId="09D2EC9F" w14:textId="77777777" w:rsidR="00662A7F" w:rsidRPr="00611093" w:rsidRDefault="00662A7F" w:rsidP="009A2C03">
            <w:pPr>
              <w:tabs>
                <w:tab w:val="center" w:pos="1701"/>
                <w:tab w:val="center" w:pos="7088"/>
              </w:tabs>
              <w:spacing w:after="0" w:line="240" w:lineRule="auto"/>
              <w:ind w:left="-110"/>
              <w:rPr>
                <w:b/>
                <w:bCs/>
                <w:sz w:val="32"/>
                <w:szCs w:val="32"/>
              </w:rPr>
            </w:pPr>
            <w:r>
              <w:rPr>
                <w:b/>
                <w:bCs/>
                <w:noProof/>
                <w:sz w:val="32"/>
                <w:szCs w:val="32"/>
                <w:lang w:val="en-US"/>
              </w:rPr>
              <w:drawing>
                <wp:inline distT="0" distB="0" distL="0" distR="0" wp14:anchorId="61728398" wp14:editId="012F518A">
                  <wp:extent cx="977900" cy="1028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77900" cy="1028700"/>
                          </a:xfrm>
                          <a:prstGeom prst="rect">
                            <a:avLst/>
                          </a:prstGeom>
                          <a:noFill/>
                          <a:ln>
                            <a:noFill/>
                          </a:ln>
                        </pic:spPr>
                      </pic:pic>
                    </a:graphicData>
                  </a:graphic>
                </wp:inline>
              </w:drawing>
            </w:r>
            <w:r>
              <w:rPr>
                <w:noProof/>
                <w:lang w:val="en-US"/>
              </w:rPr>
              <w:drawing>
                <wp:inline distT="0" distB="0" distL="0" distR="0" wp14:anchorId="0F57BD27" wp14:editId="3400467B">
                  <wp:extent cx="844550" cy="1047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b="-21465"/>
                          <a:stretch>
                            <a:fillRect/>
                          </a:stretch>
                        </pic:blipFill>
                        <pic:spPr bwMode="auto">
                          <a:xfrm>
                            <a:off x="0" y="0"/>
                            <a:ext cx="844550" cy="1047750"/>
                          </a:xfrm>
                          <a:prstGeom prst="rect">
                            <a:avLst/>
                          </a:prstGeom>
                          <a:noFill/>
                          <a:ln>
                            <a:noFill/>
                          </a:ln>
                        </pic:spPr>
                      </pic:pic>
                    </a:graphicData>
                  </a:graphic>
                </wp:inline>
              </w:drawing>
            </w:r>
          </w:p>
        </w:tc>
        <w:tc>
          <w:tcPr>
            <w:tcW w:w="5112" w:type="dxa"/>
          </w:tcPr>
          <w:p w14:paraId="7BCC5478" w14:textId="545DCCE0" w:rsidR="00662A7F" w:rsidRPr="00611093" w:rsidRDefault="0074421D" w:rsidP="009A2C03">
            <w:pPr>
              <w:tabs>
                <w:tab w:val="center" w:pos="1701"/>
                <w:tab w:val="center" w:pos="7088"/>
              </w:tabs>
              <w:spacing w:after="0" w:line="240" w:lineRule="auto"/>
              <w:jc w:val="right"/>
              <w:rPr>
                <w:b/>
                <w:bCs/>
                <w:sz w:val="32"/>
                <w:szCs w:val="32"/>
              </w:rPr>
            </w:pPr>
            <w:r>
              <w:rPr>
                <w:noProof/>
                <w:lang w:val="en-US"/>
              </w:rPr>
              <w:drawing>
                <wp:inline distT="0" distB="0" distL="0" distR="0" wp14:anchorId="52221F0B" wp14:editId="4FC44152">
                  <wp:extent cx="2547258" cy="1099659"/>
                  <wp:effectExtent l="0" t="0" r="5715" b="0"/>
                  <wp:docPr id="21134321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69702" cy="1109348"/>
                          </a:xfrm>
                          <a:prstGeom prst="rect">
                            <a:avLst/>
                          </a:prstGeom>
                          <a:noFill/>
                          <a:ln>
                            <a:noFill/>
                          </a:ln>
                        </pic:spPr>
                      </pic:pic>
                    </a:graphicData>
                  </a:graphic>
                </wp:inline>
              </w:drawing>
            </w:r>
          </w:p>
        </w:tc>
      </w:tr>
      <w:tr w:rsidR="00662A7F" w:rsidRPr="009A2C03" w14:paraId="58BCCCBA" w14:textId="77777777" w:rsidTr="0018120C">
        <w:tc>
          <w:tcPr>
            <w:tcW w:w="5130" w:type="dxa"/>
          </w:tcPr>
          <w:p w14:paraId="459F839F" w14:textId="4D834156" w:rsidR="00662A7F" w:rsidRPr="009A2C03" w:rsidRDefault="00662A7F" w:rsidP="009A2C03">
            <w:pPr>
              <w:tabs>
                <w:tab w:val="center" w:pos="1701"/>
                <w:tab w:val="center" w:pos="7088"/>
              </w:tabs>
              <w:spacing w:after="0" w:line="240" w:lineRule="auto"/>
              <w:ind w:left="-558" w:right="1698"/>
              <w:jc w:val="center"/>
              <w:rPr>
                <w:b/>
                <w:bCs/>
                <w:sz w:val="22"/>
              </w:rPr>
            </w:pPr>
            <w:r>
              <w:rPr>
                <w:b/>
                <w:bCs/>
                <w:sz w:val="22"/>
              </w:rPr>
              <w:t>UNIVERSITE LIBANAISE</w:t>
              <w:br/>
              <w:t>Faculté de Génie</w:t>
            </w:r>
          </w:p>
        </w:tc>
        <w:tc>
          <w:tcPr>
            <w:tcW w:w="5112" w:type="dxa"/>
          </w:tcPr>
          <w:p w14:paraId="372D1CF6" w14:textId="10A7FB4E" w:rsidR="00662A7F" w:rsidRPr="009A2C03" w:rsidRDefault="00662A7F" w:rsidP="009A2C03">
            <w:pPr>
              <w:tabs>
                <w:tab w:val="center" w:pos="1701"/>
                <w:tab w:val="center" w:pos="7088"/>
              </w:tabs>
              <w:spacing w:after="0" w:line="240" w:lineRule="auto"/>
              <w:ind w:left="-114"/>
              <w:jc w:val="center"/>
              <w:rPr>
                <w:b/>
                <w:bCs/>
                <w:sz w:val="22"/>
              </w:rPr>
            </w:pPr>
            <w:r>
              <w:rPr>
                <w:b/>
                <w:bCs/>
                <w:sz w:val="22"/>
              </w:rPr>
              <w:t xml:space="preserve">UNIVERSITE SAINT-JOSEPH DE BEYROUTH</w:t>
              <w:br/>
              <w:t>Ecole Supérieure d’Ingénieurs de Beyrouth</w:t>
            </w:r>
          </w:p>
        </w:tc>
      </w:tr>
    </w:tbl>
    <w:p w14:paraId="06A016CF" w14:textId="77777777" w:rsidR="00662A7F" w:rsidRPr="009A2C03" w:rsidRDefault="00662A7F" w:rsidP="00662A7F">
      <w:pPr>
        <w:tabs>
          <w:tab w:val="center" w:pos="1701"/>
          <w:tab w:val="center" w:pos="7088"/>
        </w:tabs>
        <w:ind w:left="-90"/>
        <w:rPr>
          <w:b/>
          <w:bCs/>
          <w:sz w:val="28"/>
          <w:szCs w:val="28"/>
        </w:rPr>
      </w:pPr>
    </w:p>
    <w:p w14:paraId="4697BD45" w14:textId="77777777" w:rsidR="00662A7F" w:rsidRDefault="00662A7F" w:rsidP="00662A7F">
      <w:pPr>
        <w:tabs>
          <w:tab w:val="center" w:pos="1701"/>
          <w:tab w:val="center" w:pos="7088"/>
        </w:tabs>
      </w:pPr>
    </w:p>
    <w:p w14:paraId="4644D124" w14:textId="77777777" w:rsidR="00662A7F" w:rsidRPr="007642B6" w:rsidRDefault="00662A7F" w:rsidP="00662A7F">
      <w:pPr>
        <w:tabs>
          <w:tab w:val="center" w:pos="1701"/>
          <w:tab w:val="center" w:pos="7088"/>
        </w:tabs>
      </w:pPr>
    </w:p>
    <w:p w14:paraId="59181A15" w14:textId="77777777" w:rsidR="00662A7F" w:rsidRPr="007642B6" w:rsidRDefault="00662A7F" w:rsidP="00662A7F">
      <w:pPr>
        <w:overflowPunct w:val="0"/>
        <w:autoSpaceDE w:val="0"/>
        <w:autoSpaceDN w:val="0"/>
        <w:adjustRightInd w:val="0"/>
        <w:textAlignment w:val="baseline"/>
      </w:pPr>
    </w:p>
    <w:p w14:paraId="0CAD86D3" w14:textId="77777777" w:rsidR="00662A7F" w:rsidRPr="003170B9" w:rsidRDefault="00662A7F" w:rsidP="00662A7F">
      <w:pPr>
        <w:pStyle w:val="Default"/>
        <w:jc w:val="center"/>
        <w:rPr>
          <w:sz w:val="36"/>
          <w:szCs w:val="36"/>
        </w:rPr>
      </w:pPr>
      <w:r>
        <w:rPr>
          <w:b/>
          <w:bCs/>
          <w:sz w:val="36"/>
          <w:szCs w:val="36"/>
        </w:rPr>
        <w:t>Rapport de stage Master 2 Recherche</w:t>
      </w:r>
    </w:p>
    <w:p w14:paraId="781A1568" w14:textId="77777777" w:rsidR="00662A7F" w:rsidRPr="003170B9" w:rsidRDefault="00662A7F" w:rsidP="00662A7F">
      <w:pPr>
        <w:pStyle w:val="Default"/>
        <w:jc w:val="center"/>
        <w:rPr>
          <w:sz w:val="36"/>
          <w:szCs w:val="36"/>
        </w:rPr>
      </w:pPr>
      <w:r>
        <w:rPr>
          <w:sz w:val="36"/>
          <w:szCs w:val="36"/>
        </w:rPr>
        <w:t>Pour l’obtention du diplôme Master Recherche en</w:t>
      </w:r>
    </w:p>
    <w:p w14:paraId="1BB41EEF" w14:textId="331163E0" w:rsidR="00662A7F" w:rsidRPr="003170B9" w:rsidRDefault="007A02AA" w:rsidP="00662A7F">
      <w:pPr>
        <w:pStyle w:val="Default"/>
        <w:jc w:val="center"/>
        <w:rPr>
          <w:sz w:val="32"/>
          <w:szCs w:val="32"/>
        </w:rPr>
      </w:pPr>
      <w:r>
        <w:rPr>
          <w:b/>
          <w:bCs/>
          <w:sz w:val="32"/>
          <w:szCs w:val="32"/>
        </w:rPr>
        <w:t>Télécoms, Réseaux et Sécurité</w:t>
      </w:r>
    </w:p>
    <w:p w14:paraId="68137CE1" w14:textId="77777777" w:rsidR="00662A7F" w:rsidRDefault="00662A7F" w:rsidP="00662A7F">
      <w:pPr>
        <w:pStyle w:val="Default"/>
        <w:rPr>
          <w:b/>
          <w:bCs/>
          <w:sz w:val="36"/>
          <w:szCs w:val="36"/>
        </w:rPr>
      </w:pPr>
    </w:p>
    <w:p w14:paraId="4EAABD92" w14:textId="77777777" w:rsidR="00662A7F" w:rsidRDefault="00662A7F" w:rsidP="00662A7F">
      <w:pPr>
        <w:pStyle w:val="Default"/>
        <w:rPr>
          <w:b/>
          <w:bCs/>
          <w:sz w:val="36"/>
          <w:szCs w:val="36"/>
        </w:rPr>
      </w:pPr>
    </w:p>
    <w:p w14:paraId="07377138" w14:textId="77777777" w:rsidR="00662A7F" w:rsidRDefault="00662A7F" w:rsidP="00662A7F">
      <w:pPr>
        <w:pStyle w:val="Default"/>
        <w:rPr>
          <w:b/>
          <w:bCs/>
          <w:sz w:val="36"/>
          <w:szCs w:val="36"/>
        </w:rPr>
      </w:pPr>
    </w:p>
    <w:p w14:paraId="74FF2963" w14:textId="77777777" w:rsidR="00662A7F" w:rsidRPr="003170B9" w:rsidRDefault="00662A7F" w:rsidP="00662A7F">
      <w:pPr>
        <w:pStyle w:val="Default"/>
        <w:jc w:val="center"/>
        <w:rPr>
          <w:b/>
          <w:bCs/>
          <w:sz w:val="40"/>
          <w:szCs w:val="40"/>
        </w:rPr>
      </w:pPr>
      <w:r>
        <w:rPr>
          <w:b/>
          <w:bCs/>
          <w:sz w:val="40"/>
          <w:szCs w:val="40"/>
        </w:rPr>
        <w:t>(Titre du mémoire)</w:t>
      </w:r>
    </w:p>
    <w:p w14:paraId="7BE3B612" w14:textId="77777777" w:rsidR="00662A7F" w:rsidRPr="003170B9" w:rsidRDefault="00662A7F" w:rsidP="00662A7F">
      <w:pPr>
        <w:pStyle w:val="Default"/>
        <w:jc w:val="center"/>
        <w:rPr>
          <w:sz w:val="40"/>
          <w:szCs w:val="40"/>
        </w:rPr>
      </w:pPr>
    </w:p>
    <w:p w14:paraId="69CCBB29" w14:textId="77777777" w:rsidR="00662A7F" w:rsidRDefault="00662A7F" w:rsidP="00662A7F">
      <w:pPr>
        <w:pStyle w:val="Default"/>
        <w:jc w:val="center"/>
      </w:pPr>
      <w:r>
        <w:t>Par</w:t>
      </w:r>
    </w:p>
    <w:p w14:paraId="6E350003" w14:textId="77777777" w:rsidR="00662A7F" w:rsidRPr="003170B9" w:rsidRDefault="00662A7F" w:rsidP="00662A7F">
      <w:pPr>
        <w:pStyle w:val="Default"/>
        <w:jc w:val="center"/>
      </w:pPr>
    </w:p>
    <w:p w14:paraId="024E776B" w14:textId="687D5A54" w:rsidR="00662A7F" w:rsidRDefault="00662A7F" w:rsidP="0029235E">
      <w:pPr>
        <w:pStyle w:val="Default"/>
        <w:jc w:val="center"/>
        <w:rPr>
          <w:b/>
          <w:bCs/>
          <w:sz w:val="32"/>
          <w:szCs w:val="32"/>
        </w:rPr>
      </w:pPr>
      <w:r>
        <w:rPr>
          <w:b/>
          <w:bCs/>
          <w:sz w:val="32"/>
          <w:szCs w:val="32"/>
        </w:rPr>
        <w:t xml:space="preserve">(Gerges Samir El Kai)</w:t>
      </w:r>
    </w:p>
    <w:p w14:paraId="1747EEF5" w14:textId="77777777" w:rsidR="00662A7F" w:rsidRDefault="00662A7F" w:rsidP="00662A7F">
      <w:pPr>
        <w:pStyle w:val="Default"/>
        <w:jc w:val="center"/>
        <w:rPr>
          <w:b/>
          <w:bCs/>
          <w:sz w:val="32"/>
          <w:szCs w:val="32"/>
        </w:rPr>
      </w:pPr>
    </w:p>
    <w:p w14:paraId="3DA6F17E" w14:textId="77777777" w:rsidR="00662A7F" w:rsidRDefault="00662A7F" w:rsidP="00662A7F">
      <w:pPr>
        <w:pStyle w:val="Default"/>
        <w:jc w:val="center"/>
        <w:rPr>
          <w:b/>
          <w:bCs/>
          <w:sz w:val="32"/>
          <w:szCs w:val="32"/>
        </w:rPr>
      </w:pPr>
    </w:p>
    <w:p w14:paraId="488B3A00" w14:textId="31F3675E" w:rsidR="00662A7F" w:rsidRPr="00855A58" w:rsidRDefault="00662A7F" w:rsidP="0029235E">
      <w:pPr>
        <w:pStyle w:val="Default"/>
        <w:rPr>
          <w:b/>
          <w:bCs/>
          <w:sz w:val="28"/>
          <w:szCs w:val="28"/>
        </w:rPr>
      </w:pPr>
      <w:r>
        <w:rPr>
          <w:sz w:val="28"/>
          <w:szCs w:val="28"/>
        </w:rPr>
        <w:t xml:space="preserve">Encadré par : </w:t>
      </w:r>
      <w:r>
        <w:rPr>
          <w:b/>
          <w:bCs/>
          <w:sz w:val="28"/>
          <w:szCs w:val="28"/>
        </w:rPr>
        <w:t xml:space="preserve">Dr. Hassan Osman</w:t>
      </w:r>
    </w:p>
    <w:p w14:paraId="203CF9EE" w14:textId="77777777" w:rsidR="00662A7F" w:rsidRPr="00855A58" w:rsidRDefault="00662A7F" w:rsidP="00662A7F">
      <w:pPr>
        <w:pStyle w:val="Default"/>
        <w:rPr>
          <w:sz w:val="28"/>
          <w:szCs w:val="28"/>
        </w:rPr>
      </w:pPr>
    </w:p>
    <w:p w14:paraId="5E4CD076" w14:textId="77777777" w:rsidR="00662A7F" w:rsidRDefault="00662A7F" w:rsidP="00662A7F">
      <w:pPr>
        <w:pStyle w:val="Default"/>
        <w:rPr>
          <w:sz w:val="28"/>
          <w:szCs w:val="28"/>
        </w:rPr>
      </w:pPr>
      <w:r>
        <w:rPr>
          <w:sz w:val="28"/>
          <w:szCs w:val="28"/>
        </w:rPr>
        <w:t xml:space="preserve">Soutenance effectuée le (date de la soutenance) devant le jury composé des membres du comité scientifique du master, de l’encadrant et de :</w:t>
      </w:r>
    </w:p>
    <w:p w14:paraId="43E63721" w14:textId="77777777" w:rsidR="00662A7F" w:rsidRDefault="00662A7F" w:rsidP="00662A7F">
      <w:pPr>
        <w:pStyle w:val="Default"/>
        <w:rPr>
          <w:sz w:val="28"/>
          <w:szCs w:val="28"/>
        </w:rPr>
      </w:pPr>
      <w:r>
        <w:rPr>
          <w:sz w:val="28"/>
          <w:szCs w:val="28"/>
        </w:rPr>
        <w:t xml:space="preserve">(nom de l’évaluateur) en tant que rapporteur</w:t>
      </w:r>
    </w:p>
    <w:p w14:paraId="71DDB4EB" w14:textId="77777777" w:rsidR="00662A7F" w:rsidRDefault="00662A7F" w:rsidP="00662A7F">
      <w:pPr>
        <w:pStyle w:val="Default"/>
        <w:rPr>
          <w:sz w:val="28"/>
          <w:szCs w:val="28"/>
        </w:rPr>
      </w:pPr>
      <w:r>
        <w:rPr>
          <w:sz w:val="28"/>
          <w:szCs w:val="28"/>
        </w:rPr>
        <w:t xml:space="preserve">(nom du membre) en tant que membre invité</w:t>
      </w:r>
    </w:p>
    <w:p w14:paraId="12AD4C8C" w14:textId="77777777" w:rsidR="0068103A" w:rsidRDefault="0068103A">
      <w:pPr>
        <w:jc w:val="left"/>
        <w:rPr>
          <w:sz w:val="28"/>
          <w:szCs w:val="28"/>
        </w:rPr>
      </w:pPr>
    </w:p>
    <w:p w14:paraId="671A14A4" w14:textId="77777777" w:rsidR="0068103A" w:rsidRPr="007642B6" w:rsidRDefault="0068103A" w:rsidP="0068103A">
      <w:pPr>
        <w:tabs>
          <w:tab w:val="center" w:pos="1701"/>
          <w:tab w:val="center" w:pos="7088"/>
        </w:tabs>
      </w:pPr>
    </w:p>
    <w:p w14:paraId="6E96C891" w14:textId="77777777" w:rsidR="0068103A" w:rsidRPr="007642B6" w:rsidRDefault="0068103A" w:rsidP="0068103A">
      <w:pPr>
        <w:overflowPunct w:val="0"/>
        <w:autoSpaceDE w:val="0"/>
        <w:autoSpaceDN w:val="0"/>
        <w:adjustRightInd w:val="0"/>
        <w:textAlignment w:val="baseline"/>
      </w:pPr>
    </w:p>
    <w:p w14:paraId="3F3F6DF4" w14:textId="77777777" w:rsidR="0068103A" w:rsidRDefault="0068103A">
      <w:pPr>
        <w:jc w:val="left"/>
        <w:rPr>
          <w:rFonts w:ascii="Calibri" w:hAnsi="Calibri" w:cs="Calibri"/>
          <w:b/>
          <w:bCs/>
          <w:color w:val="000000"/>
          <w:sz w:val="36"/>
          <w:szCs w:val="36"/>
        </w:rPr>
      </w:pPr>
      <w:r>
        <w:rPr>
          <w:b/>
          <w:bCs/>
          <w:sz w:val="36"/>
          <w:szCs w:val="36"/>
        </w:rPr>
        <w:br w:type="page"/>
      </w:r>
    </w:p>
    <w:p w14:paraId="66471160" w14:textId="77777777" w:rsidR="00417BBC" w:rsidRPr="007F29AA" w:rsidRDefault="00417BBC" w:rsidP="00417BBC">
      <w:pPr>
        <w:pStyle w:val="Default"/>
        <w:jc w:val="center"/>
        <w:rPr>
          <w:b/>
          <w:bCs/>
          <w:sz w:val="36"/>
          <w:szCs w:val="36"/>
          <w:lang w:val="en-US"/>
        </w:rPr>
      </w:pPr>
      <w:r>
        <w:rPr>
          <w:b/>
          <w:bCs/>
          <w:sz w:val="36"/>
          <w:szCs w:val="36"/>
          <w:lang w:val="en-US"/>
        </w:rPr>
        <w:lastRenderedPageBreak/>
        <w:t>Master 2 Research Internship Report</w:t>
      </w:r>
    </w:p>
    <w:p w14:paraId="4F728091" w14:textId="77777777" w:rsidR="00417BBC" w:rsidRPr="008C1E11" w:rsidRDefault="00417BBC" w:rsidP="00417BBC">
      <w:pPr>
        <w:jc w:val="center"/>
        <w:rPr>
          <w:rFonts w:ascii="Calibri" w:hAnsi="Calibri" w:cs="Calibri"/>
          <w:color w:val="000000"/>
          <w:sz w:val="36"/>
          <w:szCs w:val="36"/>
          <w:lang w:val="en-US"/>
        </w:rPr>
      </w:pPr>
      <w:r>
        <w:rPr>
          <w:rFonts w:ascii="Calibri" w:hAnsi="Calibri" w:cs="Calibri"/>
          <w:color w:val="000000"/>
          <w:sz w:val="36"/>
          <w:szCs w:val="36"/>
          <w:lang w:val="en-US"/>
        </w:rPr>
        <w:t>For the fulfillment of the requirements of the Research Master's Degree in</w:t>
      </w:r>
    </w:p>
    <w:p w14:paraId="76BB1BB4" w14:textId="3A34570E" w:rsidR="00417BBC" w:rsidRDefault="004554C1" w:rsidP="00417BBC">
      <w:pPr>
        <w:jc w:val="center"/>
        <w:rPr>
          <w:rFonts w:ascii="Calibri" w:hAnsi="Calibri" w:cs="Calibri"/>
          <w:b/>
          <w:bCs/>
          <w:color w:val="000000"/>
          <w:sz w:val="36"/>
          <w:szCs w:val="36"/>
          <w:lang w:val="en-US"/>
        </w:rPr>
      </w:pPr>
      <w:r>
        <w:rPr>
          <w:rFonts w:ascii="Calibri" w:hAnsi="Calibri" w:cs="Calibri"/>
          <w:b/>
          <w:bCs/>
          <w:color w:val="000000"/>
          <w:sz w:val="36"/>
          <w:szCs w:val="36"/>
          <w:lang w:val="en-US"/>
        </w:rPr>
        <w:t>Telecoms, Networks and Security</w:t>
      </w:r>
    </w:p>
    <w:p w14:paraId="3C2F66EF" w14:textId="77777777" w:rsidR="00417BBC" w:rsidRPr="00417BBC" w:rsidRDefault="00417BBC" w:rsidP="00417BBC">
      <w:pPr>
        <w:jc w:val="center"/>
        <w:rPr>
          <w:rFonts w:ascii="Calibri" w:hAnsi="Calibri" w:cs="Calibri"/>
          <w:color w:val="000000"/>
          <w:sz w:val="36"/>
          <w:szCs w:val="36"/>
          <w:lang w:val="en-US"/>
        </w:rPr>
      </w:pPr>
    </w:p>
    <w:p w14:paraId="0322D137" w14:textId="77777777" w:rsidR="00417BBC" w:rsidRPr="00417BBC" w:rsidRDefault="00417BBC" w:rsidP="00417BBC">
      <w:pPr>
        <w:jc w:val="center"/>
        <w:rPr>
          <w:rFonts w:ascii="Calibri" w:hAnsi="Calibri" w:cs="Calibri"/>
          <w:b/>
          <w:bCs/>
          <w:color w:val="000000"/>
          <w:sz w:val="36"/>
          <w:szCs w:val="36"/>
          <w:lang w:val="en-US"/>
        </w:rPr>
      </w:pPr>
      <w:r>
        <w:rPr>
          <w:rFonts w:ascii="Calibri" w:hAnsi="Calibri" w:cs="Calibri"/>
          <w:b/>
          <w:bCs/>
          <w:color w:val="000000"/>
          <w:sz w:val="36"/>
          <w:szCs w:val="36"/>
          <w:lang w:val="en-US"/>
        </w:rPr>
        <w:t>(Thesis Title)</w:t>
      </w:r>
    </w:p>
    <w:p w14:paraId="69C0D22A" w14:textId="2B4E423B" w:rsidR="00417BBC" w:rsidRPr="007F29AA" w:rsidRDefault="00417BBC" w:rsidP="00417BBC">
      <w:pPr>
        <w:pStyle w:val="Default"/>
        <w:jc w:val="center"/>
        <w:rPr>
          <w:lang w:val="en-US"/>
        </w:rPr>
      </w:pPr>
      <w:r>
        <w:rPr>
          <w:lang w:val="en-US"/>
        </w:rPr>
        <w:t>Prepared by</w:t>
      </w:r>
    </w:p>
    <w:p w14:paraId="254B9564" w14:textId="614A23D7" w:rsidR="00417BBC" w:rsidRPr="007F29AA" w:rsidRDefault="00417BBC" w:rsidP="0029235E">
      <w:pPr>
        <w:jc w:val="center"/>
        <w:rPr>
          <w:rFonts w:ascii="Calibri" w:hAnsi="Calibri" w:cs="Calibri"/>
          <w:b/>
          <w:bCs/>
          <w:color w:val="000000"/>
          <w:sz w:val="32"/>
          <w:szCs w:val="32"/>
          <w:lang w:val="en-US"/>
        </w:rPr>
      </w:pPr>
      <w:r>
        <w:rPr>
          <w:rFonts w:ascii="Calibri" w:hAnsi="Calibri" w:cs="Calibri"/>
          <w:b/>
          <w:bCs/>
          <w:color w:val="000000"/>
          <w:sz w:val="32"/>
          <w:szCs w:val="32"/>
          <w:lang w:val="en-US"/>
        </w:rPr>
        <w:t xml:space="preserve">(Gerges Samir El Kai)</w:t>
      </w:r>
    </w:p>
    <w:p w14:paraId="100B6FE3" w14:textId="77777777" w:rsidR="00417BBC" w:rsidRPr="007F29AA" w:rsidRDefault="00417BBC" w:rsidP="00417BBC">
      <w:pPr>
        <w:rPr>
          <w:rFonts w:ascii="Calibri" w:hAnsi="Calibri" w:cs="Calibri"/>
          <w:color w:val="000000"/>
          <w:sz w:val="28"/>
          <w:szCs w:val="28"/>
          <w:lang w:val="en-US"/>
        </w:rPr>
      </w:pPr>
    </w:p>
    <w:p w14:paraId="5FAED8AB" w14:textId="1493B941" w:rsidR="00417BBC" w:rsidRPr="008C1E11" w:rsidRDefault="0029235E" w:rsidP="0029235E">
      <w:pPr>
        <w:rPr>
          <w:rFonts w:ascii="Calibri" w:hAnsi="Calibri" w:cs="Calibri"/>
          <w:color w:val="000000"/>
          <w:sz w:val="28"/>
          <w:szCs w:val="28"/>
          <w:lang w:val="en-US"/>
        </w:rPr>
      </w:pPr>
      <w:r>
        <w:rPr>
          <w:rFonts w:ascii="Calibri" w:hAnsi="Calibri" w:cs="Calibri"/>
          <w:color w:val="000000"/>
          <w:sz w:val="28"/>
          <w:szCs w:val="28"/>
          <w:lang w:val="en-US"/>
        </w:rPr>
        <w:t xml:space="preserve">Supervised by: </w:t>
      </w:r>
      <w:r>
        <w:rPr>
          <w:rFonts w:ascii="Calibri" w:hAnsi="Calibri" w:cs="Calibri"/>
          <w:b/>
          <w:bCs/>
          <w:color w:val="000000"/>
          <w:sz w:val="28"/>
          <w:szCs w:val="28"/>
          <w:lang w:val="en-US"/>
        </w:rPr>
        <w:t xml:space="preserve">Prof. Osman Hassan  Real Wireless, London, UK</w:t>
      </w:r>
    </w:p>
    <w:p w14:paraId="51BB12EE" w14:textId="29D527DE" w:rsidR="00417BBC" w:rsidRPr="000A1050" w:rsidRDefault="00417BBC" w:rsidP="0035613A">
      <w:pPr>
        <w:spacing w:after="0" w:line="240" w:lineRule="auto"/>
        <w:rPr>
          <w:rFonts w:ascii="Calibri" w:hAnsi="Calibri" w:cs="Calibri"/>
          <w:color w:val="000000"/>
          <w:sz w:val="28"/>
          <w:szCs w:val="28"/>
          <w:lang w:val="en-US"/>
        </w:rPr>
      </w:pPr>
      <w:r>
        <w:rPr>
          <w:rFonts w:ascii="Calibri" w:hAnsi="Calibri" w:cs="Calibri"/>
          <w:color w:val="000000"/>
          <w:sz w:val="28"/>
          <w:szCs w:val="28"/>
          <w:lang w:val="en-US"/>
        </w:rPr>
        <w:t>Defense conducted on (</w:t>
      </w:r>
      <w:r>
        <w:rPr>
          <w:rFonts w:ascii="Calibri" w:hAnsi="Calibri" w:cs="Calibri"/>
          <w:b/>
          <w:bCs/>
          <w:color w:val="000000"/>
          <w:sz w:val="28"/>
          <w:szCs w:val="28"/>
          <w:lang w:val="en-US"/>
        </w:rPr>
        <w:t>date of defense</w:t>
      </w:r>
      <w:r>
        <w:rPr>
          <w:rFonts w:ascii="Calibri" w:hAnsi="Calibri" w:cs="Calibri"/>
          <w:color w:val="000000"/>
          <w:sz w:val="28"/>
          <w:szCs w:val="28"/>
          <w:lang w:val="en-US"/>
        </w:rPr>
        <w:t xml:space="preserve">) in the presence of a jury composed of the members of the scientific committee of the Master’s program, the supervisor, and:</w:t>
      </w:r>
    </w:p>
    <w:p w14:paraId="63CF24EA" w14:textId="77777777" w:rsidR="00417BBC" w:rsidRPr="000A1050" w:rsidRDefault="00417BBC" w:rsidP="0035613A">
      <w:pPr>
        <w:spacing w:after="0" w:line="240" w:lineRule="auto"/>
        <w:rPr>
          <w:rFonts w:ascii="Calibri" w:hAnsi="Calibri" w:cs="Calibri"/>
          <w:color w:val="000000"/>
          <w:sz w:val="28"/>
          <w:szCs w:val="28"/>
          <w:lang w:val="en-US"/>
        </w:rPr>
      </w:pPr>
      <w:r>
        <w:rPr>
          <w:rFonts w:ascii="Calibri" w:hAnsi="Calibri" w:cs="Calibri"/>
          <w:color w:val="000000"/>
          <w:sz w:val="28"/>
          <w:szCs w:val="28"/>
          <w:lang w:val="en-US"/>
        </w:rPr>
        <w:t>(Evaluator’s Name), serving as rapporteur</w:t>
      </w:r>
    </w:p>
    <w:p w14:paraId="37F5CC00" w14:textId="77777777" w:rsidR="000A1050" w:rsidRPr="007F29AA" w:rsidRDefault="00417BBC" w:rsidP="0035613A">
      <w:pPr>
        <w:spacing w:after="0" w:line="240" w:lineRule="auto"/>
        <w:jc w:val="left"/>
        <w:rPr>
          <w:rFonts w:ascii="Calibri" w:hAnsi="Calibri" w:cs="Calibri"/>
          <w:color w:val="000000"/>
          <w:sz w:val="28"/>
          <w:szCs w:val="28"/>
          <w:lang w:val="en-US"/>
        </w:rPr>
      </w:pPr>
      <w:r>
        <w:rPr>
          <w:rFonts w:ascii="Calibri" w:hAnsi="Calibri" w:cs="Calibri"/>
          <w:color w:val="000000"/>
          <w:sz w:val="28"/>
          <w:szCs w:val="28"/>
          <w:lang w:val="en-US"/>
        </w:rPr>
        <w:t>(Member’s Name), serving as invited member</w:t>
      </w:r>
    </w:p>
    <w:p w14:paraId="0D9ABDD0" w14:textId="104E5266" w:rsidR="005C0896" w:rsidRPr="00417BBC" w:rsidRDefault="005C0896" w:rsidP="00417BBC">
      <w:pPr>
        <w:jc w:val="left"/>
        <w:rPr>
          <w:sz w:val="28"/>
          <w:szCs w:val="28"/>
          <w:lang w:val="en-US"/>
        </w:rPr>
      </w:pPr>
    </w:p>
    <w:p w14:paraId="6A4E0E41" w14:textId="77777777" w:rsidR="005C0896" w:rsidRPr="00417BBC" w:rsidRDefault="005C0896">
      <w:pPr>
        <w:jc w:val="left"/>
        <w:rPr>
          <w:sz w:val="28"/>
          <w:szCs w:val="28"/>
          <w:lang w:val="en-US"/>
        </w:rPr>
      </w:pPr>
    </w:p>
    <w:p w14:paraId="5C82C681" w14:textId="77777777" w:rsidR="005C0896" w:rsidRPr="00417BBC" w:rsidRDefault="005C0896">
      <w:pPr>
        <w:jc w:val="left"/>
        <w:rPr>
          <w:sz w:val="28"/>
          <w:szCs w:val="28"/>
          <w:lang w:val="en-US"/>
        </w:rPr>
        <w:sectPr w:rsidR="005C0896" w:rsidRPr="00417BBC" w:rsidSect="00662A7F">
          <w:headerReference w:type="default" r:id="rId14"/>
          <w:footerReference w:type="default" r:id="rId15"/>
          <w:pgSz w:w="11906" w:h="16838" w:code="9"/>
          <w:pgMar w:top="1190" w:right="1196" w:bottom="1440" w:left="1170" w:header="720" w:footer="197" w:gutter="0"/>
          <w:cols w:space="720"/>
          <w:titlePg/>
          <w:docGrid w:linePitch="360"/>
        </w:sectPr>
      </w:pPr>
    </w:p>
    <w:p w14:paraId="4EEC5A56" w14:textId="5C527526" w:rsidR="005C0896" w:rsidRPr="00417BBC" w:rsidRDefault="005C0896">
      <w:pPr>
        <w:jc w:val="left"/>
        <w:rPr>
          <w:rFonts w:ascii="Calibri" w:hAnsi="Calibri" w:cs="Calibri"/>
          <w:color w:val="000000"/>
          <w:sz w:val="28"/>
          <w:szCs w:val="28"/>
          <w:lang w:val="en-US"/>
        </w:rPr>
      </w:pPr>
    </w:p>
    <w:p w14:paraId="285696BC" w14:textId="77777777" w:rsidR="005C0896" w:rsidRPr="00417BBC" w:rsidRDefault="005C0896">
      <w:pPr>
        <w:jc w:val="left"/>
        <w:rPr>
          <w:rFonts w:ascii="Calibri" w:hAnsi="Calibri" w:cs="Calibri"/>
          <w:color w:val="000000"/>
          <w:sz w:val="28"/>
          <w:szCs w:val="28"/>
          <w:lang w:val="en-US"/>
        </w:rPr>
      </w:pPr>
    </w:p>
    <w:p w14:paraId="62651FD3" w14:textId="77777777" w:rsidR="005C0896" w:rsidRPr="00417BBC" w:rsidRDefault="005C0896" w:rsidP="00662A7F">
      <w:pPr>
        <w:pStyle w:val="Default"/>
        <w:rPr>
          <w:sz w:val="28"/>
          <w:szCs w:val="28"/>
          <w:lang w:val="en-US"/>
        </w:rPr>
      </w:pPr>
    </w:p>
    <w:p w14:paraId="5288EF8A" w14:textId="1836CFE9" w:rsidR="00134BAB" w:rsidRPr="00417BBC" w:rsidRDefault="00134BAB" w:rsidP="008E12B2">
      <w:pPr>
        <w:pStyle w:val="Subtitle"/>
        <w:rPr>
          <w:lang w:val="en-US" w:bidi="ar-LB"/>
        </w:rPr>
      </w:pPr>
      <w:r>
        <w:rPr>
          <w:lang w:val="en-US" w:bidi="ar-LB"/>
        </w:rPr>
        <w:br w:type="page"/>
      </w:r>
    </w:p>
    <w:p w14:paraId="60BE8A30" w14:textId="77777777" w:rsidR="00134BAB" w:rsidRPr="00814F65" w:rsidRDefault="00134BAB" w:rsidP="00134BAB">
      <w:pPr>
        <w:pStyle w:val="Heading1"/>
        <w:numPr>
          <w:ilvl w:val="0"/>
          <w:numId w:val="0"/>
        </w:numPr>
        <w:ind w:left="432" w:hanging="432"/>
        <w:jc w:val="center"/>
        <w:rPr>
          <w:lang w:bidi="ar-LB"/>
        </w:rPr>
      </w:pPr>
      <w:bookmarkStart w:id="0" w:name="_Toc238550969"/>
      <w:r>
        <w:rPr>
          <w:lang w:bidi="ar-LB"/>
        </w:rPr>
        <w:lastRenderedPageBreak/>
        <w:t>Résumé</w:t>
      </w:r>
      <w:bookmarkEnd w:id="0"/>
    </w:p>
    <w:p w14:paraId="4A5EA2A3" w14:textId="77777777" w:rsidR="00134BAB" w:rsidRPr="00814F65" w:rsidRDefault="00134BAB" w:rsidP="000473D6">
      <w:pPr>
        <w:rPr>
          <w:lang w:bidi="ar-LB"/>
        </w:rPr>
      </w:pPr>
    </w:p>
    <w:p w14:paraId="3105A4C6" w14:textId="77777777" w:rsidR="00875F19" w:rsidRPr="00875F19" w:rsidRDefault="00875F19" w:rsidP="00875F19">
      <w:pPr>
        <w:pStyle w:val="NormalWeb"/>
        <w:jc w:val="both"/>
        <w:rPr>
          <w:rFonts w:ascii="Arial" w:hAnsi="Arial" w:cs="Arial"/>
          <w:sz w:val="20"/>
          <w:szCs w:val="20"/>
        </w:rPr>
      </w:pPr>
      <w:r>
        <w:rPr>
          <w:rStyle w:val="font-ligatures-none"/>
          <w:rFonts w:ascii="Arial" w:hAnsi="Arial" w:cs="Arial"/>
          <w:sz w:val="20"/>
          <w:szCs w:val="20"/>
        </w:rPr>
        <w:t xml:space="preserve">La planification précise des réseaux sans fil dans les environnements urbains denses demeure un défi majeur, en particulier dans les villes caractérisées par des matériaux de construction irréguliers, des tracés de rues complexes et des géométries architecturales variées. Les modèles de propagation conventionnels tels que Free</w:t>
        <w:noBreakHyphen/>
        <w:t>Space Path Loss (FSPL), COST</w:t>
        <w:noBreakHyphen/>
        <w:t xml:space="preserve">231 et Okumura–Hata offrent une efficacité computationnelle mais reposent sur des hypothèses empiriques qui ne parviennent pas à saisir les interactions électromagnétiques complexes des environnements urbains réels. À mesure que les systèmes sans fil évoluent vers des déploiements haute fréquence et haute densité pour la 5G et au</w:t>
        <w:noBreakHyphen/>
        <w:t xml:space="preserve">delà, le besoin de modèles physiques sensibles à la géométrie devient de plus en plus critique.</w:t>
      </w:r>
    </w:p>
    <w:p w14:paraId="408F0CA8" w14:textId="77777777" w:rsidR="00875F19" w:rsidRPr="00875F19" w:rsidRDefault="00875F19" w:rsidP="00875F19">
      <w:pPr>
        <w:pStyle w:val="NormalWeb"/>
        <w:jc w:val="both"/>
        <w:rPr>
          <w:rFonts w:ascii="Arial" w:hAnsi="Arial" w:cs="Arial"/>
          <w:sz w:val="20"/>
          <w:szCs w:val="20"/>
        </w:rPr>
      </w:pPr>
      <w:r>
        <w:rPr>
          <w:rStyle w:val="font-ligatures-none"/>
          <w:rFonts w:ascii="Arial" w:hAnsi="Arial" w:cs="Arial"/>
          <w:sz w:val="20"/>
          <w:szCs w:val="20"/>
        </w:rPr>
        <w:t xml:space="preserve">Cette thèse explore les techniques déterministes de </w:t>
      </w:r>
      <w:r>
        <w:rPr>
          <w:rStyle w:val="Strong"/>
          <w:rFonts w:ascii="Arial" w:hAnsi="Arial" w:cs="Arial"/>
          <w:b w:val="0"/>
          <w:bCs w:val="0"/>
          <w:sz w:val="20"/>
          <w:szCs w:val="20"/>
        </w:rPr>
        <w:t>Ray Tracing (RT)</w:t>
      </w:r>
      <w:r>
        <w:rPr>
          <w:rStyle w:val="font-ligatures-none"/>
          <w:rFonts w:ascii="Arial" w:hAnsi="Arial" w:cs="Arial"/>
          <w:sz w:val="20"/>
          <w:szCs w:val="20"/>
        </w:rPr>
        <w:t xml:space="preserve"> pour générer des cartes radio environnementales haute résolution en utilisant le framework open</w:t>
        <w:noBreakHyphen/>
        <w:t xml:space="preserve">source </w:t>
      </w:r>
      <w:r>
        <w:rPr>
          <w:rStyle w:val="Strong"/>
          <w:rFonts w:ascii="Arial" w:hAnsi="Arial" w:cs="Arial"/>
          <w:b w:val="0"/>
          <w:bCs w:val="0"/>
          <w:sz w:val="20"/>
          <w:szCs w:val="20"/>
        </w:rPr>
        <w:t xml:space="preserve">Sionna RT</w:t>
      </w:r>
      <w:r>
        <w:rPr>
          <w:rStyle w:val="font-ligatures-none"/>
          <w:rFonts w:ascii="Arial" w:hAnsi="Arial" w:cs="Arial"/>
          <w:sz w:val="20"/>
          <w:szCs w:val="20"/>
        </w:rPr>
        <w:t xml:space="preserve"> de NVIDIA. L’étude se concentre sur des régions urbaines et rurales du Royaume</w:t>
        <w:noBreakHyphen/>
        <w:t xml:space="preserve">Uni, où la densité des bâtiments, l’étroitesse des rues et l’hétérogénéité des matériaux créent des conditions de propagation particulièrement complexes. En intégrant les données LiDAR de l’Environment Agency, les empreintes de bâtiments d’OpenStreetMap, les modèles de canopée végétale dérivés du LiDAR, les surfaces routières et les plans d’eau, la méthodologie construit des scènes géométriquement fidèles. </w:t>
      </w:r>
      <w:r>
        <w:rPr>
          <w:rStyle w:val="Strong"/>
          <w:rFonts w:ascii="Arial" w:hAnsi="Arial" w:cs="Arial"/>
          <w:b w:val="0"/>
          <w:bCs w:val="0"/>
          <w:sz w:val="20"/>
          <w:szCs w:val="20"/>
        </w:rPr>
        <w:t>Dr.Jit</w:t>
      </w:r>
      <w:r>
        <w:rPr>
          <w:rStyle w:val="font-ligatures-none"/>
          <w:rFonts w:ascii="Arial" w:hAnsi="Arial" w:cs="Arial"/>
          <w:sz w:val="20"/>
          <w:szCs w:val="20"/>
        </w:rPr>
        <w:t xml:space="preserve"> est utilisé pour le calcul différentiable, tandis que </w:t>
      </w:r>
      <w:r>
        <w:rPr>
          <w:rStyle w:val="Strong"/>
          <w:rFonts w:ascii="Arial" w:hAnsi="Arial" w:cs="Arial"/>
          <w:b w:val="0"/>
          <w:bCs w:val="0"/>
          <w:sz w:val="20"/>
          <w:szCs w:val="20"/>
        </w:rPr>
        <w:t>Mitsuba 3</w:t>
      </w:r>
      <w:r>
        <w:rPr>
          <w:rStyle w:val="font-ligatures-none"/>
          <w:rFonts w:ascii="Arial" w:hAnsi="Arial" w:cs="Arial"/>
          <w:sz w:val="20"/>
          <w:szCs w:val="20"/>
        </w:rPr>
        <w:t xml:space="preserve"> assure le rendu physique réaliste.</w:t>
      </w:r>
    </w:p>
    <w:p w14:paraId="4AE562DF" w14:textId="77777777" w:rsidR="00875F19" w:rsidRPr="00875F19" w:rsidRDefault="00875F19" w:rsidP="00875F19">
      <w:pPr>
        <w:pStyle w:val="NormalWeb"/>
        <w:jc w:val="both"/>
        <w:rPr>
          <w:rFonts w:ascii="Arial" w:hAnsi="Arial" w:cs="Arial"/>
          <w:sz w:val="20"/>
          <w:szCs w:val="20"/>
        </w:rPr>
      </w:pPr>
      <w:r>
        <w:rPr>
          <w:rStyle w:val="font-ligatures-none"/>
          <w:rFonts w:ascii="Arial" w:hAnsi="Arial" w:cs="Arial"/>
          <w:sz w:val="20"/>
          <w:szCs w:val="20"/>
        </w:rPr>
        <w:t xml:space="preserve">Les simulations évaluent des métriques clés telles que la puissance du signal reçu (RSS), la perte de trajet, l’étalement temporel, la richesse multipath et la dispersion angulaire. Les résultats révèlent une variabilité spatiale marquée, avec des phénomènes tels que la diffraction dans les rues étroites, l’ombre portée et le guidage d’ondes le long des couloirs. Les modèles classiques échouent à capturer ces effets localisés, tandis que le Ray Tracing fournit des informations spatiales détaillées avec une précision supérieure.</w:t>
      </w:r>
    </w:p>
    <w:p w14:paraId="5D0ED6AF" w14:textId="77777777" w:rsidR="00875F19" w:rsidRPr="00875F19" w:rsidRDefault="00875F19" w:rsidP="00875F19">
      <w:pPr>
        <w:pStyle w:val="NormalWeb"/>
        <w:jc w:val="both"/>
        <w:rPr>
          <w:rFonts w:ascii="Arial" w:hAnsi="Arial" w:cs="Arial"/>
          <w:sz w:val="20"/>
          <w:szCs w:val="20"/>
        </w:rPr>
      </w:pPr>
      <w:r>
        <w:rPr>
          <w:rStyle w:val="font-ligatures-none"/>
          <w:rFonts w:ascii="Arial" w:hAnsi="Arial" w:cs="Arial"/>
          <w:sz w:val="20"/>
          <w:szCs w:val="20"/>
        </w:rPr>
        <w:t xml:space="preserve">En outre, la calibration différentiable des scènes est étudiée comme moyen de réduire les erreurs de prédiction (RMSE, MSE, R²) par des ajustements de la géométrie, des matériaux et des configurations d’antennes. Les résultats confirment que les frameworks RT open</w:t>
        <w:noBreakHyphen/>
        <w:t xml:space="preserve">source sont adaptés à l’analyse avancée des environnements urbains et à la génération de cartes radio, établissant une base reproductible pour le développement de jumeaux numériques et l’optimisation des réseaux de nouvelle génération.</w:t>
      </w:r>
    </w:p>
    <w:p w14:paraId="1D4ED0F7" w14:textId="77777777" w:rsidR="00875F19" w:rsidRPr="00875F19" w:rsidRDefault="00875F19" w:rsidP="00875F19">
      <w:pPr>
        <w:pStyle w:val="NormalWeb"/>
        <w:jc w:val="both"/>
        <w:rPr>
          <w:rFonts w:ascii="Arial" w:hAnsi="Arial" w:cs="Arial"/>
          <w:sz w:val="20"/>
          <w:szCs w:val="20"/>
        </w:rPr>
      </w:pPr>
      <w:r>
        <w:rPr>
          <w:rStyle w:val="Strong"/>
          <w:rFonts w:ascii="Arial" w:hAnsi="Arial" w:cs="Arial"/>
          <w:b w:val="0"/>
          <w:bCs w:val="0"/>
          <w:sz w:val="20"/>
          <w:szCs w:val="20"/>
        </w:rPr>
        <w:t>Mots</w:t>
        <w:noBreakHyphen/>
        <w:t xml:space="preserve">clés :</w:t>
      </w:r>
      <w:r>
        <w:rPr>
          <w:rStyle w:val="font-ligatures-none"/>
          <w:rFonts w:ascii="Arial" w:hAnsi="Arial" w:cs="Arial"/>
          <w:sz w:val="20"/>
          <w:szCs w:val="20"/>
        </w:rPr>
        <w:t xml:space="preserve"> Ray Tracing, Planification sans fil urbaine, Sionna RT, Cartes radio environnementales, Villes patrimoniales, Déploiement 5G, Propagation multipath, Étalement temporel, Modèles de propagation classiques, Simulation électromagnétique, Modélisation géométrique, Royaume</w:t>
        <w:noBreakHyphen/>
        <w:t>Uni.</w:t>
      </w:r>
    </w:p>
    <w:p w14:paraId="06DF19CA" w14:textId="77777777" w:rsidR="00875F19" w:rsidRPr="008C6559" w:rsidRDefault="00875F19" w:rsidP="000473D6">
      <w:pPr>
        <w:rPr>
          <w:lang w:bidi="ar-LB"/>
        </w:rPr>
      </w:pPr>
    </w:p>
    <w:p w14:paraId="5A8566CC" w14:textId="27B9D2D2" w:rsidR="008517B9" w:rsidRDefault="008517B9">
      <w:pPr>
        <w:jc w:val="left"/>
        <w:rPr>
          <w:lang w:bidi="ar-LB"/>
        </w:rPr>
      </w:pPr>
      <w:r>
        <w:rPr>
          <w:lang w:bidi="ar-LB"/>
        </w:rPr>
        <w:br w:type="page"/>
      </w:r>
    </w:p>
    <w:p w14:paraId="1A1154A6" w14:textId="6FF854F8" w:rsidR="008517B9" w:rsidRPr="00443D6E" w:rsidRDefault="00595DBB" w:rsidP="008517B9">
      <w:pPr>
        <w:pStyle w:val="Heading1"/>
        <w:numPr>
          <w:ilvl w:val="0"/>
          <w:numId w:val="0"/>
        </w:numPr>
        <w:ind w:left="432" w:hanging="432"/>
        <w:jc w:val="center"/>
        <w:rPr>
          <w:lang w:val="en-US" w:bidi="ar-LB"/>
        </w:rPr>
      </w:pPr>
      <w:bookmarkStart w:id="1" w:name="_Toc238550970"/>
      <w:r>
        <w:rPr>
          <w:lang w:val="en-US" w:bidi="ar-LB"/>
        </w:rPr>
        <w:lastRenderedPageBreak/>
        <w:t>Abstract</w:t>
      </w:r>
      <w:bookmarkEnd w:id="1"/>
    </w:p>
    <w:p w14:paraId="25E9330E" w14:textId="77777777" w:rsidR="008517B9" w:rsidRPr="00443D6E" w:rsidRDefault="008517B9" w:rsidP="00324092">
      <w:pPr>
        <w:rPr>
          <w:lang w:val="en-US" w:bidi="ar-LB"/>
        </w:rPr>
      </w:pPr>
    </w:p>
    <w:p w14:paraId="4AF2CFC1" w14:textId="77777777" w:rsidR="0029235E" w:rsidRDefault="0029235E" w:rsidP="0029235E">
      <w:pPr>
        <w:rPr>
          <w:lang w:val="en-US" w:bidi="ar-LB"/>
        </w:rPr>
      </w:pPr>
    </w:p>
    <w:p w14:paraId="1B971F13" w14:textId="77777777" w:rsidR="0029235E" w:rsidRPr="0029235E" w:rsidRDefault="0029235E" w:rsidP="0029235E">
      <w:pPr>
        <w:rPr>
          <w:lang w:val="en-US" w:bidi="ar-LB"/>
        </w:rPr>
      </w:pPr>
      <w:r>
        <w:rPr>
          <w:lang w:val="en-US" w:bidi="ar-LB"/>
        </w:rPr>
        <w:t>Accurate wireless network planning in dense urban environments remains a persistent challenge, particularly in cities with irregular construction materials, complex street layouts, and diverse architectural geometries. Conventional propagation models such as Free</w:t>
      </w:r>
      <w:r>
        <w:rPr>
          <w:rFonts w:ascii="Cambria Math" w:hAnsi="Cambria Math" w:cs="Cambria Math"/>
          <w:lang w:val="en-US" w:bidi="ar-LB"/>
        </w:rPr>
        <w:t>‑</w:t>
      </w:r>
      <w:r>
        <w:rPr>
          <w:lang w:val="en-US" w:bidi="ar-LB"/>
        </w:rPr>
        <w:t>Space Path Loss (FSPL), COST</w:t>
      </w:r>
      <w:r>
        <w:rPr>
          <w:rFonts w:ascii="Cambria Math" w:hAnsi="Cambria Math" w:cs="Cambria Math"/>
          <w:lang w:val="en-US" w:bidi="ar-LB"/>
        </w:rPr>
        <w:t>‑</w:t>
      </w:r>
      <w:r>
        <w:rPr>
          <w:lang w:val="en-US" w:bidi="ar-LB"/>
        </w:rPr>
        <w:t xml:space="preserve">231, and Okumura–Hata provide computational efficiency but rely on empirical assumptions that fail to capture localized electromagnetic phenomena including diffraction, shadowing, and multipath waveguiding. As wireless systems advance toward high</w:t>
      </w:r>
      <w:r>
        <w:rPr>
          <w:rFonts w:ascii="Cambria Math" w:hAnsi="Cambria Math" w:cs="Cambria Math"/>
          <w:lang w:val="en-US" w:bidi="ar-LB"/>
        </w:rPr>
        <w:t>‑</w:t>
      </w:r>
      <w:r>
        <w:rPr>
          <w:lang w:val="en-US" w:bidi="ar-LB"/>
        </w:rPr>
        <w:t>frequency, high</w:t>
      </w:r>
      <w:r>
        <w:rPr>
          <w:rFonts w:ascii="Cambria Math" w:hAnsi="Cambria Math" w:cs="Cambria Math"/>
          <w:lang w:val="en-US" w:bidi="ar-LB"/>
        </w:rPr>
        <w:t>‑</w:t>
      </w:r>
      <w:r>
        <w:rPr>
          <w:lang w:val="en-US" w:bidi="ar-LB"/>
        </w:rPr>
        <w:t>density deployments for 5G and beyond, geometry</w:t>
      </w:r>
      <w:r>
        <w:rPr>
          <w:rFonts w:ascii="Cambria Math" w:hAnsi="Cambria Math" w:cs="Cambria Math"/>
          <w:lang w:val="en-US" w:bidi="ar-LB"/>
        </w:rPr>
        <w:t>‑</w:t>
      </w:r>
      <w:r>
        <w:rPr>
          <w:lang w:val="en-US" w:bidi="ar-LB"/>
        </w:rPr>
        <w:t>aware, physics</w:t>
      </w:r>
      <w:r>
        <w:rPr>
          <w:rFonts w:ascii="Cambria Math" w:hAnsi="Cambria Math" w:cs="Cambria Math"/>
          <w:lang w:val="en-US" w:bidi="ar-LB"/>
        </w:rPr>
        <w:t>‑</w:t>
      </w:r>
      <w:r>
        <w:rPr>
          <w:lang w:val="en-US" w:bidi="ar-LB"/>
        </w:rPr>
        <w:t>based modeling becomes increasingly essential.</w:t>
      </w:r>
    </w:p>
    <w:p w14:paraId="0F8FCEDB" w14:textId="77777777" w:rsidR="0029235E" w:rsidRPr="0029235E" w:rsidRDefault="0029235E" w:rsidP="0029235E">
      <w:pPr>
        <w:rPr>
          <w:lang w:val="en-US" w:bidi="ar-LB"/>
        </w:rPr>
      </w:pPr>
    </w:p>
    <w:p w14:paraId="1AFF6ED1" w14:textId="3B3CDA2F" w:rsidR="0029235E" w:rsidRPr="0029235E" w:rsidRDefault="0029235E" w:rsidP="0029235E">
      <w:pPr>
        <w:rPr>
          <w:lang w:val="en-US" w:bidi="ar-LB"/>
        </w:rPr>
      </w:pPr>
      <w:r>
        <w:rPr>
          <w:lang w:val="en-US" w:bidi="ar-LB"/>
        </w:rPr>
        <w:t xml:space="preserve">This thesis investigates deterministic ray tracing (RT) for path loss prediction using NVIDIA’s Sionna RT 2.0, applied to LiDAR</w:t>
      </w:r>
      <w:r>
        <w:rPr>
          <w:rFonts w:ascii="Cambria Math" w:hAnsi="Cambria Math" w:cs="Cambria Math"/>
          <w:lang w:val="en-US" w:bidi="ar-LB"/>
        </w:rPr>
        <w:t>‑</w:t>
      </w:r>
      <w:r>
        <w:rPr>
          <w:lang w:val="en-US" w:bidi="ar-LB"/>
        </w:rPr>
        <w:t xml:space="preserve">derived 3D urban environments in the United Kingdom and validated against Ofcom measurement datasets at four frequencies (915 MHz, 1802 MHz, 2695 MHz, and 3602.5 MHz). Scene preparation integrates Environment Agency LiDAR terrain data, OpenStreetMap building footprints, vegetation canopy models, and road surfaces to construct sub</w:t>
      </w:r>
      <w:r>
        <w:rPr>
          <w:rFonts w:ascii="Cambria Math" w:hAnsi="Cambria Math" w:cs="Cambria Math"/>
          <w:lang w:val="en-US" w:bidi="ar-LB"/>
        </w:rPr>
        <w:t>‑</w:t>
      </w:r>
      <w:r>
        <w:rPr>
          <w:lang w:val="en-US" w:bidi="ar-LB"/>
        </w:rPr>
        <w:t xml:space="preserve">metre resolution urban geometries. Simulations evaluate received signal strength (RSS), path loss, R², RMSE . MSE, multipath richness, and angular dispersion.</w:t>
      </w:r>
    </w:p>
    <w:p w14:paraId="544B17CC" w14:textId="77777777" w:rsidR="0029235E" w:rsidRPr="0029235E" w:rsidRDefault="0029235E" w:rsidP="0029235E">
      <w:pPr>
        <w:rPr>
          <w:lang w:val="en-US" w:bidi="ar-LB"/>
        </w:rPr>
      </w:pPr>
    </w:p>
    <w:p w14:paraId="5FDCDF13" w14:textId="77777777" w:rsidR="0029235E" w:rsidRPr="0029235E" w:rsidRDefault="0029235E" w:rsidP="0029235E">
      <w:pPr>
        <w:rPr>
          <w:lang w:val="en-US" w:bidi="ar-LB"/>
        </w:rPr>
      </w:pPr>
      <w:r>
        <w:rPr>
          <w:lang w:val="en-US" w:bidi="ar-LB"/>
        </w:rPr>
        <w:t>To improve predictive accuracy, a differentiable calibration framework is implemented using Powell’s gradient</w:t>
      </w:r>
      <w:r>
        <w:rPr>
          <w:rFonts w:ascii="Cambria Math" w:hAnsi="Cambria Math" w:cs="Cambria Math"/>
          <w:lang w:val="en-US" w:bidi="ar-LB"/>
        </w:rPr>
        <w:t>‑</w:t>
      </w:r>
      <w:r>
        <w:rPr>
          <w:lang w:val="en-US" w:bidi="ar-LB"/>
        </w:rPr>
        <w:t>free optimization, minimizing RMSE and maximizing R² by tuning building material parameters across ITU</w:t>
      </w:r>
      <w:r>
        <w:rPr>
          <w:rFonts w:ascii="Cambria Math" w:hAnsi="Cambria Math" w:cs="Cambria Math"/>
          <w:lang w:val="en-US" w:bidi="ar-LB"/>
        </w:rPr>
        <w:t>‑</w:t>
      </w:r>
      <w:r>
        <w:rPr>
          <w:lang w:val="en-US" w:bidi="ar-LB"/>
        </w:rPr>
        <w:t>R P.2040</w:t>
      </w:r>
      <w:r>
        <w:rPr>
          <w:rFonts w:ascii="Cambria Math" w:hAnsi="Cambria Math" w:cs="Cambria Math"/>
          <w:lang w:val="en-US" w:bidi="ar-LB"/>
        </w:rPr>
        <w:t>‑</w:t>
      </w:r>
      <w:r>
        <w:rPr>
          <w:lang w:val="en-US" w:bidi="ar-LB"/>
        </w:rPr>
        <w:t>2 classes. Vegetation attenuation is modeled with ITU</w:t>
      </w:r>
      <w:r>
        <w:rPr>
          <w:rFonts w:ascii="Cambria Math" w:hAnsi="Cambria Math" w:cs="Cambria Math"/>
          <w:lang w:val="en-US" w:bidi="ar-LB"/>
        </w:rPr>
        <w:t>‑</w:t>
      </w:r>
      <w:r>
        <w:rPr>
          <w:lang w:val="en-US" w:bidi="ar-LB"/>
        </w:rPr>
        <w:t>R P.833</w:t>
      </w:r>
      <w:r>
        <w:rPr>
          <w:rFonts w:ascii="Cambria Math" w:hAnsi="Cambria Math" w:cs="Cambria Math"/>
          <w:lang w:val="en-US" w:bidi="ar-LB"/>
        </w:rPr>
        <w:t>‑</w:t>
      </w:r>
      <w:r>
        <w:rPr>
          <w:lang w:val="en-US" w:bidi="ar-LB"/>
        </w:rPr>
        <w:t>10, which yields higher excess</w:t>
      </w:r>
      <w:r>
        <w:rPr>
          <w:rFonts w:ascii="Cambria Math" w:hAnsi="Cambria Math" w:cs="Cambria Math"/>
          <w:lang w:val="en-US" w:bidi="ar-LB"/>
        </w:rPr>
        <w:t>‑</w:t>
      </w:r>
      <w:r>
        <w:rPr>
          <w:lang w:val="en-US" w:bidi="ar-LB"/>
        </w:rPr>
        <w:t xml:space="preserve">loss estimates than the Weissberger model at 2–3 GHz. Results demonstrate that incoherent diffuse scattering is the dominant mechanism above 1.8 GHz, improving R² by up to 50 percentage points compared to non</w:t>
      </w:r>
      <w:r>
        <w:rPr>
          <w:rFonts w:ascii="Cambria Math" w:hAnsi="Cambria Math" w:cs="Cambria Math"/>
          <w:lang w:val="en-US" w:bidi="ar-LB"/>
        </w:rPr>
        <w:t>‑</w:t>
      </w:r>
      <w:r>
        <w:rPr>
          <w:lang w:val="en-US" w:bidi="ar-LB"/>
        </w:rPr>
        <w:t>scattering baselines. At 915 MHz, prediction accuracy (RMSE = 6.0 dB, R² = 0.835) approaches the statistical physics floor defined by the 3GPP TR 38.901 shadow fading standard deviation.</w:t>
      </w:r>
    </w:p>
    <w:p w14:paraId="3766C04F" w14:textId="77777777" w:rsidR="0029235E" w:rsidRPr="0029235E" w:rsidRDefault="0029235E" w:rsidP="0029235E">
      <w:pPr>
        <w:rPr>
          <w:lang w:val="en-US" w:bidi="ar-LB"/>
        </w:rPr>
      </w:pPr>
    </w:p>
    <w:p w14:paraId="60190E88" w14:textId="7BEC5975" w:rsidR="0029235E" w:rsidRPr="00443D6E" w:rsidRDefault="0029235E" w:rsidP="0029235E">
      <w:pPr>
        <w:rPr>
          <w:lang w:val="en-US" w:bidi="ar-LB"/>
        </w:rPr>
      </w:pPr>
      <w:r>
        <w:rPr>
          <w:lang w:val="en-US" w:bidi="ar-LB"/>
        </w:rPr>
        <w:t>The findings confirm that open</w:t>
      </w:r>
      <w:r>
        <w:rPr>
          <w:rFonts w:ascii="Cambria Math" w:hAnsi="Cambria Math" w:cs="Cambria Math"/>
          <w:lang w:val="en-US" w:bidi="ar-LB"/>
        </w:rPr>
        <w:t>‑</w:t>
      </w:r>
      <w:r>
        <w:rPr>
          <w:lang w:val="en-US" w:bidi="ar-LB"/>
        </w:rPr>
        <w:t>source differentiable ray tracing frameworks, combined with high</w:t>
      </w:r>
      <w:r>
        <w:rPr>
          <w:rFonts w:ascii="Cambria Math" w:hAnsi="Cambria Math" w:cs="Cambria Math"/>
          <w:lang w:val="en-US" w:bidi="ar-LB"/>
        </w:rPr>
        <w:t>‑</w:t>
      </w:r>
      <w:r>
        <w:rPr>
          <w:lang w:val="en-US" w:bidi="ar-LB"/>
        </w:rPr>
        <w:t xml:space="preserve">resolution terrain and vegetation data and systematic material calibration, provide a reproducible methodology for advanced urban propagation analysis. </w:t>
      </w:r>
      <w:r>
        <w:rPr>
          <w:lang w:val="en-US" w:bidi="ar-LB"/>
        </w:rPr>
        <w:t xml:space="preserve">This work demonstrates a calibration pipeline applicable across the sites and frequency bands evaluated in this project.</w:t>
      </w:r>
    </w:p>
    <w:p w14:paraId="09CB3A9C" w14:textId="77777777" w:rsidR="00134BAB" w:rsidRPr="00443D6E" w:rsidRDefault="00134BAB">
      <w:pPr>
        <w:jc w:val="left"/>
        <w:rPr>
          <w:rFonts w:eastAsia="Times New Roman" w:cs="Times New Roman"/>
          <w:b/>
          <w:bCs/>
          <w:kern w:val="28"/>
          <w:sz w:val="28"/>
          <w:szCs w:val="28"/>
          <w:lang w:val="en-US" w:eastAsia="fr-FR" w:bidi="ar-LB"/>
        </w:rPr>
      </w:pPr>
      <w:r>
        <w:rPr>
          <w:lang w:val="en-US" w:bidi="ar-LB"/>
        </w:rPr>
        <w:br w:type="page"/>
      </w:r>
    </w:p>
    <w:p w14:paraId="44E321DC" w14:textId="77777777" w:rsidR="009C4ABC" w:rsidRPr="00ED19F5" w:rsidRDefault="009C4ABC" w:rsidP="008C6559">
      <w:pPr>
        <w:pStyle w:val="Heading1"/>
        <w:numPr>
          <w:ilvl w:val="0"/>
          <w:numId w:val="0"/>
        </w:numPr>
        <w:jc w:val="center"/>
        <w:rPr>
          <w:lang w:val="en-US" w:bidi="ar-LB"/>
        </w:rPr>
      </w:pPr>
      <w:bookmarkStart w:id="2" w:name="_Toc238550971"/>
      <w:r>
        <w:rPr>
          <w:lang w:val="en-US" w:bidi="ar-LB"/>
        </w:rPr>
        <w:lastRenderedPageBreak/>
        <w:t>Acknowledgements</w:t>
      </w:r>
      <w:bookmarkEnd w:id="2"/>
    </w:p>
    <w:p w14:paraId="3FE7F5C0" w14:textId="77777777" w:rsidR="009C4ABC" w:rsidRPr="00ED19F5" w:rsidRDefault="009C4ABC" w:rsidP="009C4ABC">
      <w:pPr>
        <w:spacing w:line="240" w:lineRule="auto"/>
        <w:rPr>
          <w:lang w:val="en-US" w:bidi="ar-LB"/>
        </w:rPr>
      </w:pPr>
    </w:p>
    <w:p w14:paraId="65278A83" w14:textId="0BFA3D21" w:rsidR="00863F38" w:rsidRPr="00863F38" w:rsidRDefault="00863F38" w:rsidP="00863F38">
      <w:pPr>
        <w:spacing w:line="240" w:lineRule="auto"/>
        <w:rPr>
          <w:lang w:val="en-US" w:bidi="ar-LB"/>
        </w:rPr>
      </w:pPr>
      <w:r>
        <w:rPr>
          <w:lang w:val="en-US" w:bidi="ar-LB"/>
        </w:rPr>
        <w:t>I would like to express my deepest gratitude to Prof. Osman Hassan for his exceptional supervision, guidance, and encouragement throughout my internship at Real Wireless, London. His technical expertise and unwavering dedication were instrumental in shaping both the direction and the quality of this research.</w:t>
      </w:r>
    </w:p>
    <w:p w14:paraId="38F9AD50" w14:textId="77777777" w:rsidR="00863F38" w:rsidRPr="00863F38" w:rsidRDefault="00863F38" w:rsidP="00863F38">
      <w:pPr>
        <w:spacing w:line="240" w:lineRule="auto"/>
        <w:rPr>
          <w:lang w:val="en-US" w:bidi="ar-LB"/>
        </w:rPr>
      </w:pPr>
    </w:p>
    <w:p w14:paraId="5D7ABB37" w14:textId="32D0CBA4" w:rsidR="00863F38" w:rsidRPr="00863F38" w:rsidRDefault="00863F38" w:rsidP="00863F38">
      <w:pPr>
        <w:spacing w:line="240" w:lineRule="auto"/>
        <w:rPr>
          <w:lang w:val="en-US" w:bidi="ar-LB"/>
        </w:rPr>
      </w:pPr>
      <w:r>
        <w:rPr>
          <w:lang w:val="en-US" w:bidi="ar-LB"/>
        </w:rPr>
        <w:t xml:space="preserve">I am equally grateful to my academic supervisor at the University Saint</w:t>
      </w:r>
      <w:r>
        <w:rPr>
          <w:rFonts w:ascii="Cambria Math" w:hAnsi="Cambria Math" w:cs="Cambria Math"/>
          <w:lang w:val="en-US" w:bidi="ar-LB"/>
        </w:rPr>
        <w:t>‑</w:t>
      </w:r>
      <w:r>
        <w:rPr>
          <w:lang w:val="en-US" w:bidi="ar-LB"/>
        </w:rPr>
        <w:t xml:space="preserve">Joseph de Beyrouth Dr. Marc Ibrahim for his continuous support, insightful feedback, and encouragement during the preparation of this thesis.</w:t>
      </w:r>
    </w:p>
    <w:p w14:paraId="486D0F10" w14:textId="77777777" w:rsidR="00863F38" w:rsidRPr="00863F38" w:rsidRDefault="00863F38" w:rsidP="00863F38">
      <w:pPr>
        <w:spacing w:line="240" w:lineRule="auto"/>
        <w:rPr>
          <w:lang w:val="en-US" w:bidi="ar-LB"/>
        </w:rPr>
      </w:pPr>
    </w:p>
    <w:p w14:paraId="1AE7A9BD" w14:textId="77777777" w:rsidR="00863F38" w:rsidRPr="00863F38" w:rsidRDefault="00863F38" w:rsidP="00863F38">
      <w:pPr>
        <w:spacing w:line="240" w:lineRule="auto"/>
        <w:rPr>
          <w:lang w:val="en-US" w:bidi="ar-LB"/>
        </w:rPr>
      </w:pPr>
      <w:r>
        <w:rPr>
          <w:lang w:val="en-US" w:bidi="ar-LB"/>
        </w:rPr>
        <w:t>My sincere thanks also go to Real Wireless for providing a stimulating professional research environment and granting me access to the tools, datasets, and computational resources essential for the successful completion of this work.</w:t>
      </w:r>
    </w:p>
    <w:p w14:paraId="446771BB" w14:textId="77777777" w:rsidR="00863F38" w:rsidRPr="00863F38" w:rsidRDefault="00863F38" w:rsidP="00863F38">
      <w:pPr>
        <w:spacing w:line="240" w:lineRule="auto"/>
        <w:rPr>
          <w:lang w:val="en-US" w:bidi="ar-LB"/>
        </w:rPr>
      </w:pPr>
    </w:p>
    <w:p w14:paraId="5330F19C" w14:textId="4F82E401" w:rsidR="00521E4D" w:rsidRDefault="00863F38" w:rsidP="00863F38">
      <w:pPr>
        <w:spacing w:line="240" w:lineRule="auto"/>
        <w:rPr>
          <w:lang w:val="en-US" w:bidi="ar-LB"/>
        </w:rPr>
      </w:pPr>
      <w:r>
        <w:rPr>
          <w:lang w:val="en-US" w:bidi="ar-LB"/>
        </w:rPr>
        <w:t>Finally, I owe my heartfelt appreciation to my family and friends, whose patience, encouragement, and steadfast support sustained me throughout this journey.</w:t>
      </w:r>
    </w:p>
    <w:p w14:paraId="1D951655" w14:textId="77777777" w:rsidR="00535B55" w:rsidRDefault="00535B55" w:rsidP="00535B55">
      <w:pPr>
        <w:pStyle w:val="Heading1"/>
        <w:numPr>
          <w:ilvl w:val="0"/>
          <w:numId w:val="0"/>
        </w:numPr>
        <w:ind w:left="432" w:hanging="432"/>
        <w:jc w:val="center"/>
        <w:rPr>
          <w:lang w:val="en-US" w:bidi="ar-LB"/>
        </w:rPr>
      </w:pPr>
      <w:r>
        <w:rPr>
          <w:lang w:val="en-US" w:bidi="ar-LB"/>
        </w:rPr>
        <w:br w:type="page"/>
      </w:r>
    </w:p>
    <w:bookmarkStart w:id="3" w:name="_Toc238550972" w:displacedByCustomXml="next"/>
    <w:sdt>
      <w:sdtPr>
        <w:rPr>
          <w:rFonts w:asciiTheme="minorHAnsi" w:eastAsiaTheme="minorEastAsia" w:hAnsiTheme="minorHAnsi" w:cs="Arial"/>
          <w:b w:val="0"/>
          <w:bCs w:val="0"/>
          <w:kern w:val="0"/>
          <w:sz w:val="22"/>
          <w:szCs w:val="22"/>
          <w:lang w:eastAsia="en-US" w:bidi="ar-LB"/>
        </w:rPr>
        <w:id w:val="1026525233"/>
        <w:docPartObj>
          <w:docPartGallery w:val="Table of Contents"/>
          <w:docPartUnique/>
        </w:docPartObj>
      </w:sdtPr>
      <w:sdtEndPr>
        <w:rPr>
          <w:noProof/>
          <w:sz w:val="20"/>
          <w:szCs w:val="20"/>
          <w:lang w:val="en-US"/>
        </w:rPr>
      </w:sdtEndPr>
      <w:sdtContent>
        <w:p w14:paraId="05B0D2A0" w14:textId="77777777" w:rsidR="00535B55" w:rsidRPr="00ED19F5" w:rsidRDefault="00535B55" w:rsidP="00535B55">
          <w:pPr>
            <w:pStyle w:val="Heading1"/>
            <w:numPr>
              <w:ilvl w:val="0"/>
              <w:numId w:val="0"/>
            </w:numPr>
            <w:ind w:left="432" w:hanging="432"/>
            <w:jc w:val="center"/>
            <w:rPr>
              <w:lang w:bidi="ar-LB"/>
            </w:rPr>
          </w:pPr>
          <w:r>
            <w:rPr>
              <w:lang w:bidi="ar-LB"/>
            </w:rPr>
            <w:t>Contents</w:t>
          </w:r>
          <w:bookmarkEnd w:id="3"/>
        </w:p>
        <w:p w14:paraId="5F0199E8" w14:textId="46D1527B" w:rsidR="00A27A6C" w:rsidRDefault="00535B55">
          <w:pPr>
            <w:pStyle w:val="TOC1"/>
            <w:rPr>
              <w:rFonts w:asciiTheme="minorHAnsi" w:eastAsiaTheme="minorEastAsia" w:hAnsiTheme="minorHAnsi" w:cstheme="minorBidi"/>
              <w:sz w:val="22"/>
              <w:lang w:bidi="ar-SA"/>
            </w:rPr>
          </w:pPr>
          <w:r>
            <w:rPr>
              <w:noProof w:val="0"/>
            </w:rPr>
            <w:fldChar w:fldCharType="begin"/>
          </w:r>
          <w:r>
            <w:instrText xml:space="preserve"> TOC \o "1-3" \h \z \u </w:instrText>
          </w:r>
          <w:r>
            <w:rPr>
              <w:noProof w:val="0"/>
            </w:rPr>
            <w:fldChar w:fldCharType="separate"/>
          </w:r>
          <w:hyperlink w:anchor="_Toc238550969" w:history="1">
            <w:r>
              <w:rPr>
                <w:rStyle w:val="Hyperlink"/>
              </w:rPr>
              <w:t>Résumé</w:t>
            </w:r>
            <w:r>
              <w:rPr>
                <w:webHidden/>
              </w:rPr>
              <w:tab/>
              <w:fldChar w:fldCharType="begin"/>
              <w:instrText xml:space="preserve"> PAGEREF _Toc238550969 \h </w:instrText>
              <w:fldChar w:fldCharType="separate"/>
              <w:t>4</w:t>
              <w:fldChar w:fldCharType="end"/>
            </w:r>
          </w:hyperlink>
        </w:p>
        <w:p w14:paraId="5B7A51FD" w14:textId="558450E3" w:rsidR="00A27A6C" w:rsidRDefault="00A27A6C">
          <w:pPr>
            <w:pStyle w:val="TOC1"/>
            <w:rPr>
              <w:rFonts w:asciiTheme="minorHAnsi" w:eastAsiaTheme="minorEastAsia" w:hAnsiTheme="minorHAnsi" w:cstheme="minorBidi"/>
              <w:sz w:val="22"/>
              <w:lang w:bidi="ar-SA"/>
            </w:rPr>
          </w:pPr>
          <w:hyperlink w:anchor="_Toc238550970" w:history="1">
            <w:r>
              <w:rPr>
                <w:rStyle w:val="Hyperlink"/>
              </w:rPr>
              <w:t>Abstract</w:t>
            </w:r>
            <w:r>
              <w:rPr>
                <w:webHidden/>
              </w:rPr>
              <w:tab/>
              <w:fldChar w:fldCharType="begin"/>
              <w:instrText xml:space="preserve"> PAGEREF _Toc238550970 \h </w:instrText>
              <w:fldChar w:fldCharType="separate"/>
              <w:t>5</w:t>
              <w:fldChar w:fldCharType="end"/>
            </w:r>
          </w:hyperlink>
        </w:p>
        <w:p w14:paraId="7EA848A6" w14:textId="213C788D" w:rsidR="00A27A6C" w:rsidRDefault="00A27A6C">
          <w:pPr>
            <w:pStyle w:val="TOC1"/>
            <w:rPr>
              <w:rFonts w:asciiTheme="minorHAnsi" w:eastAsiaTheme="minorEastAsia" w:hAnsiTheme="minorHAnsi" w:cstheme="minorBidi"/>
              <w:sz w:val="22"/>
              <w:lang w:bidi="ar-SA"/>
            </w:rPr>
          </w:pPr>
          <w:hyperlink w:anchor="_Toc238550971" w:history="1">
            <w:r>
              <w:rPr>
                <w:rStyle w:val="Hyperlink"/>
              </w:rPr>
              <w:t>Acknowledgements</w:t>
            </w:r>
            <w:r>
              <w:rPr>
                <w:webHidden/>
              </w:rPr>
              <w:tab/>
              <w:fldChar w:fldCharType="begin"/>
              <w:instrText xml:space="preserve"> PAGEREF _Toc238550971 \h </w:instrText>
              <w:fldChar w:fldCharType="separate"/>
              <w:t>7</w:t>
              <w:fldChar w:fldCharType="end"/>
            </w:r>
          </w:hyperlink>
        </w:p>
        <w:p w14:paraId="18F7FE2B" w14:textId="0E8E589D" w:rsidR="00A27A6C" w:rsidRDefault="00A27A6C">
          <w:pPr>
            <w:pStyle w:val="TOC1"/>
            <w:rPr>
              <w:rFonts w:asciiTheme="minorHAnsi" w:eastAsiaTheme="minorEastAsia" w:hAnsiTheme="minorHAnsi" w:cstheme="minorBidi"/>
              <w:sz w:val="22"/>
              <w:lang w:bidi="ar-SA"/>
            </w:rPr>
          </w:pPr>
          <w:hyperlink w:anchor="_Toc238550972" w:history="1">
            <w:r>
              <w:rPr>
                <w:rStyle w:val="Hyperlink"/>
              </w:rPr>
              <w:t>Contents</w:t>
            </w:r>
            <w:r>
              <w:rPr>
                <w:webHidden/>
              </w:rPr>
              <w:tab/>
              <w:fldChar w:fldCharType="begin"/>
              <w:instrText xml:space="preserve"> PAGEREF _Toc238550972 \h </w:instrText>
              <w:fldChar w:fldCharType="separate"/>
              <w:t>8</w:t>
              <w:fldChar w:fldCharType="end"/>
            </w:r>
          </w:hyperlink>
        </w:p>
        <w:p w14:paraId="7CDE86D1" w14:textId="775889EE" w:rsidR="00A27A6C" w:rsidRDefault="00A27A6C">
          <w:pPr>
            <w:pStyle w:val="TOC1"/>
            <w:rPr>
              <w:rFonts w:asciiTheme="minorHAnsi" w:eastAsiaTheme="minorEastAsia" w:hAnsiTheme="minorHAnsi" w:cstheme="minorBidi"/>
              <w:sz w:val="22"/>
              <w:lang w:bidi="ar-SA"/>
            </w:rPr>
          </w:pPr>
          <w:hyperlink w:anchor="_Toc238550973" w:history="1">
            <w:r>
              <w:rPr>
                <w:rStyle w:val="Hyperlink"/>
              </w:rPr>
              <w:t>List of figures</w:t>
            </w:r>
            <w:r>
              <w:rPr>
                <w:webHidden/>
              </w:rPr>
              <w:tab/>
              <w:fldChar w:fldCharType="begin"/>
              <w:instrText xml:space="preserve"> PAGEREF _Toc238550973 \h </w:instrText>
              <w:fldChar w:fldCharType="separate"/>
              <w:t>10</w:t>
              <w:fldChar w:fldCharType="end"/>
            </w:r>
          </w:hyperlink>
        </w:p>
        <w:p w14:paraId="7FE6FFE6" w14:textId="69DEE7E6" w:rsidR="00A27A6C" w:rsidRDefault="00A27A6C">
          <w:pPr>
            <w:pStyle w:val="TOC1"/>
            <w:rPr>
              <w:rFonts w:asciiTheme="minorHAnsi" w:eastAsiaTheme="minorEastAsia" w:hAnsiTheme="minorHAnsi" w:cstheme="minorBidi"/>
              <w:sz w:val="22"/>
              <w:lang w:bidi="ar-SA"/>
            </w:rPr>
          </w:pPr>
          <w:hyperlink w:anchor="_Toc238550974" w:history="1">
            <w:r>
              <w:rPr>
                <w:rStyle w:val="Hyperlink"/>
              </w:rPr>
              <w:t>List of tables</w:t>
            </w:r>
            <w:r>
              <w:rPr>
                <w:webHidden/>
              </w:rPr>
              <w:tab/>
              <w:fldChar w:fldCharType="begin"/>
              <w:instrText xml:space="preserve"> PAGEREF _Toc238550974 \h </w:instrText>
              <w:fldChar w:fldCharType="separate"/>
              <w:t>11</w:t>
              <w:fldChar w:fldCharType="end"/>
            </w:r>
          </w:hyperlink>
        </w:p>
        <w:p w14:paraId="5BF4240C" w14:textId="11009F9C" w:rsidR="00A27A6C" w:rsidRDefault="00A27A6C">
          <w:pPr>
            <w:pStyle w:val="TOC1"/>
            <w:rPr>
              <w:rFonts w:asciiTheme="minorHAnsi" w:eastAsiaTheme="minorEastAsia" w:hAnsiTheme="minorHAnsi" w:cstheme="minorBidi"/>
              <w:sz w:val="22"/>
              <w:lang w:bidi="ar-SA"/>
            </w:rPr>
          </w:pPr>
          <w:hyperlink w:anchor="_Toc238550975" w:history="1">
            <w:r>
              <w:rPr>
                <w:rStyle w:val="Hyperlink"/>
              </w:rPr>
              <w:t>Acronyms (optional)</w:t>
            </w:r>
            <w:r>
              <w:rPr>
                <w:webHidden/>
              </w:rPr>
              <w:tab/>
              <w:fldChar w:fldCharType="begin"/>
              <w:instrText xml:space="preserve"> PAGEREF _Toc238550975 \h </w:instrText>
              <w:fldChar w:fldCharType="separate"/>
              <w:t>12</w:t>
              <w:fldChar w:fldCharType="end"/>
            </w:r>
          </w:hyperlink>
        </w:p>
        <w:p w14:paraId="4017C630" w14:textId="667F8B93" w:rsidR="00A27A6C" w:rsidRDefault="00A27A6C">
          <w:pPr>
            <w:pStyle w:val="TOC1"/>
            <w:rPr>
              <w:rFonts w:asciiTheme="minorHAnsi" w:eastAsiaTheme="minorEastAsia" w:hAnsiTheme="minorHAnsi" w:cstheme="minorBidi"/>
              <w:sz w:val="22"/>
              <w:lang w:bidi="ar-SA"/>
            </w:rPr>
          </w:pPr>
          <w:hyperlink w:anchor="_Toc238550976" w:history="1">
            <w:r>
              <w:rPr>
                <w:rStyle w:val="Hyperlink"/>
              </w:rPr>
              <w:t>Symbols (optional)</w:t>
            </w:r>
            <w:r>
              <w:rPr>
                <w:webHidden/>
              </w:rPr>
              <w:tab/>
              <w:fldChar w:fldCharType="begin"/>
              <w:instrText xml:space="preserve"> PAGEREF _Toc238550976 \h </w:instrText>
              <w:fldChar w:fldCharType="separate"/>
              <w:t>13</w:t>
              <w:fldChar w:fldCharType="end"/>
            </w:r>
          </w:hyperlink>
        </w:p>
        <w:p w14:paraId="6B1AF381" w14:textId="46D32564" w:rsidR="00A27A6C" w:rsidRDefault="00A27A6C">
          <w:pPr>
            <w:pStyle w:val="TOC1"/>
            <w:tabs>
              <w:tab w:val="left" w:pos="440"/>
            </w:tabs>
            <w:rPr>
              <w:rFonts w:asciiTheme="minorHAnsi" w:eastAsiaTheme="minorEastAsia" w:hAnsiTheme="minorHAnsi" w:cstheme="minorBidi"/>
              <w:sz w:val="22"/>
              <w:lang w:bidi="ar-SA"/>
            </w:rPr>
          </w:pPr>
          <w:hyperlink w:anchor="_Toc238550977" w:history="1">
            <w:r>
              <w:rPr>
                <w:rStyle w:val="Hyperlink"/>
              </w:rPr>
              <w:t>1</w:t>
            </w:r>
            <w:r>
              <w:rPr>
                <w:rFonts w:asciiTheme="minorHAnsi" w:eastAsiaTheme="minorEastAsia" w:hAnsiTheme="minorHAnsi" w:cstheme="minorBidi"/>
                <w:sz w:val="22"/>
                <w:lang w:bidi="ar-SA"/>
              </w:rPr>
              <w:tab/>
            </w:r>
            <w:r>
              <w:rPr>
                <w:rStyle w:val="Hyperlink"/>
              </w:rPr>
              <w:t>Introduction</w:t>
            </w:r>
            <w:r>
              <w:rPr>
                <w:webHidden/>
              </w:rPr>
              <w:tab/>
              <w:fldChar w:fldCharType="begin"/>
              <w:instrText xml:space="preserve"> PAGEREF _Toc238550977 \h </w:instrText>
              <w:fldChar w:fldCharType="separate"/>
              <w:t>14</w:t>
              <w:fldChar w:fldCharType="end"/>
            </w:r>
          </w:hyperlink>
        </w:p>
        <w:p w14:paraId="03FC946D" w14:textId="31E39A21" w:rsidR="00A27A6C" w:rsidRDefault="00A27A6C">
          <w:pPr>
            <w:pStyle w:val="TOC2"/>
            <w:tabs>
              <w:tab w:val="left" w:pos="880"/>
              <w:tab w:val="right" w:leader="dot" w:pos="10250"/>
            </w:tabs>
            <w:rPr>
              <w:rFonts w:asciiTheme="minorHAnsi" w:eastAsiaTheme="minorEastAsia" w:hAnsiTheme="minorHAnsi" w:cstheme="minorBidi"/>
              <w:noProof/>
              <w:sz w:val="22"/>
              <w:lang w:val="en-US"/>
            </w:rPr>
          </w:pPr>
          <w:hyperlink w:anchor="_Toc238550978" w:history="1">
            <w:r>
              <w:rPr>
                <w:rStyle w:val="Hyperlink"/>
                <w:noProof/>
                <w:lang w:val="en-US"/>
              </w:rPr>
              <w:t>1.1</w:t>
            </w:r>
            <w:r>
              <w:rPr>
                <w:rFonts w:asciiTheme="minorHAnsi" w:eastAsiaTheme="minorEastAsia" w:hAnsiTheme="minorHAnsi" w:cstheme="minorBidi"/>
                <w:noProof/>
                <w:sz w:val="22"/>
                <w:lang w:val="en-US"/>
              </w:rPr>
              <w:tab/>
            </w:r>
            <w:r>
              <w:rPr>
                <w:rStyle w:val="Hyperlink"/>
                <w:noProof/>
                <w:lang w:val="en-US"/>
              </w:rPr>
              <w:t>Wireless Communication in the Urban Context</w:t>
            </w:r>
            <w:r>
              <w:rPr>
                <w:noProof/>
                <w:webHidden/>
              </w:rPr>
              <w:tab/>
              <w:fldChar w:fldCharType="begin"/>
              <w:instrText xml:space="preserve"> PAGEREF _Toc238550978 \h </w:instrText>
              <w:fldChar w:fldCharType="separate"/>
              <w:t>14</w:t>
              <w:fldChar w:fldCharType="end"/>
            </w:r>
          </w:hyperlink>
        </w:p>
        <w:p w14:paraId="0BD6D71E" w14:textId="3DFA29DA" w:rsidR="00A27A6C" w:rsidRDefault="00A27A6C">
          <w:pPr>
            <w:pStyle w:val="TOC2"/>
            <w:tabs>
              <w:tab w:val="left" w:pos="880"/>
              <w:tab w:val="right" w:leader="dot" w:pos="10250"/>
            </w:tabs>
            <w:rPr>
              <w:rFonts w:asciiTheme="minorHAnsi" w:eastAsiaTheme="minorEastAsia" w:hAnsiTheme="minorHAnsi" w:cstheme="minorBidi"/>
              <w:noProof/>
              <w:sz w:val="22"/>
              <w:lang w:val="en-US"/>
            </w:rPr>
          </w:pPr>
          <w:hyperlink w:anchor="_Toc238550979" w:history="1">
            <w:r>
              <w:rPr>
                <w:rStyle w:val="Hyperlink"/>
                <w:noProof/>
                <w:lang w:val="en-US"/>
              </w:rPr>
              <w:t>1.2</w:t>
            </w:r>
            <w:r>
              <w:rPr>
                <w:rFonts w:asciiTheme="minorHAnsi" w:eastAsiaTheme="minorEastAsia" w:hAnsiTheme="minorHAnsi" w:cstheme="minorBidi"/>
                <w:noProof/>
                <w:sz w:val="22"/>
                <w:lang w:val="en-US"/>
              </w:rPr>
              <w:tab/>
            </w:r>
            <w:r>
              <w:rPr>
                <w:rStyle w:val="Hyperlink"/>
                <w:noProof/>
                <w:lang w:val="en-US"/>
              </w:rPr>
              <w:t>Problem Statement and Research Gap in Urban Propagation Modeling</w:t>
            </w:r>
            <w:r>
              <w:rPr>
                <w:noProof/>
                <w:webHidden/>
              </w:rPr>
              <w:tab/>
              <w:fldChar w:fldCharType="begin"/>
              <w:instrText xml:space="preserve"> PAGEREF _Toc238550979 \h </w:instrText>
              <w:fldChar w:fldCharType="separate"/>
              <w:t>16</w:t>
              <w:fldChar w:fldCharType="end"/>
            </w:r>
          </w:hyperlink>
        </w:p>
        <w:p w14:paraId="4C07523E" w14:textId="376E4EAF" w:rsidR="00A27A6C" w:rsidRDefault="00A27A6C">
          <w:pPr>
            <w:pStyle w:val="TOC2"/>
            <w:tabs>
              <w:tab w:val="left" w:pos="880"/>
              <w:tab w:val="right" w:leader="dot" w:pos="10250"/>
            </w:tabs>
            <w:rPr>
              <w:rFonts w:asciiTheme="minorHAnsi" w:eastAsiaTheme="minorEastAsia" w:hAnsiTheme="minorHAnsi" w:cstheme="minorBidi"/>
              <w:noProof/>
              <w:sz w:val="22"/>
              <w:lang w:val="en-US"/>
            </w:rPr>
          </w:pPr>
          <w:hyperlink w:anchor="_Toc238550980" w:history="1">
            <w:r>
              <w:rPr>
                <w:rStyle w:val="Hyperlink"/>
                <w:noProof/>
                <w:lang w:val="en-US"/>
              </w:rPr>
              <w:t>1.3</w:t>
            </w:r>
            <w:r>
              <w:rPr>
                <w:rFonts w:asciiTheme="minorHAnsi" w:eastAsiaTheme="minorEastAsia" w:hAnsiTheme="minorHAnsi" w:cstheme="minorBidi"/>
                <w:noProof/>
                <w:sz w:val="22"/>
                <w:lang w:val="en-US"/>
              </w:rPr>
              <w:tab/>
            </w:r>
            <w:r>
              <w:rPr>
                <w:rStyle w:val="Hyperlink"/>
                <w:noProof/>
                <w:lang w:val="en-US"/>
              </w:rPr>
              <w:t>Ray Tracing as a Solution and the Role of RT</w:t>
            </w:r>
            <w:r>
              <w:rPr>
                <w:noProof/>
                <w:webHidden/>
              </w:rPr>
              <w:tab/>
              <w:fldChar w:fldCharType="begin"/>
              <w:instrText xml:space="preserve"> PAGEREF _Toc238550980 \h </w:instrText>
              <w:fldChar w:fldCharType="separate"/>
              <w:t>17</w:t>
              <w:fldChar w:fldCharType="end"/>
            </w:r>
          </w:hyperlink>
        </w:p>
        <w:p w14:paraId="4FEB0524" w14:textId="7B97AB4D" w:rsidR="00A27A6C" w:rsidRDefault="00A27A6C">
          <w:pPr>
            <w:pStyle w:val="TOC2"/>
            <w:tabs>
              <w:tab w:val="left" w:pos="880"/>
              <w:tab w:val="right" w:leader="dot" w:pos="10250"/>
            </w:tabs>
            <w:rPr>
              <w:rFonts w:asciiTheme="minorHAnsi" w:eastAsiaTheme="minorEastAsia" w:hAnsiTheme="minorHAnsi" w:cstheme="minorBidi"/>
              <w:noProof/>
              <w:sz w:val="22"/>
              <w:lang w:val="en-US"/>
            </w:rPr>
          </w:pPr>
          <w:hyperlink w:anchor="_Toc238550981" w:history="1">
            <w:r>
              <w:rPr>
                <w:rStyle w:val="Hyperlink"/>
                <w:noProof/>
                <w:lang w:val="en-US"/>
              </w:rPr>
              <w:t>1.4</w:t>
            </w:r>
            <w:r>
              <w:rPr>
                <w:rFonts w:asciiTheme="minorHAnsi" w:eastAsiaTheme="minorEastAsia" w:hAnsiTheme="minorHAnsi" w:cstheme="minorBidi"/>
                <w:noProof/>
                <w:sz w:val="22"/>
                <w:lang w:val="en-US"/>
              </w:rPr>
              <w:tab/>
            </w:r>
            <w:r>
              <w:rPr>
                <w:rStyle w:val="Hyperlink"/>
                <w:noProof/>
                <w:lang w:val="en-US"/>
              </w:rPr>
              <w:t>Study Area Selection and the Importance of Radio Environmental Maps</w:t>
            </w:r>
            <w:r>
              <w:rPr>
                <w:noProof/>
                <w:webHidden/>
              </w:rPr>
              <w:tab/>
              <w:fldChar w:fldCharType="begin"/>
              <w:instrText xml:space="preserve"> PAGEREF _Toc238550981 \h </w:instrText>
              <w:fldChar w:fldCharType="separate"/>
              <w:t>18</w:t>
              <w:fldChar w:fldCharType="end"/>
            </w:r>
          </w:hyperlink>
        </w:p>
        <w:p w14:paraId="06311025" w14:textId="5B20A65D" w:rsidR="00A27A6C" w:rsidRDefault="00A27A6C">
          <w:pPr>
            <w:pStyle w:val="TOC2"/>
            <w:tabs>
              <w:tab w:val="left" w:pos="880"/>
              <w:tab w:val="right" w:leader="dot" w:pos="10250"/>
            </w:tabs>
            <w:rPr>
              <w:rFonts w:asciiTheme="minorHAnsi" w:eastAsiaTheme="minorEastAsia" w:hAnsiTheme="minorHAnsi" w:cstheme="minorBidi"/>
              <w:noProof/>
              <w:sz w:val="22"/>
              <w:lang w:val="en-US"/>
            </w:rPr>
          </w:pPr>
          <w:hyperlink w:anchor="_Toc238550982" w:history="1">
            <w:r>
              <w:rPr>
                <w:rStyle w:val="Hyperlink"/>
                <w:noProof/>
                <w:lang w:val="en-US"/>
              </w:rPr>
              <w:t>1.5</w:t>
            </w:r>
            <w:r>
              <w:rPr>
                <w:rFonts w:asciiTheme="minorHAnsi" w:eastAsiaTheme="minorEastAsia" w:hAnsiTheme="minorHAnsi" w:cstheme="minorBidi"/>
                <w:noProof/>
                <w:sz w:val="22"/>
                <w:lang w:val="en-US"/>
              </w:rPr>
              <w:tab/>
            </w:r>
            <w:r>
              <w:rPr>
                <w:rStyle w:val="Hyperlink"/>
                <w:noProof/>
                <w:lang w:val="en-US"/>
              </w:rPr>
              <w:t>Research Questions and Objectives</w:t>
            </w:r>
            <w:r>
              <w:rPr>
                <w:noProof/>
                <w:webHidden/>
              </w:rPr>
              <w:tab/>
              <w:fldChar w:fldCharType="begin"/>
              <w:instrText xml:space="preserve"> PAGEREF _Toc238550982 \h </w:instrText>
              <w:fldChar w:fldCharType="separate"/>
              <w:t>18</w:t>
              <w:fldChar w:fldCharType="end"/>
            </w:r>
          </w:hyperlink>
        </w:p>
        <w:p w14:paraId="23451BA8" w14:textId="2053010B" w:rsidR="00A27A6C" w:rsidRDefault="00A27A6C">
          <w:pPr>
            <w:pStyle w:val="TOC2"/>
            <w:tabs>
              <w:tab w:val="left" w:pos="880"/>
              <w:tab w:val="right" w:leader="dot" w:pos="10250"/>
            </w:tabs>
            <w:rPr>
              <w:rFonts w:asciiTheme="minorHAnsi" w:eastAsiaTheme="minorEastAsia" w:hAnsiTheme="minorHAnsi" w:cstheme="minorBidi"/>
              <w:noProof/>
              <w:sz w:val="22"/>
              <w:lang w:val="en-US"/>
            </w:rPr>
          </w:pPr>
          <w:hyperlink w:anchor="_Toc238550983" w:history="1">
            <w:r>
              <w:rPr>
                <w:rStyle w:val="Hyperlink"/>
                <w:noProof/>
                <w:lang w:val="en-US"/>
              </w:rPr>
              <w:t>1.6</w:t>
            </w:r>
            <w:r>
              <w:rPr>
                <w:rFonts w:asciiTheme="minorHAnsi" w:eastAsiaTheme="minorEastAsia" w:hAnsiTheme="minorHAnsi" w:cstheme="minorBidi"/>
                <w:noProof/>
                <w:sz w:val="22"/>
                <w:lang w:val="en-US"/>
              </w:rPr>
              <w:tab/>
            </w:r>
            <w:r>
              <w:rPr>
                <w:rStyle w:val="Hyperlink"/>
                <w:noProof/>
                <w:lang w:val="en-US"/>
              </w:rPr>
              <w:t>Thesis Structure Overview</w:t>
            </w:r>
            <w:r>
              <w:rPr>
                <w:noProof/>
                <w:webHidden/>
              </w:rPr>
              <w:tab/>
              <w:fldChar w:fldCharType="begin"/>
              <w:instrText xml:space="preserve"> PAGEREF _Toc238550983 \h </w:instrText>
              <w:fldChar w:fldCharType="separate"/>
              <w:t>19</w:t>
              <w:fldChar w:fldCharType="end"/>
            </w:r>
          </w:hyperlink>
        </w:p>
        <w:p w14:paraId="2D42C90F" w14:textId="68685975" w:rsidR="00A27A6C" w:rsidRDefault="00A27A6C">
          <w:pPr>
            <w:pStyle w:val="TOC2"/>
            <w:tabs>
              <w:tab w:val="left" w:pos="880"/>
              <w:tab w:val="right" w:leader="dot" w:pos="10250"/>
            </w:tabs>
            <w:rPr>
              <w:rFonts w:asciiTheme="minorHAnsi" w:eastAsiaTheme="minorEastAsia" w:hAnsiTheme="minorHAnsi" w:cstheme="minorBidi"/>
              <w:noProof/>
              <w:sz w:val="22"/>
              <w:lang w:val="en-US"/>
            </w:rPr>
          </w:pPr>
          <w:hyperlink w:anchor="_Toc238550984" w:history="1">
            <w:r>
              <w:rPr>
                <w:rStyle w:val="Hyperlink"/>
                <w:rFonts w:ascii="Times New Roman" w:hAnsi="Times New Roman"/>
                <w:noProof/>
                <w:lang w:val="en-US"/>
              </w:rPr>
              <w:t>1.7</w:t>
            </w:r>
            <w:r>
              <w:rPr>
                <w:rFonts w:asciiTheme="minorHAnsi" w:eastAsiaTheme="minorEastAsia" w:hAnsiTheme="minorHAnsi" w:cstheme="minorBidi"/>
                <w:noProof/>
                <w:sz w:val="22"/>
                <w:lang w:val="en-US"/>
              </w:rPr>
              <w:tab/>
            </w:r>
            <w:r>
              <w:rPr>
                <w:rStyle w:val="Hyperlink"/>
                <w:noProof/>
              </w:rPr>
              <w:t>Thesis Structure Overview</w:t>
            </w:r>
            <w:r>
              <w:rPr>
                <w:noProof/>
                <w:webHidden/>
              </w:rPr>
              <w:tab/>
              <w:fldChar w:fldCharType="begin"/>
              <w:instrText xml:space="preserve"> PAGEREF _Toc238550984 \h </w:instrText>
              <w:fldChar w:fldCharType="separate"/>
              <w:t>20</w:t>
              <w:fldChar w:fldCharType="end"/>
            </w:r>
          </w:hyperlink>
        </w:p>
        <w:p w14:paraId="762813CC" w14:textId="5AC88EE9" w:rsidR="00A27A6C" w:rsidRDefault="00A27A6C">
          <w:pPr>
            <w:pStyle w:val="TOC1"/>
            <w:tabs>
              <w:tab w:val="left" w:pos="440"/>
            </w:tabs>
            <w:rPr>
              <w:rFonts w:asciiTheme="minorHAnsi" w:eastAsiaTheme="minorEastAsia" w:hAnsiTheme="minorHAnsi" w:cstheme="minorBidi"/>
              <w:sz w:val="22"/>
              <w:lang w:bidi="ar-SA"/>
            </w:rPr>
          </w:pPr>
          <w:hyperlink w:anchor="_Toc238550985" w:history="1">
            <w:r>
              <w:rPr>
                <w:rStyle w:val="Hyperlink"/>
              </w:rPr>
              <w:t>2</w:t>
            </w:r>
            <w:r>
              <w:rPr>
                <w:rFonts w:asciiTheme="minorHAnsi" w:eastAsiaTheme="minorEastAsia" w:hAnsiTheme="minorHAnsi" w:cstheme="minorBidi"/>
                <w:sz w:val="22"/>
                <w:lang w:bidi="ar-SA"/>
              </w:rPr>
              <w:tab/>
            </w:r>
            <w:r>
              <w:rPr>
                <w:rStyle w:val="Hyperlink"/>
              </w:rPr>
              <w:t>Literature Review (State of the Art)</w:t>
            </w:r>
            <w:r>
              <w:rPr>
                <w:webHidden/>
              </w:rPr>
              <w:tab/>
              <w:fldChar w:fldCharType="begin"/>
              <w:instrText xml:space="preserve"> PAGEREF _Toc238550985 \h </w:instrText>
              <w:fldChar w:fldCharType="separate"/>
              <w:t>23</w:t>
              <w:fldChar w:fldCharType="end"/>
            </w:r>
          </w:hyperlink>
        </w:p>
        <w:p w14:paraId="7A8C60A8" w14:textId="16D24419" w:rsidR="00A27A6C" w:rsidRDefault="00A27A6C">
          <w:pPr>
            <w:pStyle w:val="TOC2"/>
            <w:tabs>
              <w:tab w:val="left" w:pos="880"/>
              <w:tab w:val="right" w:leader="dot" w:pos="10250"/>
            </w:tabs>
            <w:rPr>
              <w:rFonts w:asciiTheme="minorHAnsi" w:eastAsiaTheme="minorEastAsia" w:hAnsiTheme="minorHAnsi" w:cstheme="minorBidi"/>
              <w:noProof/>
              <w:sz w:val="22"/>
              <w:lang w:val="en-US"/>
            </w:rPr>
          </w:pPr>
          <w:hyperlink w:anchor="_Toc238550986" w:history="1">
            <w:r>
              <w:rPr>
                <w:rStyle w:val="Hyperlink"/>
                <w:noProof/>
                <w:lang w:val="en-US" w:bidi="ar-LB"/>
              </w:rPr>
              <w:t>2.1</w:t>
            </w:r>
            <w:r>
              <w:rPr>
                <w:rFonts w:asciiTheme="minorHAnsi" w:eastAsiaTheme="minorEastAsia" w:hAnsiTheme="minorHAnsi" w:cstheme="minorBidi"/>
                <w:noProof/>
                <w:sz w:val="22"/>
                <w:lang w:val="en-US"/>
              </w:rPr>
              <w:tab/>
            </w:r>
            <w:r>
              <w:rPr>
                <w:rStyle w:val="Hyperlink"/>
                <w:noProof/>
                <w:lang w:val="en-US" w:bidi="ar-LB"/>
              </w:rPr>
              <w:t>Background of the Research Area.</w:t>
            </w:r>
            <w:r>
              <w:rPr>
                <w:noProof/>
                <w:webHidden/>
              </w:rPr>
              <w:tab/>
              <w:fldChar w:fldCharType="begin"/>
              <w:instrText xml:space="preserve"> PAGEREF _Toc238550986 \h </w:instrText>
              <w:fldChar w:fldCharType="separate"/>
              <w:t>23</w:t>
              <w:fldChar w:fldCharType="end"/>
            </w:r>
          </w:hyperlink>
        </w:p>
        <w:p w14:paraId="76650E6E" w14:textId="6AF12B4A" w:rsidR="00A27A6C" w:rsidRDefault="00A27A6C">
          <w:pPr>
            <w:pStyle w:val="TOC3"/>
            <w:tabs>
              <w:tab w:val="left" w:pos="1320"/>
              <w:tab w:val="right" w:leader="dot" w:pos="10250"/>
            </w:tabs>
            <w:rPr>
              <w:rFonts w:asciiTheme="minorHAnsi" w:eastAsiaTheme="minorEastAsia" w:hAnsiTheme="minorHAnsi" w:cstheme="minorBidi"/>
              <w:noProof/>
              <w:sz w:val="22"/>
              <w:lang w:val="en-US"/>
            </w:rPr>
          </w:pPr>
          <w:hyperlink w:anchor="_Toc238550987" w:history="1">
            <w:r>
              <w:rPr>
                <w:rStyle w:val="Hyperlink"/>
                <w:noProof/>
                <w:lang w:val="en-US" w:bidi="ar-LB"/>
              </w:rPr>
              <w:t>2.1.1</w:t>
            </w:r>
            <w:r>
              <w:rPr>
                <w:rFonts w:asciiTheme="minorHAnsi" w:eastAsiaTheme="minorEastAsia" w:hAnsiTheme="minorHAnsi" w:cstheme="minorBidi"/>
                <w:noProof/>
                <w:sz w:val="22"/>
                <w:lang w:val="en-US"/>
              </w:rPr>
              <w:tab/>
            </w:r>
            <w:r>
              <w:rPr>
                <w:rStyle w:val="Hyperlink"/>
                <w:noProof/>
                <w:lang w:val="en-US" w:bidi="ar-LB"/>
              </w:rPr>
              <w:t>Classical Propagation Models: Strengths and Limitations</w:t>
            </w:r>
            <w:r>
              <w:rPr>
                <w:noProof/>
                <w:webHidden/>
              </w:rPr>
              <w:tab/>
              <w:fldChar w:fldCharType="begin"/>
              <w:instrText xml:space="preserve"> PAGEREF _Toc238550987 \h </w:instrText>
              <w:fldChar w:fldCharType="separate"/>
              <w:t>24</w:t>
              <w:fldChar w:fldCharType="end"/>
            </w:r>
          </w:hyperlink>
        </w:p>
        <w:p w14:paraId="1DE7867A" w14:textId="514FC79F" w:rsidR="00A27A6C" w:rsidRDefault="00A27A6C">
          <w:pPr>
            <w:pStyle w:val="TOC3"/>
            <w:tabs>
              <w:tab w:val="left" w:pos="1320"/>
              <w:tab w:val="right" w:leader="dot" w:pos="10250"/>
            </w:tabs>
            <w:rPr>
              <w:rFonts w:asciiTheme="minorHAnsi" w:eastAsiaTheme="minorEastAsia" w:hAnsiTheme="minorHAnsi" w:cstheme="minorBidi"/>
              <w:noProof/>
              <w:sz w:val="22"/>
              <w:lang w:val="en-US"/>
            </w:rPr>
          </w:pPr>
          <w:hyperlink w:anchor="_Toc238550988" w:history="1">
            <w:r>
              <w:rPr>
                <w:rStyle w:val="Hyperlink"/>
                <w:noProof/>
                <w:lang w:val="en-US" w:bidi="ar-LB"/>
              </w:rPr>
              <w:t>2.1.2</w:t>
            </w:r>
            <w:r>
              <w:rPr>
                <w:rFonts w:asciiTheme="minorHAnsi" w:eastAsiaTheme="minorEastAsia" w:hAnsiTheme="minorHAnsi" w:cstheme="minorBidi"/>
                <w:noProof/>
                <w:sz w:val="22"/>
                <w:lang w:val="en-US"/>
              </w:rPr>
              <w:tab/>
            </w:r>
            <w:r>
              <w:rPr>
                <w:rStyle w:val="Hyperlink"/>
                <w:noProof/>
                <w:lang w:val="en-US" w:bidi="ar-LB"/>
              </w:rPr>
              <w:t>Ray Tracing: A Deterministic Modelling Solution</w:t>
            </w:r>
            <w:r>
              <w:rPr>
                <w:noProof/>
                <w:webHidden/>
              </w:rPr>
              <w:tab/>
              <w:fldChar w:fldCharType="begin"/>
              <w:instrText xml:space="preserve"> PAGEREF _Toc238550988 \h </w:instrText>
              <w:fldChar w:fldCharType="separate"/>
              <w:t>24</w:t>
              <w:fldChar w:fldCharType="end"/>
            </w:r>
          </w:hyperlink>
        </w:p>
        <w:p w14:paraId="561EBB2E" w14:textId="4B05FA2A" w:rsidR="00A27A6C" w:rsidRDefault="00A27A6C">
          <w:pPr>
            <w:pStyle w:val="TOC3"/>
            <w:tabs>
              <w:tab w:val="left" w:pos="1320"/>
              <w:tab w:val="right" w:leader="dot" w:pos="10250"/>
            </w:tabs>
            <w:rPr>
              <w:rFonts w:asciiTheme="minorHAnsi" w:eastAsiaTheme="minorEastAsia" w:hAnsiTheme="minorHAnsi" w:cstheme="minorBidi"/>
              <w:noProof/>
              <w:sz w:val="22"/>
              <w:lang w:val="en-US"/>
            </w:rPr>
          </w:pPr>
          <w:hyperlink w:anchor="_Toc238550989" w:history="1">
            <w:r>
              <w:rPr>
                <w:rStyle w:val="Hyperlink"/>
                <w:noProof/>
                <w:lang w:val="en-US"/>
              </w:rPr>
              <w:t>2.1.3</w:t>
            </w:r>
            <w:r>
              <w:rPr>
                <w:rFonts w:asciiTheme="minorHAnsi" w:eastAsiaTheme="minorEastAsia" w:hAnsiTheme="minorHAnsi" w:cstheme="minorBidi"/>
                <w:noProof/>
                <w:sz w:val="22"/>
                <w:lang w:val="en-US"/>
              </w:rPr>
              <w:tab/>
            </w:r>
            <w:r>
              <w:rPr>
                <w:rStyle w:val="Hyperlink"/>
                <w:noProof/>
              </w:rPr>
              <w:t>Material Modeling and Spatial Resolution</w:t>
            </w:r>
            <w:r>
              <w:rPr>
                <w:noProof/>
                <w:webHidden/>
              </w:rPr>
              <w:tab/>
              <w:fldChar w:fldCharType="begin"/>
              <w:instrText xml:space="preserve"> PAGEREF _Toc238550989 \h </w:instrText>
              <w:fldChar w:fldCharType="separate"/>
              <w:t>25</w:t>
              <w:fldChar w:fldCharType="end"/>
            </w:r>
          </w:hyperlink>
        </w:p>
        <w:p w14:paraId="73FFAAC6" w14:textId="073B96D2" w:rsidR="00A27A6C" w:rsidRDefault="00A27A6C">
          <w:pPr>
            <w:pStyle w:val="TOC3"/>
            <w:tabs>
              <w:tab w:val="left" w:pos="1320"/>
              <w:tab w:val="right" w:leader="dot" w:pos="10250"/>
            </w:tabs>
            <w:rPr>
              <w:rFonts w:asciiTheme="minorHAnsi" w:eastAsiaTheme="minorEastAsia" w:hAnsiTheme="minorHAnsi" w:cstheme="minorBidi"/>
              <w:noProof/>
              <w:sz w:val="22"/>
              <w:lang w:val="en-US"/>
            </w:rPr>
          </w:pPr>
          <w:hyperlink w:anchor="_Toc238550990" w:history="1">
            <w:r>
              <w:rPr>
                <w:rStyle w:val="Hyperlink"/>
                <w:noProof/>
              </w:rPr>
              <w:t>2.1.4</w:t>
            </w:r>
            <w:r>
              <w:rPr>
                <w:rFonts w:asciiTheme="minorHAnsi" w:eastAsiaTheme="minorEastAsia" w:hAnsiTheme="minorHAnsi" w:cstheme="minorBidi"/>
                <w:noProof/>
                <w:sz w:val="22"/>
                <w:lang w:val="en-US"/>
              </w:rPr>
              <w:tab/>
            </w:r>
            <w:r>
              <w:rPr>
                <w:rStyle w:val="Hyperlink"/>
                <w:noProof/>
              </w:rPr>
              <w:t>Vegetation Attenuation, Terrain Effects, and Differentiable Ray Tracing</w:t>
            </w:r>
            <w:r>
              <w:rPr>
                <w:noProof/>
                <w:webHidden/>
              </w:rPr>
              <w:tab/>
              <w:fldChar w:fldCharType="begin"/>
              <w:instrText xml:space="preserve"> PAGEREF _Toc238550990 \h </w:instrText>
              <w:fldChar w:fldCharType="separate"/>
              <w:t>26</w:t>
              <w:fldChar w:fldCharType="end"/>
            </w:r>
          </w:hyperlink>
        </w:p>
        <w:p w14:paraId="324770AE" w14:textId="027E3262" w:rsidR="00A27A6C" w:rsidRDefault="00A27A6C">
          <w:pPr>
            <w:pStyle w:val="TOC3"/>
            <w:tabs>
              <w:tab w:val="left" w:pos="1320"/>
              <w:tab w:val="right" w:leader="dot" w:pos="10250"/>
            </w:tabs>
            <w:rPr>
              <w:rFonts w:asciiTheme="minorHAnsi" w:eastAsiaTheme="minorEastAsia" w:hAnsiTheme="minorHAnsi" w:cstheme="minorBidi"/>
              <w:noProof/>
              <w:sz w:val="22"/>
              <w:lang w:val="en-US"/>
            </w:rPr>
          </w:pPr>
          <w:hyperlink w:anchor="_Toc238550991" w:history="1">
            <w:r>
              <w:rPr>
                <w:rStyle w:val="Hyperlink"/>
                <w:noProof/>
                <w:lang w:val="en-US"/>
              </w:rPr>
              <w:t>2.1.5</w:t>
            </w:r>
            <w:r>
              <w:rPr>
                <w:rFonts w:asciiTheme="minorHAnsi" w:eastAsiaTheme="minorEastAsia" w:hAnsiTheme="minorHAnsi" w:cstheme="minorBidi"/>
                <w:noProof/>
                <w:sz w:val="22"/>
                <w:lang w:val="en-US"/>
              </w:rPr>
              <w:tab/>
            </w:r>
            <w:r>
              <w:rPr>
                <w:rStyle w:val="Hyperlink"/>
                <w:noProof/>
              </w:rPr>
              <w:t>Path Loss Computation and Summation Methods in Ray Tracing</w:t>
            </w:r>
            <w:r>
              <w:rPr>
                <w:noProof/>
                <w:webHidden/>
              </w:rPr>
              <w:tab/>
              <w:fldChar w:fldCharType="begin"/>
              <w:instrText xml:space="preserve"> PAGEREF _Toc238550991 \h </w:instrText>
              <w:fldChar w:fldCharType="separate"/>
              <w:t>27</w:t>
              <w:fldChar w:fldCharType="end"/>
            </w:r>
          </w:hyperlink>
        </w:p>
        <w:p w14:paraId="79BA9BB3" w14:textId="64046D14" w:rsidR="00A27A6C" w:rsidRDefault="00A27A6C">
          <w:pPr>
            <w:pStyle w:val="TOC3"/>
            <w:tabs>
              <w:tab w:val="left" w:pos="1320"/>
              <w:tab w:val="right" w:leader="dot" w:pos="10250"/>
            </w:tabs>
            <w:rPr>
              <w:rFonts w:asciiTheme="minorHAnsi" w:eastAsiaTheme="minorEastAsia" w:hAnsiTheme="minorHAnsi" w:cstheme="minorBidi"/>
              <w:noProof/>
              <w:sz w:val="22"/>
              <w:lang w:val="en-US"/>
            </w:rPr>
          </w:pPr>
          <w:hyperlink w:anchor="_Toc238550992" w:history="1">
            <w:r>
              <w:rPr>
                <w:rStyle w:val="Hyperlink"/>
                <w:noProof/>
              </w:rPr>
              <w:t>2.1.6</w:t>
            </w:r>
            <w:r>
              <w:rPr>
                <w:rFonts w:asciiTheme="minorHAnsi" w:eastAsiaTheme="minorEastAsia" w:hAnsiTheme="minorHAnsi" w:cstheme="minorBidi"/>
                <w:noProof/>
                <w:sz w:val="22"/>
                <w:lang w:val="en-US"/>
              </w:rPr>
              <w:tab/>
            </w:r>
            <w:r>
              <w:rPr>
                <w:rStyle w:val="Hyperlink"/>
                <w:noProof/>
              </w:rPr>
              <w:t>Fresnel Reflection Coefficients</w:t>
            </w:r>
            <w:r>
              <w:rPr>
                <w:noProof/>
                <w:webHidden/>
              </w:rPr>
              <w:tab/>
              <w:fldChar w:fldCharType="begin"/>
              <w:instrText xml:space="preserve"> PAGEREF _Toc238550992 \h </w:instrText>
              <w:fldChar w:fldCharType="separate"/>
              <w:t>28</w:t>
              <w:fldChar w:fldCharType="end"/>
            </w:r>
          </w:hyperlink>
        </w:p>
        <w:p w14:paraId="06F40FBA" w14:textId="5A977C9E" w:rsidR="00A27A6C" w:rsidRDefault="00A27A6C">
          <w:pPr>
            <w:pStyle w:val="TOC3"/>
            <w:tabs>
              <w:tab w:val="left" w:pos="1320"/>
              <w:tab w:val="right" w:leader="dot" w:pos="10250"/>
            </w:tabs>
            <w:rPr>
              <w:rFonts w:asciiTheme="minorHAnsi" w:eastAsiaTheme="minorEastAsia" w:hAnsiTheme="minorHAnsi" w:cstheme="minorBidi"/>
              <w:noProof/>
              <w:sz w:val="22"/>
              <w:lang w:val="en-US"/>
            </w:rPr>
          </w:pPr>
          <w:hyperlink w:anchor="_Toc238550993" w:history="1">
            <w:r>
              <w:rPr>
                <w:rStyle w:val="Hyperlink"/>
                <w:noProof/>
              </w:rPr>
              <w:t>2.1.7</w:t>
            </w:r>
            <w:r>
              <w:rPr>
                <w:rFonts w:asciiTheme="minorHAnsi" w:eastAsiaTheme="minorEastAsia" w:hAnsiTheme="minorHAnsi" w:cstheme="minorBidi"/>
                <w:noProof/>
                <w:sz w:val="22"/>
                <w:lang w:val="en-US"/>
              </w:rPr>
              <w:tab/>
            </w:r>
            <w:r>
              <w:rPr>
                <w:rStyle w:val="Hyperlink"/>
                <w:noProof/>
              </w:rPr>
              <w:t>Vegetation Attenuation Formulas</w:t>
            </w:r>
            <w:r>
              <w:rPr>
                <w:noProof/>
                <w:webHidden/>
              </w:rPr>
              <w:tab/>
              <w:fldChar w:fldCharType="begin"/>
              <w:instrText xml:space="preserve"> PAGEREF _Toc238550993 \h </w:instrText>
              <w:fldChar w:fldCharType="separate"/>
              <w:t>29</w:t>
              <w:fldChar w:fldCharType="end"/>
            </w:r>
          </w:hyperlink>
        </w:p>
        <w:p w14:paraId="5C0C030C" w14:textId="1B67658D" w:rsidR="00A27A6C" w:rsidRDefault="00A27A6C">
          <w:pPr>
            <w:pStyle w:val="TOC3"/>
            <w:tabs>
              <w:tab w:val="left" w:pos="1320"/>
              <w:tab w:val="right" w:leader="dot" w:pos="10250"/>
            </w:tabs>
            <w:rPr>
              <w:rFonts w:asciiTheme="minorHAnsi" w:eastAsiaTheme="minorEastAsia" w:hAnsiTheme="minorHAnsi" w:cstheme="minorBidi"/>
              <w:noProof/>
              <w:sz w:val="22"/>
              <w:lang w:val="en-US"/>
            </w:rPr>
          </w:pPr>
          <w:hyperlink w:anchor="_Toc238550994" w:history="1">
            <w:r>
              <w:rPr>
                <w:rStyle w:val="Hyperlink"/>
                <w:noProof/>
              </w:rPr>
              <w:t>2.1.8</w:t>
            </w:r>
            <w:r>
              <w:rPr>
                <w:rFonts w:asciiTheme="minorHAnsi" w:eastAsiaTheme="minorEastAsia" w:hAnsiTheme="minorHAnsi" w:cstheme="minorBidi"/>
                <w:noProof/>
                <w:sz w:val="22"/>
                <w:lang w:val="en-US"/>
              </w:rPr>
              <w:tab/>
            </w:r>
            <w:r>
              <w:rPr>
                <w:rStyle w:val="Hyperlink"/>
                <w:noProof/>
              </w:rPr>
              <w:t>Evaluation Metrics</w:t>
            </w:r>
            <w:r>
              <w:rPr>
                <w:noProof/>
                <w:webHidden/>
              </w:rPr>
              <w:tab/>
              <w:fldChar w:fldCharType="begin"/>
              <w:instrText xml:space="preserve"> PAGEREF _Toc238550994 \h </w:instrText>
              <w:fldChar w:fldCharType="separate"/>
              <w:t>29</w:t>
              <w:fldChar w:fldCharType="end"/>
            </w:r>
          </w:hyperlink>
        </w:p>
        <w:p w14:paraId="53DDD134" w14:textId="4F657757" w:rsidR="00A27A6C" w:rsidRDefault="00A27A6C">
          <w:pPr>
            <w:pStyle w:val="TOC2"/>
            <w:tabs>
              <w:tab w:val="left" w:pos="880"/>
              <w:tab w:val="right" w:leader="dot" w:pos="10250"/>
            </w:tabs>
            <w:rPr>
              <w:rFonts w:asciiTheme="minorHAnsi" w:eastAsiaTheme="minorEastAsia" w:hAnsiTheme="minorHAnsi" w:cstheme="minorBidi"/>
              <w:noProof/>
              <w:sz w:val="22"/>
              <w:lang w:val="en-US"/>
            </w:rPr>
          </w:pPr>
          <w:hyperlink w:anchor="_Toc238550995" w:history="1">
            <w:r>
              <w:rPr>
                <w:rStyle w:val="Hyperlink"/>
                <w:noProof/>
              </w:rPr>
              <w:t>2.2</w:t>
            </w:r>
            <w:r>
              <w:rPr>
                <w:rFonts w:asciiTheme="minorHAnsi" w:eastAsiaTheme="minorEastAsia" w:hAnsiTheme="minorHAnsi" w:cstheme="minorBidi"/>
                <w:noProof/>
                <w:sz w:val="22"/>
                <w:lang w:val="en-US"/>
              </w:rPr>
              <w:tab/>
            </w:r>
            <w:r>
              <w:rPr>
                <w:rStyle w:val="Hyperlink"/>
                <w:noProof/>
              </w:rPr>
              <w:t>Review of Existing Approaches</w:t>
            </w:r>
            <w:r>
              <w:rPr>
                <w:noProof/>
                <w:webHidden/>
              </w:rPr>
              <w:tab/>
              <w:fldChar w:fldCharType="begin"/>
              <w:instrText xml:space="preserve"> PAGEREF _Toc238550995 \h </w:instrText>
              <w:fldChar w:fldCharType="separate"/>
              <w:t>29</w:t>
              <w:fldChar w:fldCharType="end"/>
            </w:r>
          </w:hyperlink>
        </w:p>
        <w:p w14:paraId="7FAF9CAA" w14:textId="36172E50" w:rsidR="00A27A6C" w:rsidRDefault="00A27A6C">
          <w:pPr>
            <w:pStyle w:val="TOC3"/>
            <w:tabs>
              <w:tab w:val="left" w:pos="1320"/>
              <w:tab w:val="right" w:leader="dot" w:pos="10250"/>
            </w:tabs>
            <w:rPr>
              <w:rFonts w:asciiTheme="minorHAnsi" w:eastAsiaTheme="minorEastAsia" w:hAnsiTheme="minorHAnsi" w:cstheme="minorBidi"/>
              <w:noProof/>
              <w:sz w:val="22"/>
              <w:lang w:val="en-US"/>
            </w:rPr>
          </w:pPr>
          <w:hyperlink w:anchor="_Toc238550996" w:history="1">
            <w:r>
              <w:rPr>
                <w:rStyle w:val="Hyperlink"/>
                <w:noProof/>
              </w:rPr>
              <w:t>2.2.1</w:t>
            </w:r>
            <w:r>
              <w:rPr>
                <w:rFonts w:asciiTheme="minorHAnsi" w:eastAsiaTheme="minorEastAsia" w:hAnsiTheme="minorHAnsi" w:cstheme="minorBidi"/>
                <w:noProof/>
                <w:sz w:val="22"/>
                <w:lang w:val="en-US"/>
              </w:rPr>
              <w:tab/>
            </w:r>
            <w:r>
              <w:rPr>
                <w:rStyle w:val="Hyperlink"/>
                <w:rFonts w:eastAsiaTheme="majorEastAsia"/>
                <w:noProof/>
              </w:rPr>
              <w:t>Classical empirical approaches.</w:t>
            </w:r>
            <w:r>
              <w:rPr>
                <w:noProof/>
                <w:webHidden/>
              </w:rPr>
              <w:tab/>
              <w:fldChar w:fldCharType="begin"/>
              <w:instrText xml:space="preserve"> PAGEREF _Toc238550996 \h </w:instrText>
              <w:fldChar w:fldCharType="separate"/>
              <w:t>29</w:t>
              <w:fldChar w:fldCharType="end"/>
            </w:r>
          </w:hyperlink>
        </w:p>
        <w:p w14:paraId="0F1A31BA" w14:textId="4A3246CF" w:rsidR="00A27A6C" w:rsidRDefault="00A27A6C">
          <w:pPr>
            <w:pStyle w:val="TOC3"/>
            <w:tabs>
              <w:tab w:val="left" w:pos="1320"/>
              <w:tab w:val="right" w:leader="dot" w:pos="10250"/>
            </w:tabs>
            <w:rPr>
              <w:rFonts w:asciiTheme="minorHAnsi" w:eastAsiaTheme="minorEastAsia" w:hAnsiTheme="minorHAnsi" w:cstheme="minorBidi"/>
              <w:noProof/>
              <w:sz w:val="22"/>
              <w:lang w:val="en-US"/>
            </w:rPr>
          </w:pPr>
          <w:hyperlink w:anchor="_Toc238550997" w:history="1">
            <w:r>
              <w:rPr>
                <w:rStyle w:val="Hyperlink"/>
                <w:noProof/>
              </w:rPr>
              <w:t>2.2.2</w:t>
            </w:r>
            <w:r>
              <w:rPr>
                <w:rFonts w:asciiTheme="minorHAnsi" w:eastAsiaTheme="minorEastAsia" w:hAnsiTheme="minorHAnsi" w:cstheme="minorBidi"/>
                <w:noProof/>
                <w:sz w:val="22"/>
                <w:lang w:val="en-US"/>
              </w:rPr>
              <w:tab/>
            </w:r>
            <w:r>
              <w:rPr>
                <w:rStyle w:val="Hyperlink"/>
                <w:rFonts w:eastAsiaTheme="majorEastAsia"/>
                <w:noProof/>
              </w:rPr>
              <w:t>Deterministic ray tracing and its calibration.</w:t>
            </w:r>
            <w:r>
              <w:rPr>
                <w:noProof/>
                <w:webHidden/>
              </w:rPr>
              <w:tab/>
              <w:fldChar w:fldCharType="begin"/>
              <w:instrText xml:space="preserve"> PAGEREF _Toc238550997 \h </w:instrText>
              <w:fldChar w:fldCharType="separate"/>
              <w:t>29</w:t>
              <w:fldChar w:fldCharType="end"/>
            </w:r>
          </w:hyperlink>
        </w:p>
        <w:p w14:paraId="7AF26BBB" w14:textId="0EA55DD8" w:rsidR="00A27A6C" w:rsidRDefault="00A27A6C">
          <w:pPr>
            <w:pStyle w:val="TOC3"/>
            <w:tabs>
              <w:tab w:val="left" w:pos="1320"/>
              <w:tab w:val="right" w:leader="dot" w:pos="10250"/>
            </w:tabs>
            <w:rPr>
              <w:rFonts w:asciiTheme="minorHAnsi" w:eastAsiaTheme="minorEastAsia" w:hAnsiTheme="minorHAnsi" w:cstheme="minorBidi"/>
              <w:noProof/>
              <w:sz w:val="22"/>
              <w:lang w:val="en-US"/>
            </w:rPr>
          </w:pPr>
          <w:hyperlink w:anchor="_Toc238550998" w:history="1">
            <w:r>
              <w:rPr>
                <w:rStyle w:val="Hyperlink"/>
                <w:noProof/>
              </w:rPr>
              <w:t>2.2.3</w:t>
            </w:r>
            <w:r>
              <w:rPr>
                <w:rFonts w:asciiTheme="minorHAnsi" w:eastAsiaTheme="minorEastAsia" w:hAnsiTheme="minorHAnsi" w:cstheme="minorBidi"/>
                <w:noProof/>
                <w:sz w:val="22"/>
                <w:lang w:val="en-US"/>
              </w:rPr>
              <w:tab/>
            </w:r>
            <w:r>
              <w:rPr>
                <w:rStyle w:val="Hyperlink"/>
                <w:rFonts w:eastAsiaTheme="majorEastAsia"/>
                <w:noProof/>
              </w:rPr>
              <w:t>Data-driven alternatives.</w:t>
            </w:r>
            <w:r>
              <w:rPr>
                <w:noProof/>
                <w:webHidden/>
              </w:rPr>
              <w:tab/>
              <w:fldChar w:fldCharType="begin"/>
              <w:instrText xml:space="preserve"> PAGEREF _Toc238550998 \h </w:instrText>
              <w:fldChar w:fldCharType="separate"/>
              <w:t>30</w:t>
              <w:fldChar w:fldCharType="end"/>
            </w:r>
          </w:hyperlink>
        </w:p>
        <w:p w14:paraId="411BE9DB" w14:textId="0FD1FA10" w:rsidR="00A27A6C" w:rsidRDefault="00A27A6C">
          <w:pPr>
            <w:pStyle w:val="TOC3"/>
            <w:tabs>
              <w:tab w:val="left" w:pos="1320"/>
              <w:tab w:val="right" w:leader="dot" w:pos="10250"/>
            </w:tabs>
            <w:rPr>
              <w:rFonts w:asciiTheme="minorHAnsi" w:eastAsiaTheme="minorEastAsia" w:hAnsiTheme="minorHAnsi" w:cstheme="minorBidi"/>
              <w:noProof/>
              <w:sz w:val="22"/>
              <w:lang w:val="en-US"/>
            </w:rPr>
          </w:pPr>
          <w:hyperlink w:anchor="_Toc238550999" w:history="1">
            <w:r>
              <w:rPr>
                <w:rStyle w:val="Hyperlink"/>
                <w:noProof/>
              </w:rPr>
              <w:t>2.2.4</w:t>
            </w:r>
            <w:r>
              <w:rPr>
                <w:rFonts w:asciiTheme="minorHAnsi" w:eastAsiaTheme="minorEastAsia" w:hAnsiTheme="minorHAnsi" w:cstheme="minorBidi"/>
                <w:noProof/>
                <w:sz w:val="22"/>
                <w:lang w:val="en-US"/>
              </w:rPr>
              <w:tab/>
            </w:r>
            <w:r>
              <w:rPr>
                <w:rStyle w:val="Hyperlink"/>
                <w:rFonts w:eastAsiaTheme="majorEastAsia"/>
                <w:noProof/>
              </w:rPr>
              <w:t>Validation against real urban measurements.</w:t>
            </w:r>
            <w:r>
              <w:rPr>
                <w:noProof/>
                <w:webHidden/>
              </w:rPr>
              <w:tab/>
              <w:fldChar w:fldCharType="begin"/>
              <w:instrText xml:space="preserve"> PAGEREF _Toc238550999 \h </w:instrText>
              <w:fldChar w:fldCharType="separate"/>
              <w:t>30</w:t>
              <w:fldChar w:fldCharType="end"/>
            </w:r>
          </w:hyperlink>
        </w:p>
        <w:p w14:paraId="66E75963" w14:textId="5B06048B" w:rsidR="00A27A6C" w:rsidRDefault="00A27A6C">
          <w:pPr>
            <w:pStyle w:val="TOC2"/>
            <w:tabs>
              <w:tab w:val="left" w:pos="880"/>
              <w:tab w:val="right" w:leader="dot" w:pos="10250"/>
            </w:tabs>
            <w:rPr>
              <w:rFonts w:asciiTheme="minorHAnsi" w:eastAsiaTheme="minorEastAsia" w:hAnsiTheme="minorHAnsi" w:cstheme="minorBidi"/>
              <w:noProof/>
              <w:sz w:val="22"/>
              <w:lang w:val="en-US"/>
            </w:rPr>
          </w:pPr>
          <w:hyperlink w:anchor="_Toc238551000" w:history="1">
            <w:r>
              <w:rPr>
                <w:rStyle w:val="Hyperlink"/>
                <w:noProof/>
              </w:rPr>
              <w:t>2.3</w:t>
            </w:r>
            <w:r>
              <w:rPr>
                <w:rFonts w:asciiTheme="minorHAnsi" w:eastAsiaTheme="minorEastAsia" w:hAnsiTheme="minorHAnsi" w:cstheme="minorBidi"/>
                <w:noProof/>
                <w:sz w:val="22"/>
                <w:lang w:val="en-US"/>
              </w:rPr>
              <w:tab/>
            </w:r>
            <w:r>
              <w:rPr>
                <w:rStyle w:val="Hyperlink"/>
                <w:noProof/>
              </w:rPr>
              <w:t>Identification of Research Gap</w:t>
            </w:r>
            <w:r>
              <w:rPr>
                <w:noProof/>
                <w:webHidden/>
              </w:rPr>
              <w:tab/>
              <w:fldChar w:fldCharType="begin"/>
              <w:instrText xml:space="preserve"> PAGEREF _Toc238551000 \h </w:instrText>
              <w:fldChar w:fldCharType="separate"/>
              <w:t>31</w:t>
              <w:fldChar w:fldCharType="end"/>
            </w:r>
          </w:hyperlink>
        </w:p>
        <w:p w14:paraId="545D1B35" w14:textId="593C7F11" w:rsidR="00A27A6C" w:rsidRDefault="00A27A6C">
          <w:pPr>
            <w:pStyle w:val="TOC1"/>
            <w:tabs>
              <w:tab w:val="left" w:pos="440"/>
            </w:tabs>
            <w:rPr>
              <w:rFonts w:asciiTheme="minorHAnsi" w:eastAsiaTheme="minorEastAsia" w:hAnsiTheme="minorHAnsi" w:cstheme="minorBidi"/>
              <w:sz w:val="22"/>
              <w:lang w:bidi="ar-SA"/>
            </w:rPr>
          </w:pPr>
          <w:hyperlink w:anchor="_Toc238551001" w:history="1">
            <w:r>
              <w:rPr>
                <w:rStyle w:val="Hyperlink"/>
              </w:rPr>
              <w:t>3</w:t>
            </w:r>
            <w:r>
              <w:rPr>
                <w:rFonts w:asciiTheme="minorHAnsi" w:eastAsiaTheme="minorEastAsia" w:hAnsiTheme="minorHAnsi" w:cstheme="minorBidi"/>
                <w:sz w:val="22"/>
                <w:lang w:bidi="ar-SA"/>
              </w:rPr>
              <w:tab/>
            </w:r>
            <w:r>
              <w:rPr>
                <w:rStyle w:val="Hyperlink"/>
              </w:rPr>
              <w:t>Research methodology</w:t>
            </w:r>
            <w:r>
              <w:rPr>
                <w:webHidden/>
              </w:rPr>
              <w:tab/>
              <w:fldChar w:fldCharType="begin"/>
              <w:instrText xml:space="preserve"> PAGEREF _Toc238551001 \h </w:instrText>
              <w:fldChar w:fldCharType="separate"/>
              <w:t>32</w:t>
              <w:fldChar w:fldCharType="end"/>
            </w:r>
          </w:hyperlink>
        </w:p>
        <w:p w14:paraId="12E99DD8" w14:textId="1F9A4327" w:rsidR="00A27A6C" w:rsidRDefault="00A27A6C">
          <w:pPr>
            <w:pStyle w:val="TOC2"/>
            <w:tabs>
              <w:tab w:val="left" w:pos="880"/>
              <w:tab w:val="right" w:leader="dot" w:pos="10250"/>
            </w:tabs>
            <w:rPr>
              <w:rFonts w:asciiTheme="minorHAnsi" w:eastAsiaTheme="minorEastAsia" w:hAnsiTheme="minorHAnsi" w:cstheme="minorBidi"/>
              <w:noProof/>
              <w:sz w:val="22"/>
              <w:lang w:val="en-US"/>
            </w:rPr>
          </w:pPr>
          <w:hyperlink w:anchor="_Toc238551002" w:history="1">
            <w:r>
              <w:rPr>
                <w:rStyle w:val="Hyperlink"/>
                <w:noProof/>
                <w:lang w:val="en-US" w:bidi="ar-LB"/>
              </w:rPr>
              <w:t>3.1</w:t>
            </w:r>
            <w:r>
              <w:rPr>
                <w:rFonts w:asciiTheme="minorHAnsi" w:eastAsiaTheme="minorEastAsia" w:hAnsiTheme="minorHAnsi" w:cstheme="minorBidi"/>
                <w:noProof/>
                <w:sz w:val="22"/>
                <w:lang w:val="en-US"/>
              </w:rPr>
              <w:tab/>
            </w:r>
            <w:r>
              <w:rPr>
                <w:rStyle w:val="Hyperlink"/>
                <w:noProof/>
                <w:lang w:val="en-US" w:bidi="ar-LB"/>
              </w:rPr>
              <w:t>General Methodological Approach</w:t>
            </w:r>
            <w:r>
              <w:rPr>
                <w:noProof/>
                <w:webHidden/>
              </w:rPr>
              <w:tab/>
              <w:fldChar w:fldCharType="begin"/>
              <w:instrText xml:space="preserve"> PAGEREF _Toc238551002 \h </w:instrText>
              <w:fldChar w:fldCharType="separate"/>
              <w:t>32</w:t>
              <w:fldChar w:fldCharType="end"/>
            </w:r>
          </w:hyperlink>
        </w:p>
        <w:p w14:paraId="275915ED" w14:textId="25980FDC" w:rsidR="00A27A6C" w:rsidRDefault="00A27A6C">
          <w:pPr>
            <w:pStyle w:val="TOC2"/>
            <w:tabs>
              <w:tab w:val="left" w:pos="880"/>
              <w:tab w:val="right" w:leader="dot" w:pos="10250"/>
            </w:tabs>
            <w:rPr>
              <w:rFonts w:asciiTheme="minorHAnsi" w:eastAsiaTheme="minorEastAsia" w:hAnsiTheme="minorHAnsi" w:cstheme="minorBidi"/>
              <w:noProof/>
              <w:sz w:val="22"/>
              <w:lang w:val="en-US"/>
            </w:rPr>
          </w:pPr>
          <w:hyperlink w:anchor="_Toc238551003" w:history="1">
            <w:r>
              <w:rPr>
                <w:rStyle w:val="Hyperlink"/>
                <w:noProof/>
                <w:lang w:val="en-US" w:bidi="ar-LB"/>
              </w:rPr>
              <w:t>3.2</w:t>
            </w:r>
            <w:r>
              <w:rPr>
                <w:rFonts w:asciiTheme="minorHAnsi" w:eastAsiaTheme="minorEastAsia" w:hAnsiTheme="minorHAnsi" w:cstheme="minorBidi"/>
                <w:noProof/>
                <w:sz w:val="22"/>
                <w:lang w:val="en-US"/>
              </w:rPr>
              <w:tab/>
            </w:r>
            <w:r>
              <w:rPr>
                <w:rStyle w:val="Hyperlink"/>
                <w:noProof/>
                <w:lang w:val="en-US" w:bidi="ar-LB"/>
              </w:rPr>
              <w:t>Tools, Models, Software, and Data Used</w:t>
            </w:r>
            <w:r>
              <w:rPr>
                <w:noProof/>
                <w:webHidden/>
              </w:rPr>
              <w:tab/>
              <w:fldChar w:fldCharType="begin"/>
              <w:instrText xml:space="preserve"> PAGEREF _Toc238551003 \h </w:instrText>
              <w:fldChar w:fldCharType="separate"/>
              <w:t>34</w:t>
              <w:fldChar w:fldCharType="end"/>
            </w:r>
          </w:hyperlink>
        </w:p>
        <w:p w14:paraId="1FAAF041" w14:textId="013DE16F" w:rsidR="00A27A6C" w:rsidRDefault="00A27A6C">
          <w:pPr>
            <w:pStyle w:val="TOC2"/>
            <w:tabs>
              <w:tab w:val="left" w:pos="880"/>
              <w:tab w:val="right" w:leader="dot" w:pos="10250"/>
            </w:tabs>
            <w:rPr>
              <w:rFonts w:asciiTheme="minorHAnsi" w:eastAsiaTheme="minorEastAsia" w:hAnsiTheme="minorHAnsi" w:cstheme="minorBidi"/>
              <w:noProof/>
              <w:sz w:val="22"/>
              <w:lang w:val="en-US"/>
            </w:rPr>
          </w:pPr>
          <w:hyperlink w:anchor="_Toc238551004" w:history="1">
            <w:r>
              <w:rPr>
                <w:rStyle w:val="Hyperlink"/>
                <w:noProof/>
                <w:lang w:val="en-US" w:bidi="ar-LB"/>
              </w:rPr>
              <w:t>3.3</w:t>
            </w:r>
            <w:r>
              <w:rPr>
                <w:rFonts w:asciiTheme="minorHAnsi" w:eastAsiaTheme="minorEastAsia" w:hAnsiTheme="minorHAnsi" w:cstheme="minorBidi"/>
                <w:noProof/>
                <w:sz w:val="22"/>
                <w:lang w:val="en-US"/>
              </w:rPr>
              <w:tab/>
            </w:r>
            <w:r>
              <w:rPr>
                <w:rStyle w:val="Hyperlink"/>
                <w:noProof/>
                <w:lang w:val="en-US" w:bidi="ar-LB"/>
              </w:rPr>
              <w:t>Assumptions, Parameters, and Constraints</w:t>
            </w:r>
            <w:r>
              <w:rPr>
                <w:noProof/>
                <w:webHidden/>
              </w:rPr>
              <w:tab/>
              <w:fldChar w:fldCharType="begin"/>
              <w:instrText xml:space="preserve"> PAGEREF _Toc238551004 \h </w:instrText>
              <w:fldChar w:fldCharType="separate"/>
              <w:t>36</w:t>
              <w:fldChar w:fldCharType="end"/>
            </w:r>
          </w:hyperlink>
        </w:p>
        <w:p w14:paraId="7BCFA834" w14:textId="311F3A7E" w:rsidR="00A27A6C" w:rsidRDefault="00A27A6C">
          <w:pPr>
            <w:pStyle w:val="TOC3"/>
            <w:tabs>
              <w:tab w:val="left" w:pos="1320"/>
              <w:tab w:val="right" w:leader="dot" w:pos="10250"/>
            </w:tabs>
            <w:rPr>
              <w:rFonts w:asciiTheme="minorHAnsi" w:eastAsiaTheme="minorEastAsia" w:hAnsiTheme="minorHAnsi" w:cstheme="minorBidi"/>
              <w:noProof/>
              <w:sz w:val="22"/>
              <w:lang w:val="en-US"/>
            </w:rPr>
          </w:pPr>
          <w:hyperlink w:anchor="_Toc238551005" w:history="1">
            <w:r>
              <w:rPr>
                <w:rStyle w:val="Hyperlink"/>
                <w:noProof/>
              </w:rPr>
              <w:t>3.3.1</w:t>
            </w:r>
            <w:r>
              <w:rPr>
                <w:rFonts w:asciiTheme="minorHAnsi" w:eastAsiaTheme="minorEastAsia" w:hAnsiTheme="minorHAnsi" w:cstheme="minorBidi"/>
                <w:noProof/>
                <w:sz w:val="22"/>
                <w:lang w:val="en-US"/>
              </w:rPr>
              <w:tab/>
            </w:r>
            <w:r>
              <w:rPr>
                <w:rStyle w:val="Hyperlink"/>
                <w:noProof/>
              </w:rPr>
              <w:t>Physical and Modelling Approximations</w:t>
            </w:r>
            <w:r>
              <w:rPr>
                <w:noProof/>
                <w:webHidden/>
              </w:rPr>
              <w:tab/>
              <w:fldChar w:fldCharType="begin"/>
              <w:instrText xml:space="preserve"> PAGEREF _Toc238551005 \h </w:instrText>
              <w:fldChar w:fldCharType="separate"/>
              <w:t>36</w:t>
              <w:fldChar w:fldCharType="end"/>
            </w:r>
          </w:hyperlink>
        </w:p>
        <w:p w14:paraId="6874D4BD" w14:textId="0F4C20CC" w:rsidR="00A27A6C" w:rsidRDefault="00A27A6C">
          <w:pPr>
            <w:pStyle w:val="TOC3"/>
            <w:tabs>
              <w:tab w:val="left" w:pos="1320"/>
              <w:tab w:val="right" w:leader="dot" w:pos="10250"/>
            </w:tabs>
            <w:rPr>
              <w:rFonts w:asciiTheme="minorHAnsi" w:eastAsiaTheme="minorEastAsia" w:hAnsiTheme="minorHAnsi" w:cstheme="minorBidi"/>
              <w:noProof/>
              <w:sz w:val="22"/>
              <w:lang w:val="en-US"/>
            </w:rPr>
          </w:pPr>
          <w:hyperlink w:anchor="_Toc238551006" w:history="1">
            <w:r>
              <w:rPr>
                <w:rStyle w:val="Hyperlink"/>
                <w:noProof/>
              </w:rPr>
              <w:t>3.3.2</w:t>
            </w:r>
            <w:r>
              <w:rPr>
                <w:rFonts w:asciiTheme="minorHAnsi" w:eastAsiaTheme="minorEastAsia" w:hAnsiTheme="minorHAnsi" w:cstheme="minorBidi"/>
                <w:noProof/>
                <w:sz w:val="22"/>
                <w:lang w:val="en-US"/>
              </w:rPr>
              <w:tab/>
            </w:r>
            <w:r>
              <w:rPr>
                <w:rStyle w:val="Hyperlink"/>
                <w:noProof/>
              </w:rPr>
              <w:t>Key Parameters</w:t>
            </w:r>
            <w:r>
              <w:rPr>
                <w:noProof/>
                <w:webHidden/>
              </w:rPr>
              <w:tab/>
              <w:fldChar w:fldCharType="begin"/>
              <w:instrText xml:space="preserve"> PAGEREF _Toc238551006 \h </w:instrText>
              <w:fldChar w:fldCharType="separate"/>
              <w:t>37</w:t>
              <w:fldChar w:fldCharType="end"/>
            </w:r>
          </w:hyperlink>
        </w:p>
        <w:p w14:paraId="65124E9E" w14:textId="48CEE53A" w:rsidR="00A27A6C" w:rsidRDefault="00A27A6C">
          <w:pPr>
            <w:pStyle w:val="TOC3"/>
            <w:tabs>
              <w:tab w:val="left" w:pos="1320"/>
              <w:tab w:val="right" w:leader="dot" w:pos="10250"/>
            </w:tabs>
            <w:rPr>
              <w:rFonts w:asciiTheme="minorHAnsi" w:eastAsiaTheme="minorEastAsia" w:hAnsiTheme="minorHAnsi" w:cstheme="minorBidi"/>
              <w:noProof/>
              <w:sz w:val="22"/>
              <w:lang w:val="en-US"/>
            </w:rPr>
          </w:pPr>
          <w:hyperlink w:anchor="_Toc238551007" w:history="1">
            <w:r>
              <w:rPr>
                <w:rStyle w:val="Hyperlink"/>
                <w:noProof/>
              </w:rPr>
              <w:t>3.3.3</w:t>
            </w:r>
            <w:r>
              <w:rPr>
                <w:rFonts w:asciiTheme="minorHAnsi" w:eastAsiaTheme="minorEastAsia" w:hAnsiTheme="minorHAnsi" w:cstheme="minorBidi"/>
                <w:noProof/>
                <w:sz w:val="22"/>
                <w:lang w:val="en-US"/>
              </w:rPr>
              <w:tab/>
            </w:r>
            <w:r>
              <w:rPr>
                <w:rStyle w:val="Hyperlink"/>
                <w:noProof/>
              </w:rPr>
              <w:t>Design Constraints and Technical Limitations</w:t>
            </w:r>
            <w:r>
              <w:rPr>
                <w:noProof/>
                <w:webHidden/>
              </w:rPr>
              <w:tab/>
              <w:fldChar w:fldCharType="begin"/>
              <w:instrText xml:space="preserve"> PAGEREF _Toc238551007 \h </w:instrText>
              <w:fldChar w:fldCharType="separate"/>
              <w:t>38</w:t>
              <w:fldChar w:fldCharType="end"/>
            </w:r>
          </w:hyperlink>
        </w:p>
        <w:p w14:paraId="0A5EFC30" w14:textId="4BFA766D" w:rsidR="00A27A6C" w:rsidRDefault="00A27A6C">
          <w:pPr>
            <w:pStyle w:val="TOC3"/>
            <w:tabs>
              <w:tab w:val="left" w:pos="1320"/>
              <w:tab w:val="right" w:leader="dot" w:pos="10250"/>
            </w:tabs>
            <w:rPr>
              <w:rFonts w:asciiTheme="minorHAnsi" w:eastAsiaTheme="minorEastAsia" w:hAnsiTheme="minorHAnsi" w:cstheme="minorBidi"/>
              <w:noProof/>
              <w:sz w:val="22"/>
              <w:lang w:val="en-US"/>
            </w:rPr>
          </w:pPr>
          <w:hyperlink w:anchor="_Toc238551008" w:history="1">
            <w:r>
              <w:rPr>
                <w:rStyle w:val="Hyperlink"/>
                <w:noProof/>
              </w:rPr>
              <w:t>3.3.4</w:t>
            </w:r>
            <w:r>
              <w:rPr>
                <w:rFonts w:asciiTheme="minorHAnsi" w:eastAsiaTheme="minorEastAsia" w:hAnsiTheme="minorHAnsi" w:cstheme="minorBidi"/>
                <w:noProof/>
                <w:sz w:val="22"/>
                <w:lang w:val="en-US"/>
              </w:rPr>
              <w:tab/>
            </w:r>
            <w:r>
              <w:rPr>
                <w:rStyle w:val="Hyperlink"/>
                <w:noProof/>
              </w:rPr>
              <w:t>Practical and Ethical Constraints</w:t>
            </w:r>
            <w:r>
              <w:rPr>
                <w:noProof/>
                <w:webHidden/>
              </w:rPr>
              <w:tab/>
              <w:fldChar w:fldCharType="begin"/>
              <w:instrText xml:space="preserve"> PAGEREF _Toc238551008 \h </w:instrText>
              <w:fldChar w:fldCharType="separate"/>
              <w:t>38</w:t>
              <w:fldChar w:fldCharType="end"/>
            </w:r>
          </w:hyperlink>
        </w:p>
        <w:p w14:paraId="78FD696B" w14:textId="4BECC98B" w:rsidR="00A27A6C" w:rsidRDefault="00A27A6C">
          <w:pPr>
            <w:pStyle w:val="TOC2"/>
            <w:tabs>
              <w:tab w:val="left" w:pos="880"/>
              <w:tab w:val="right" w:leader="dot" w:pos="10250"/>
            </w:tabs>
            <w:rPr>
              <w:rFonts w:asciiTheme="minorHAnsi" w:eastAsiaTheme="minorEastAsia" w:hAnsiTheme="minorHAnsi" w:cstheme="minorBidi"/>
              <w:noProof/>
              <w:sz w:val="22"/>
              <w:lang w:val="en-US"/>
            </w:rPr>
          </w:pPr>
          <w:hyperlink w:anchor="_Toc238551009" w:history="1">
            <w:r>
              <w:rPr>
                <w:rStyle w:val="Hyperlink"/>
                <w:noProof/>
                <w:lang w:val="en-US" w:bidi="ar-LB"/>
              </w:rPr>
              <w:t>3.4</w:t>
            </w:r>
            <w:r>
              <w:rPr>
                <w:rFonts w:asciiTheme="minorHAnsi" w:eastAsiaTheme="minorEastAsia" w:hAnsiTheme="minorHAnsi" w:cstheme="minorBidi"/>
                <w:noProof/>
                <w:sz w:val="22"/>
                <w:lang w:val="en-US"/>
              </w:rPr>
              <w:tab/>
            </w:r>
            <w:r>
              <w:rPr>
                <w:rStyle w:val="Hyperlink"/>
                <w:noProof/>
                <w:lang w:val="en-US" w:bidi="ar-LB"/>
              </w:rPr>
              <w:t>Experimental / Numerical / Analytical Procedures</w:t>
            </w:r>
            <w:r>
              <w:rPr>
                <w:noProof/>
                <w:webHidden/>
              </w:rPr>
              <w:tab/>
              <w:fldChar w:fldCharType="begin"/>
              <w:instrText xml:space="preserve"> PAGEREF _Toc238551009 \h </w:instrText>
              <w:fldChar w:fldCharType="separate"/>
              <w:t>38</w:t>
              <w:fldChar w:fldCharType="end"/>
            </w:r>
          </w:hyperlink>
        </w:p>
        <w:p w14:paraId="2CC21F9D" w14:textId="5250FCE7" w:rsidR="00A27A6C" w:rsidRDefault="00A27A6C">
          <w:pPr>
            <w:pStyle w:val="TOC3"/>
            <w:tabs>
              <w:tab w:val="left" w:pos="1320"/>
              <w:tab w:val="right" w:leader="dot" w:pos="10250"/>
            </w:tabs>
            <w:rPr>
              <w:rFonts w:asciiTheme="minorHAnsi" w:eastAsiaTheme="minorEastAsia" w:hAnsiTheme="minorHAnsi" w:cstheme="minorBidi"/>
              <w:noProof/>
              <w:sz w:val="22"/>
              <w:lang w:val="en-US"/>
            </w:rPr>
          </w:pPr>
          <w:hyperlink w:anchor="_Toc238551010" w:history="1">
            <w:r>
              <w:rPr>
                <w:rStyle w:val="Hyperlink"/>
                <w:noProof/>
              </w:rPr>
              <w:t>3.4.1</w:t>
            </w:r>
            <w:r>
              <w:rPr>
                <w:rFonts w:asciiTheme="minorHAnsi" w:eastAsiaTheme="minorEastAsia" w:hAnsiTheme="minorHAnsi" w:cstheme="minorBidi"/>
                <w:noProof/>
                <w:sz w:val="22"/>
                <w:lang w:val="en-US"/>
              </w:rPr>
              <w:tab/>
            </w:r>
            <w:r>
              <w:rPr>
                <w:rStyle w:val="Hyperlink"/>
                <w:noProof/>
              </w:rPr>
              <w:t>Step</w:t>
              <w:noBreakHyphen/>
              <w:t>by</w:t>
              <w:noBreakHyphen/>
              <w:t>Step Procedure</w:t>
            </w:r>
            <w:r>
              <w:rPr>
                <w:noProof/>
                <w:webHidden/>
              </w:rPr>
              <w:tab/>
              <w:fldChar w:fldCharType="begin"/>
              <w:instrText xml:space="preserve"> PAGEREF _Toc238551010 \h </w:instrText>
              <w:fldChar w:fldCharType="separate"/>
              <w:t>39</w:t>
              <w:fldChar w:fldCharType="end"/>
            </w:r>
          </w:hyperlink>
        </w:p>
        <w:p w14:paraId="2E4399AF" w14:textId="544E0DAD" w:rsidR="00A27A6C" w:rsidRDefault="00A27A6C">
          <w:pPr>
            <w:pStyle w:val="TOC3"/>
            <w:tabs>
              <w:tab w:val="left" w:pos="1320"/>
              <w:tab w:val="right" w:leader="dot" w:pos="10250"/>
            </w:tabs>
            <w:rPr>
              <w:rFonts w:asciiTheme="minorHAnsi" w:eastAsiaTheme="minorEastAsia" w:hAnsiTheme="minorHAnsi" w:cstheme="minorBidi"/>
              <w:noProof/>
              <w:sz w:val="22"/>
              <w:lang w:val="en-US"/>
            </w:rPr>
          </w:pPr>
          <w:hyperlink w:anchor="_Toc238551011" w:history="1">
            <w:r>
              <w:rPr>
                <w:rStyle w:val="Hyperlink"/>
                <w:noProof/>
              </w:rPr>
              <w:t>3.4.2</w:t>
            </w:r>
            <w:r>
              <w:rPr>
                <w:rFonts w:asciiTheme="minorHAnsi" w:eastAsiaTheme="minorEastAsia" w:hAnsiTheme="minorHAnsi" w:cstheme="minorBidi"/>
                <w:noProof/>
                <w:sz w:val="22"/>
                <w:lang w:val="en-US"/>
              </w:rPr>
              <w:tab/>
            </w:r>
            <w:r>
              <w:rPr>
                <w:rStyle w:val="Hyperlink"/>
                <w:noProof/>
              </w:rPr>
              <w:t>Reproducibility</w:t>
            </w:r>
            <w:r>
              <w:rPr>
                <w:noProof/>
                <w:webHidden/>
              </w:rPr>
              <w:tab/>
              <w:fldChar w:fldCharType="begin"/>
              <w:instrText xml:space="preserve"> PAGEREF _Toc238551011 \h </w:instrText>
              <w:fldChar w:fldCharType="separate"/>
              <w:t>40</w:t>
              <w:fldChar w:fldCharType="end"/>
            </w:r>
          </w:hyperlink>
        </w:p>
        <w:p w14:paraId="726BABA2" w14:textId="43EDB79D" w:rsidR="00A27A6C" w:rsidRDefault="00A27A6C">
          <w:pPr>
            <w:pStyle w:val="TOC1"/>
            <w:tabs>
              <w:tab w:val="left" w:pos="440"/>
            </w:tabs>
            <w:rPr>
              <w:rFonts w:asciiTheme="minorHAnsi" w:eastAsiaTheme="minorEastAsia" w:hAnsiTheme="minorHAnsi" w:cstheme="minorBidi"/>
              <w:sz w:val="22"/>
              <w:lang w:bidi="ar-SA"/>
            </w:rPr>
          </w:pPr>
          <w:hyperlink w:anchor="_Toc238551012" w:history="1">
            <w:r>
              <w:rPr>
                <w:rStyle w:val="Hyperlink"/>
              </w:rPr>
              <w:t>4</w:t>
            </w:r>
            <w:r>
              <w:rPr>
                <w:rFonts w:asciiTheme="minorHAnsi" w:eastAsiaTheme="minorEastAsia" w:hAnsiTheme="minorHAnsi" w:cstheme="minorBidi"/>
                <w:sz w:val="22"/>
                <w:lang w:bidi="ar-SA"/>
              </w:rPr>
              <w:tab/>
            </w:r>
            <w:r>
              <w:rPr>
                <w:rStyle w:val="Hyperlink"/>
              </w:rPr>
              <w:t>Implementation / Experimental Setup / Simulation</w:t>
            </w:r>
            <w:r>
              <w:rPr>
                <w:webHidden/>
              </w:rPr>
              <w:tab/>
              <w:fldChar w:fldCharType="begin"/>
              <w:instrText xml:space="preserve"> PAGEREF _Toc238551012 \h </w:instrText>
              <w:fldChar w:fldCharType="separate"/>
              <w:t>42</w:t>
              <w:fldChar w:fldCharType="end"/>
            </w:r>
          </w:hyperlink>
        </w:p>
        <w:p w14:paraId="27A4569F" w14:textId="47F58266" w:rsidR="00A27A6C" w:rsidRDefault="00A27A6C">
          <w:pPr>
            <w:pStyle w:val="TOC2"/>
            <w:tabs>
              <w:tab w:val="left" w:pos="880"/>
              <w:tab w:val="right" w:leader="dot" w:pos="10250"/>
            </w:tabs>
            <w:rPr>
              <w:rFonts w:asciiTheme="minorHAnsi" w:eastAsiaTheme="minorEastAsia" w:hAnsiTheme="minorHAnsi" w:cstheme="minorBidi"/>
              <w:noProof/>
              <w:sz w:val="22"/>
              <w:lang w:val="en-US"/>
            </w:rPr>
          </w:pPr>
          <w:hyperlink w:anchor="_Toc238551013" w:history="1">
            <w:r>
              <w:rPr>
                <w:rStyle w:val="Hyperlink"/>
                <w:noProof/>
                <w:lang w:val="en-US" w:bidi="ar-LB"/>
              </w:rPr>
              <w:t>4.1</w:t>
            </w:r>
            <w:r>
              <w:rPr>
                <w:rFonts w:asciiTheme="minorHAnsi" w:eastAsiaTheme="minorEastAsia" w:hAnsiTheme="minorHAnsi" w:cstheme="minorBidi"/>
                <w:noProof/>
                <w:sz w:val="22"/>
                <w:lang w:val="en-US"/>
              </w:rPr>
              <w:tab/>
            </w:r>
            <w:r>
              <w:rPr>
                <w:rStyle w:val="Hyperlink"/>
                <w:noProof/>
                <w:lang w:val="en-US" w:bidi="ar-LB"/>
              </w:rPr>
              <w:t>Model Development or System Implementation</w:t>
            </w:r>
            <w:r>
              <w:rPr>
                <w:noProof/>
                <w:webHidden/>
              </w:rPr>
              <w:tab/>
              <w:fldChar w:fldCharType="begin"/>
              <w:instrText xml:space="preserve"> PAGEREF _Toc238551013 \h </w:instrText>
              <w:fldChar w:fldCharType="separate"/>
              <w:t>42</w:t>
              <w:fldChar w:fldCharType="end"/>
            </w:r>
          </w:hyperlink>
        </w:p>
        <w:p w14:paraId="669BD379" w14:textId="7FC73D6D" w:rsidR="00A27A6C" w:rsidRDefault="00A27A6C">
          <w:pPr>
            <w:pStyle w:val="TOC2"/>
            <w:tabs>
              <w:tab w:val="left" w:pos="880"/>
              <w:tab w:val="right" w:leader="dot" w:pos="10250"/>
            </w:tabs>
            <w:rPr>
              <w:rFonts w:asciiTheme="minorHAnsi" w:eastAsiaTheme="minorEastAsia" w:hAnsiTheme="minorHAnsi" w:cstheme="minorBidi"/>
              <w:noProof/>
              <w:sz w:val="22"/>
              <w:lang w:val="en-US"/>
            </w:rPr>
          </w:pPr>
          <w:hyperlink w:anchor="_Toc238551014" w:history="1">
            <w:r>
              <w:rPr>
                <w:rStyle w:val="Hyperlink"/>
                <w:noProof/>
                <w:lang w:val="en-US" w:bidi="ar-LB"/>
              </w:rPr>
              <w:t>4.2</w:t>
            </w:r>
            <w:r>
              <w:rPr>
                <w:rFonts w:asciiTheme="minorHAnsi" w:eastAsiaTheme="minorEastAsia" w:hAnsiTheme="minorHAnsi" w:cstheme="minorBidi"/>
                <w:noProof/>
                <w:sz w:val="22"/>
                <w:lang w:val="en-US"/>
              </w:rPr>
              <w:tab/>
            </w:r>
            <w:r>
              <w:rPr>
                <w:rStyle w:val="Hyperlink"/>
                <w:noProof/>
                <w:lang w:val="en-US" w:bidi="ar-LB"/>
              </w:rPr>
              <w:t>Experimental or Simulation Setup</w:t>
            </w:r>
            <w:r>
              <w:rPr>
                <w:noProof/>
                <w:webHidden/>
              </w:rPr>
              <w:tab/>
              <w:fldChar w:fldCharType="begin"/>
              <w:instrText xml:space="preserve"> PAGEREF _Toc238551014 \h </w:instrText>
              <w:fldChar w:fldCharType="separate"/>
              <w:t>42</w:t>
              <w:fldChar w:fldCharType="end"/>
            </w:r>
          </w:hyperlink>
        </w:p>
        <w:p w14:paraId="030CAE44" w14:textId="7B792571" w:rsidR="00A27A6C" w:rsidRDefault="00A27A6C">
          <w:pPr>
            <w:pStyle w:val="TOC2"/>
            <w:tabs>
              <w:tab w:val="left" w:pos="880"/>
              <w:tab w:val="right" w:leader="dot" w:pos="10250"/>
            </w:tabs>
            <w:rPr>
              <w:rFonts w:asciiTheme="minorHAnsi" w:eastAsiaTheme="minorEastAsia" w:hAnsiTheme="minorHAnsi" w:cstheme="minorBidi"/>
              <w:noProof/>
              <w:sz w:val="22"/>
              <w:lang w:val="en-US"/>
            </w:rPr>
          </w:pPr>
          <w:hyperlink w:anchor="_Toc238551015" w:history="1">
            <w:r>
              <w:rPr>
                <w:rStyle w:val="Hyperlink"/>
                <w:noProof/>
                <w:lang w:val="en-US" w:bidi="ar-LB"/>
              </w:rPr>
              <w:t>4.3</w:t>
            </w:r>
            <w:r>
              <w:rPr>
                <w:rFonts w:asciiTheme="minorHAnsi" w:eastAsiaTheme="minorEastAsia" w:hAnsiTheme="minorHAnsi" w:cstheme="minorBidi"/>
                <w:noProof/>
                <w:sz w:val="22"/>
                <w:lang w:val="en-US"/>
              </w:rPr>
              <w:tab/>
            </w:r>
            <w:r>
              <w:rPr>
                <w:rStyle w:val="Hyperlink"/>
                <w:noProof/>
                <w:lang w:val="en-US" w:bidi="ar-LB"/>
              </w:rPr>
              <w:t>Data Collection and Processing</w:t>
            </w:r>
            <w:r>
              <w:rPr>
                <w:noProof/>
                <w:webHidden/>
              </w:rPr>
              <w:tab/>
              <w:fldChar w:fldCharType="begin"/>
              <w:instrText xml:space="preserve"> PAGEREF _Toc238551015 \h </w:instrText>
              <w:fldChar w:fldCharType="separate"/>
              <w:t>42</w:t>
              <w:fldChar w:fldCharType="end"/>
            </w:r>
          </w:hyperlink>
        </w:p>
        <w:p w14:paraId="188609FF" w14:textId="0DA235B1" w:rsidR="00A27A6C" w:rsidRDefault="00A27A6C">
          <w:pPr>
            <w:pStyle w:val="TOC2"/>
            <w:tabs>
              <w:tab w:val="left" w:pos="880"/>
              <w:tab w:val="right" w:leader="dot" w:pos="10250"/>
            </w:tabs>
            <w:rPr>
              <w:rFonts w:asciiTheme="minorHAnsi" w:eastAsiaTheme="minorEastAsia" w:hAnsiTheme="minorHAnsi" w:cstheme="minorBidi"/>
              <w:noProof/>
              <w:sz w:val="22"/>
              <w:lang w:val="en-US"/>
            </w:rPr>
          </w:pPr>
          <w:hyperlink w:anchor="_Toc238551016" w:history="1">
            <w:r>
              <w:rPr>
                <w:rStyle w:val="Hyperlink"/>
                <w:noProof/>
                <w:lang w:val="en-US" w:bidi="ar-LB"/>
              </w:rPr>
              <w:t>4.4</w:t>
            </w:r>
            <w:r>
              <w:rPr>
                <w:rFonts w:asciiTheme="minorHAnsi" w:eastAsiaTheme="minorEastAsia" w:hAnsiTheme="minorHAnsi" w:cstheme="minorBidi"/>
                <w:noProof/>
                <w:sz w:val="22"/>
                <w:lang w:val="en-US"/>
              </w:rPr>
              <w:tab/>
            </w:r>
            <w:r>
              <w:rPr>
                <w:rStyle w:val="Hyperlink"/>
                <w:noProof/>
                <w:lang w:val="en-US" w:bidi="ar-LB"/>
              </w:rPr>
              <w:t>Challenges and Adjustments</w:t>
            </w:r>
            <w:r>
              <w:rPr>
                <w:noProof/>
                <w:webHidden/>
              </w:rPr>
              <w:tab/>
              <w:fldChar w:fldCharType="begin"/>
              <w:instrText xml:space="preserve"> PAGEREF _Toc238551016 \h </w:instrText>
              <w:fldChar w:fldCharType="separate"/>
              <w:t>42</w:t>
              <w:fldChar w:fldCharType="end"/>
            </w:r>
          </w:hyperlink>
        </w:p>
        <w:p w14:paraId="693A4451" w14:textId="40973734" w:rsidR="00A27A6C" w:rsidRDefault="00A27A6C">
          <w:pPr>
            <w:pStyle w:val="TOC1"/>
            <w:tabs>
              <w:tab w:val="left" w:pos="440"/>
            </w:tabs>
            <w:rPr>
              <w:rFonts w:asciiTheme="minorHAnsi" w:eastAsiaTheme="minorEastAsia" w:hAnsiTheme="minorHAnsi" w:cstheme="minorBidi"/>
              <w:sz w:val="22"/>
              <w:lang w:bidi="ar-SA"/>
            </w:rPr>
          </w:pPr>
          <w:hyperlink w:anchor="_Toc238551017" w:history="1">
            <w:r>
              <w:rPr>
                <w:rStyle w:val="Hyperlink"/>
              </w:rPr>
              <w:t>5</w:t>
            </w:r>
            <w:r>
              <w:rPr>
                <w:rFonts w:asciiTheme="minorHAnsi" w:eastAsiaTheme="minorEastAsia" w:hAnsiTheme="minorHAnsi" w:cstheme="minorBidi"/>
                <w:sz w:val="22"/>
                <w:lang w:bidi="ar-SA"/>
              </w:rPr>
              <w:tab/>
            </w:r>
            <w:r>
              <w:rPr>
                <w:rStyle w:val="Hyperlink"/>
              </w:rPr>
              <w:t>Results and Validation</w:t>
            </w:r>
            <w:r>
              <w:rPr>
                <w:webHidden/>
              </w:rPr>
              <w:tab/>
              <w:fldChar w:fldCharType="begin"/>
              <w:instrText xml:space="preserve"> PAGEREF _Toc238551017 \h </w:instrText>
              <w:fldChar w:fldCharType="separate"/>
              <w:t>43</w:t>
              <w:fldChar w:fldCharType="end"/>
            </w:r>
          </w:hyperlink>
        </w:p>
        <w:p w14:paraId="7B5BCF9C" w14:textId="4B973BE9" w:rsidR="00A27A6C" w:rsidRDefault="00A27A6C">
          <w:pPr>
            <w:pStyle w:val="TOC2"/>
            <w:tabs>
              <w:tab w:val="left" w:pos="880"/>
              <w:tab w:val="right" w:leader="dot" w:pos="10250"/>
            </w:tabs>
            <w:rPr>
              <w:rFonts w:asciiTheme="minorHAnsi" w:eastAsiaTheme="minorEastAsia" w:hAnsiTheme="minorHAnsi" w:cstheme="minorBidi"/>
              <w:noProof/>
              <w:sz w:val="22"/>
              <w:lang w:val="en-US"/>
            </w:rPr>
          </w:pPr>
          <w:hyperlink w:anchor="_Toc238551018" w:history="1">
            <w:r>
              <w:rPr>
                <w:rStyle w:val="Hyperlink"/>
                <w:noProof/>
                <w:lang w:val="en-US" w:bidi="ar-LB"/>
              </w:rPr>
              <w:t>5.1</w:t>
            </w:r>
            <w:r>
              <w:rPr>
                <w:rFonts w:asciiTheme="minorHAnsi" w:eastAsiaTheme="minorEastAsia" w:hAnsiTheme="minorHAnsi" w:cstheme="minorBidi"/>
                <w:noProof/>
                <w:sz w:val="22"/>
                <w:lang w:val="en-US"/>
              </w:rPr>
              <w:tab/>
            </w:r>
            <w:r>
              <w:rPr>
                <w:rStyle w:val="Hyperlink"/>
                <w:noProof/>
                <w:lang w:val="en-US" w:bidi="ar-LB"/>
              </w:rPr>
              <w:t>Presentation of Results</w:t>
            </w:r>
            <w:r>
              <w:rPr>
                <w:noProof/>
                <w:webHidden/>
              </w:rPr>
              <w:tab/>
              <w:fldChar w:fldCharType="begin"/>
              <w:instrText xml:space="preserve"> PAGEREF _Toc238551018 \h </w:instrText>
              <w:fldChar w:fldCharType="separate"/>
              <w:t>43</w:t>
              <w:fldChar w:fldCharType="end"/>
            </w:r>
          </w:hyperlink>
        </w:p>
        <w:p w14:paraId="0C387B00" w14:textId="21AC5480" w:rsidR="00A27A6C" w:rsidRDefault="00A27A6C">
          <w:pPr>
            <w:pStyle w:val="TOC2"/>
            <w:tabs>
              <w:tab w:val="left" w:pos="880"/>
              <w:tab w:val="right" w:leader="dot" w:pos="10250"/>
            </w:tabs>
            <w:rPr>
              <w:rFonts w:asciiTheme="minorHAnsi" w:eastAsiaTheme="minorEastAsia" w:hAnsiTheme="minorHAnsi" w:cstheme="minorBidi"/>
              <w:noProof/>
              <w:sz w:val="22"/>
              <w:lang w:val="en-US"/>
            </w:rPr>
          </w:pPr>
          <w:hyperlink w:anchor="_Toc238551019" w:history="1">
            <w:r>
              <w:rPr>
                <w:rStyle w:val="Hyperlink"/>
                <w:noProof/>
                <w:lang w:val="en-US" w:bidi="ar-LB"/>
              </w:rPr>
              <w:t>5.2</w:t>
            </w:r>
            <w:r>
              <w:rPr>
                <w:rFonts w:asciiTheme="minorHAnsi" w:eastAsiaTheme="minorEastAsia" w:hAnsiTheme="minorHAnsi" w:cstheme="minorBidi"/>
                <w:noProof/>
                <w:sz w:val="22"/>
                <w:lang w:val="en-US"/>
              </w:rPr>
              <w:tab/>
            </w:r>
            <w:r>
              <w:rPr>
                <w:rStyle w:val="Hyperlink"/>
                <w:noProof/>
                <w:lang w:val="en-US" w:bidi="ar-LB"/>
              </w:rPr>
              <w:t>Analysis and Interpretation</w:t>
            </w:r>
            <w:r>
              <w:rPr>
                <w:noProof/>
                <w:webHidden/>
              </w:rPr>
              <w:tab/>
              <w:fldChar w:fldCharType="begin"/>
              <w:instrText xml:space="preserve"> PAGEREF _Toc238551019 \h </w:instrText>
              <w:fldChar w:fldCharType="separate"/>
              <w:t>43</w:t>
              <w:fldChar w:fldCharType="end"/>
            </w:r>
          </w:hyperlink>
        </w:p>
        <w:p w14:paraId="6DD3750E" w14:textId="3AB66B40" w:rsidR="00A27A6C" w:rsidRDefault="00A27A6C">
          <w:pPr>
            <w:pStyle w:val="TOC2"/>
            <w:tabs>
              <w:tab w:val="left" w:pos="880"/>
              <w:tab w:val="right" w:leader="dot" w:pos="10250"/>
            </w:tabs>
            <w:rPr>
              <w:rFonts w:asciiTheme="minorHAnsi" w:eastAsiaTheme="minorEastAsia" w:hAnsiTheme="minorHAnsi" w:cstheme="minorBidi"/>
              <w:noProof/>
              <w:sz w:val="22"/>
              <w:lang w:val="en-US"/>
            </w:rPr>
          </w:pPr>
          <w:hyperlink w:anchor="_Toc238551020" w:history="1">
            <w:r>
              <w:rPr>
                <w:rStyle w:val="Hyperlink"/>
                <w:noProof/>
                <w:lang w:val="en-US" w:bidi="ar-LB"/>
              </w:rPr>
              <w:t>5.3</w:t>
            </w:r>
            <w:r>
              <w:rPr>
                <w:rFonts w:asciiTheme="minorHAnsi" w:eastAsiaTheme="minorEastAsia" w:hAnsiTheme="minorHAnsi" w:cstheme="minorBidi"/>
                <w:noProof/>
                <w:sz w:val="22"/>
                <w:lang w:val="en-US"/>
              </w:rPr>
              <w:tab/>
            </w:r>
            <w:r>
              <w:rPr>
                <w:rStyle w:val="Hyperlink"/>
                <w:noProof/>
                <w:lang w:val="en-US" w:bidi="ar-LB"/>
              </w:rPr>
              <w:t>Validation of Findings</w:t>
            </w:r>
            <w:r>
              <w:rPr>
                <w:noProof/>
                <w:webHidden/>
              </w:rPr>
              <w:tab/>
              <w:fldChar w:fldCharType="begin"/>
              <w:instrText xml:space="preserve"> PAGEREF _Toc238551020 \h </w:instrText>
              <w:fldChar w:fldCharType="separate"/>
              <w:t>43</w:t>
              <w:fldChar w:fldCharType="end"/>
            </w:r>
          </w:hyperlink>
        </w:p>
        <w:p w14:paraId="643E93EB" w14:textId="270C0494" w:rsidR="00A27A6C" w:rsidRDefault="00A27A6C">
          <w:pPr>
            <w:pStyle w:val="TOC2"/>
            <w:tabs>
              <w:tab w:val="left" w:pos="880"/>
              <w:tab w:val="right" w:leader="dot" w:pos="10250"/>
            </w:tabs>
            <w:rPr>
              <w:rFonts w:asciiTheme="minorHAnsi" w:eastAsiaTheme="minorEastAsia" w:hAnsiTheme="minorHAnsi" w:cstheme="minorBidi"/>
              <w:noProof/>
              <w:sz w:val="22"/>
              <w:lang w:val="en-US"/>
            </w:rPr>
          </w:pPr>
          <w:hyperlink w:anchor="_Toc238551021" w:history="1">
            <w:r>
              <w:rPr>
                <w:rStyle w:val="Hyperlink"/>
                <w:noProof/>
                <w:lang w:val="en-US" w:bidi="ar-LB"/>
              </w:rPr>
              <w:t>5.4</w:t>
            </w:r>
            <w:r>
              <w:rPr>
                <w:rFonts w:asciiTheme="minorHAnsi" w:eastAsiaTheme="minorEastAsia" w:hAnsiTheme="minorHAnsi" w:cstheme="minorBidi"/>
                <w:noProof/>
                <w:sz w:val="22"/>
                <w:lang w:val="en-US"/>
              </w:rPr>
              <w:tab/>
            </w:r>
            <w:r>
              <w:rPr>
                <w:rStyle w:val="Hyperlink"/>
                <w:noProof/>
                <w:lang w:val="en-US" w:bidi="ar-LB"/>
              </w:rPr>
              <w:t>Sensitivity Analysis and Limitations</w:t>
            </w:r>
            <w:r>
              <w:rPr>
                <w:noProof/>
                <w:webHidden/>
              </w:rPr>
              <w:tab/>
              <w:fldChar w:fldCharType="begin"/>
              <w:instrText xml:space="preserve"> PAGEREF _Toc238551021 \h </w:instrText>
              <w:fldChar w:fldCharType="separate"/>
              <w:t>43</w:t>
              <w:fldChar w:fldCharType="end"/>
            </w:r>
          </w:hyperlink>
        </w:p>
        <w:p w14:paraId="4FBD85B2" w14:textId="2FA6B9A3" w:rsidR="00A27A6C" w:rsidRDefault="00A27A6C">
          <w:pPr>
            <w:pStyle w:val="TOC1"/>
            <w:tabs>
              <w:tab w:val="left" w:pos="440"/>
            </w:tabs>
            <w:rPr>
              <w:rFonts w:asciiTheme="minorHAnsi" w:eastAsiaTheme="minorEastAsia" w:hAnsiTheme="minorHAnsi" w:cstheme="minorBidi"/>
              <w:sz w:val="22"/>
              <w:lang w:bidi="ar-SA"/>
            </w:rPr>
          </w:pPr>
          <w:hyperlink w:anchor="_Toc238551022" w:history="1">
            <w:r>
              <w:rPr>
                <w:rStyle w:val="Hyperlink"/>
              </w:rPr>
              <w:t>6</w:t>
            </w:r>
            <w:r>
              <w:rPr>
                <w:rFonts w:asciiTheme="minorHAnsi" w:eastAsiaTheme="minorEastAsia" w:hAnsiTheme="minorHAnsi" w:cstheme="minorBidi"/>
                <w:sz w:val="22"/>
                <w:lang w:bidi="ar-SA"/>
              </w:rPr>
              <w:tab/>
            </w:r>
            <w:r>
              <w:rPr>
                <w:rStyle w:val="Hyperlink"/>
              </w:rPr>
              <w:t>Discussion and Impact</w:t>
            </w:r>
            <w:r>
              <w:rPr>
                <w:webHidden/>
              </w:rPr>
              <w:tab/>
              <w:fldChar w:fldCharType="begin"/>
              <w:instrText xml:space="preserve"> PAGEREF _Toc238551022 \h </w:instrText>
              <w:fldChar w:fldCharType="separate"/>
              <w:t>44</w:t>
              <w:fldChar w:fldCharType="end"/>
            </w:r>
          </w:hyperlink>
        </w:p>
        <w:p w14:paraId="34BEEA03" w14:textId="43BCC5F7" w:rsidR="00A27A6C" w:rsidRDefault="00A27A6C">
          <w:pPr>
            <w:pStyle w:val="TOC2"/>
            <w:tabs>
              <w:tab w:val="left" w:pos="880"/>
              <w:tab w:val="right" w:leader="dot" w:pos="10250"/>
            </w:tabs>
            <w:rPr>
              <w:rFonts w:asciiTheme="minorHAnsi" w:eastAsiaTheme="minorEastAsia" w:hAnsiTheme="minorHAnsi" w:cstheme="minorBidi"/>
              <w:noProof/>
              <w:sz w:val="22"/>
              <w:lang w:val="en-US"/>
            </w:rPr>
          </w:pPr>
          <w:hyperlink w:anchor="_Toc238551023" w:history="1">
            <w:r>
              <w:rPr>
                <w:rStyle w:val="Hyperlink"/>
                <w:noProof/>
                <w:lang w:val="en-US" w:bidi="ar-LB"/>
              </w:rPr>
              <w:t>6.1</w:t>
            </w:r>
            <w:r>
              <w:rPr>
                <w:rFonts w:asciiTheme="minorHAnsi" w:eastAsiaTheme="minorEastAsia" w:hAnsiTheme="minorHAnsi" w:cstheme="minorBidi"/>
                <w:noProof/>
                <w:sz w:val="22"/>
                <w:lang w:val="en-US"/>
              </w:rPr>
              <w:tab/>
            </w:r>
            <w:r>
              <w:rPr>
                <w:rStyle w:val="Hyperlink"/>
                <w:noProof/>
                <w:lang w:val="en-US" w:bidi="ar-LB"/>
              </w:rPr>
              <w:t>Scientific Contributions</w:t>
            </w:r>
            <w:r>
              <w:rPr>
                <w:noProof/>
                <w:webHidden/>
              </w:rPr>
              <w:tab/>
              <w:fldChar w:fldCharType="begin"/>
              <w:instrText xml:space="preserve"> PAGEREF _Toc238551023 \h </w:instrText>
              <w:fldChar w:fldCharType="separate"/>
              <w:t>44</w:t>
              <w:fldChar w:fldCharType="end"/>
            </w:r>
          </w:hyperlink>
        </w:p>
        <w:p w14:paraId="1B244198" w14:textId="727AB0A9" w:rsidR="00A27A6C" w:rsidRDefault="00A27A6C">
          <w:pPr>
            <w:pStyle w:val="TOC2"/>
            <w:tabs>
              <w:tab w:val="left" w:pos="880"/>
              <w:tab w:val="right" w:leader="dot" w:pos="10250"/>
            </w:tabs>
            <w:rPr>
              <w:rFonts w:asciiTheme="minorHAnsi" w:eastAsiaTheme="minorEastAsia" w:hAnsiTheme="minorHAnsi" w:cstheme="minorBidi"/>
              <w:noProof/>
              <w:sz w:val="22"/>
              <w:lang w:val="en-US"/>
            </w:rPr>
          </w:pPr>
          <w:hyperlink w:anchor="_Toc238551024" w:history="1">
            <w:r>
              <w:rPr>
                <w:rStyle w:val="Hyperlink"/>
                <w:noProof/>
                <w:lang w:val="en-US" w:bidi="ar-LB"/>
              </w:rPr>
              <w:t>6.2</w:t>
            </w:r>
            <w:r>
              <w:rPr>
                <w:rFonts w:asciiTheme="minorHAnsi" w:eastAsiaTheme="minorEastAsia" w:hAnsiTheme="minorHAnsi" w:cstheme="minorBidi"/>
                <w:noProof/>
                <w:sz w:val="22"/>
                <w:lang w:val="en-US"/>
              </w:rPr>
              <w:tab/>
            </w:r>
            <w:r>
              <w:rPr>
                <w:rStyle w:val="Hyperlink"/>
                <w:noProof/>
                <w:lang w:val="en-US" w:bidi="ar-LB"/>
              </w:rPr>
              <w:t>Engineering and Practical Implications</w:t>
            </w:r>
            <w:r>
              <w:rPr>
                <w:noProof/>
                <w:webHidden/>
              </w:rPr>
              <w:tab/>
              <w:fldChar w:fldCharType="begin"/>
              <w:instrText xml:space="preserve"> PAGEREF _Toc238551024 \h </w:instrText>
              <w:fldChar w:fldCharType="separate"/>
              <w:t>44</w:t>
              <w:fldChar w:fldCharType="end"/>
            </w:r>
          </w:hyperlink>
        </w:p>
        <w:p w14:paraId="58F52927" w14:textId="7C04DFFC" w:rsidR="00A27A6C" w:rsidRDefault="00A27A6C">
          <w:pPr>
            <w:pStyle w:val="TOC2"/>
            <w:tabs>
              <w:tab w:val="left" w:pos="880"/>
              <w:tab w:val="right" w:leader="dot" w:pos="10250"/>
            </w:tabs>
            <w:rPr>
              <w:rFonts w:asciiTheme="minorHAnsi" w:eastAsiaTheme="minorEastAsia" w:hAnsiTheme="minorHAnsi" w:cstheme="minorBidi"/>
              <w:noProof/>
              <w:sz w:val="22"/>
              <w:lang w:val="en-US"/>
            </w:rPr>
          </w:pPr>
          <w:hyperlink w:anchor="_Toc238551025" w:history="1">
            <w:r>
              <w:rPr>
                <w:rStyle w:val="Hyperlink"/>
                <w:noProof/>
                <w:lang w:val="en-US" w:bidi="ar-LB"/>
              </w:rPr>
              <w:t>6.3</w:t>
            </w:r>
            <w:r>
              <w:rPr>
                <w:rFonts w:asciiTheme="minorHAnsi" w:eastAsiaTheme="minorEastAsia" w:hAnsiTheme="minorHAnsi" w:cstheme="minorBidi"/>
                <w:noProof/>
                <w:sz w:val="22"/>
                <w:lang w:val="en-US"/>
              </w:rPr>
              <w:tab/>
            </w:r>
            <w:r>
              <w:rPr>
                <w:rStyle w:val="Hyperlink"/>
                <w:noProof/>
                <w:lang w:val="en-US" w:bidi="ar-LB"/>
              </w:rPr>
              <w:t>Environmental, Economic, or Societal Impacts</w:t>
            </w:r>
            <w:r>
              <w:rPr>
                <w:noProof/>
                <w:webHidden/>
              </w:rPr>
              <w:tab/>
              <w:fldChar w:fldCharType="begin"/>
              <w:instrText xml:space="preserve"> PAGEREF _Toc238551025 \h </w:instrText>
              <w:fldChar w:fldCharType="separate"/>
              <w:t>44</w:t>
              <w:fldChar w:fldCharType="end"/>
            </w:r>
          </w:hyperlink>
        </w:p>
        <w:p w14:paraId="50389B34" w14:textId="2E0F4A88" w:rsidR="00A27A6C" w:rsidRDefault="00A27A6C">
          <w:pPr>
            <w:pStyle w:val="TOC1"/>
            <w:tabs>
              <w:tab w:val="left" w:pos="440"/>
            </w:tabs>
            <w:rPr>
              <w:rFonts w:asciiTheme="minorHAnsi" w:eastAsiaTheme="minorEastAsia" w:hAnsiTheme="minorHAnsi" w:cstheme="minorBidi"/>
              <w:sz w:val="22"/>
              <w:lang w:bidi="ar-SA"/>
            </w:rPr>
          </w:pPr>
          <w:hyperlink w:anchor="_Toc238551026" w:history="1">
            <w:r>
              <w:rPr>
                <w:rStyle w:val="Hyperlink"/>
              </w:rPr>
              <w:t>7</w:t>
            </w:r>
            <w:r>
              <w:rPr>
                <w:rFonts w:asciiTheme="minorHAnsi" w:eastAsiaTheme="minorEastAsia" w:hAnsiTheme="minorHAnsi" w:cstheme="minorBidi"/>
                <w:sz w:val="22"/>
                <w:lang w:bidi="ar-SA"/>
              </w:rPr>
              <w:tab/>
            </w:r>
            <w:r>
              <w:rPr>
                <w:rStyle w:val="Hyperlink"/>
              </w:rPr>
              <w:t>Conclusion and Future Work</w:t>
            </w:r>
            <w:r>
              <w:rPr>
                <w:webHidden/>
              </w:rPr>
              <w:tab/>
              <w:fldChar w:fldCharType="begin"/>
              <w:instrText xml:space="preserve"> PAGEREF _Toc238551026 \h </w:instrText>
              <w:fldChar w:fldCharType="separate"/>
              <w:t>45</w:t>
              <w:fldChar w:fldCharType="end"/>
            </w:r>
          </w:hyperlink>
        </w:p>
        <w:p w14:paraId="26A6F228" w14:textId="40A6CBB3" w:rsidR="00A27A6C" w:rsidRDefault="00A27A6C">
          <w:pPr>
            <w:pStyle w:val="TOC2"/>
            <w:tabs>
              <w:tab w:val="left" w:pos="880"/>
              <w:tab w:val="right" w:leader="dot" w:pos="10250"/>
            </w:tabs>
            <w:rPr>
              <w:rFonts w:asciiTheme="minorHAnsi" w:eastAsiaTheme="minorEastAsia" w:hAnsiTheme="minorHAnsi" w:cstheme="minorBidi"/>
              <w:noProof/>
              <w:sz w:val="22"/>
              <w:lang w:val="en-US"/>
            </w:rPr>
          </w:pPr>
          <w:hyperlink w:anchor="_Toc238551027" w:history="1">
            <w:r>
              <w:rPr>
                <w:rStyle w:val="Hyperlink"/>
                <w:noProof/>
                <w:lang w:val="en-US" w:bidi="ar-LB"/>
              </w:rPr>
              <w:t>7.1</w:t>
            </w:r>
            <w:r>
              <w:rPr>
                <w:rFonts w:asciiTheme="minorHAnsi" w:eastAsiaTheme="minorEastAsia" w:hAnsiTheme="minorHAnsi" w:cstheme="minorBidi"/>
                <w:noProof/>
                <w:sz w:val="22"/>
                <w:lang w:val="en-US"/>
              </w:rPr>
              <w:tab/>
            </w:r>
            <w:r>
              <w:rPr>
                <w:rStyle w:val="Hyperlink"/>
                <w:noProof/>
                <w:lang w:val="en-US" w:bidi="ar-LB"/>
              </w:rPr>
              <w:t>Summary of Research Findings</w:t>
            </w:r>
            <w:r>
              <w:rPr>
                <w:noProof/>
                <w:webHidden/>
              </w:rPr>
              <w:tab/>
              <w:fldChar w:fldCharType="begin"/>
              <w:instrText xml:space="preserve"> PAGEREF _Toc238551027 \h </w:instrText>
              <w:fldChar w:fldCharType="separate"/>
              <w:t>45</w:t>
              <w:fldChar w:fldCharType="end"/>
            </w:r>
          </w:hyperlink>
        </w:p>
        <w:p w14:paraId="6DA4C152" w14:textId="7093B500" w:rsidR="00A27A6C" w:rsidRDefault="00A27A6C">
          <w:pPr>
            <w:pStyle w:val="TOC2"/>
            <w:tabs>
              <w:tab w:val="left" w:pos="880"/>
              <w:tab w:val="right" w:leader="dot" w:pos="10250"/>
            </w:tabs>
            <w:rPr>
              <w:rFonts w:asciiTheme="minorHAnsi" w:eastAsiaTheme="minorEastAsia" w:hAnsiTheme="minorHAnsi" w:cstheme="minorBidi"/>
              <w:noProof/>
              <w:sz w:val="22"/>
              <w:lang w:val="en-US"/>
            </w:rPr>
          </w:pPr>
          <w:hyperlink w:anchor="_Toc238551028" w:history="1">
            <w:r>
              <w:rPr>
                <w:rStyle w:val="Hyperlink"/>
                <w:noProof/>
                <w:lang w:val="en-US" w:bidi="ar-LB"/>
              </w:rPr>
              <w:t>7.2</w:t>
            </w:r>
            <w:r>
              <w:rPr>
                <w:rFonts w:asciiTheme="minorHAnsi" w:eastAsiaTheme="minorEastAsia" w:hAnsiTheme="minorHAnsi" w:cstheme="minorBidi"/>
                <w:noProof/>
                <w:sz w:val="22"/>
                <w:lang w:val="en-US"/>
              </w:rPr>
              <w:tab/>
            </w:r>
            <w:r>
              <w:rPr>
                <w:rStyle w:val="Hyperlink"/>
                <w:noProof/>
                <w:lang w:val="en-US" w:bidi="ar-LB"/>
              </w:rPr>
              <w:t>Conclusions Related to Research Questions</w:t>
            </w:r>
            <w:r>
              <w:rPr>
                <w:noProof/>
                <w:webHidden/>
              </w:rPr>
              <w:tab/>
              <w:fldChar w:fldCharType="begin"/>
              <w:instrText xml:space="preserve"> PAGEREF _Toc238551028 \h </w:instrText>
              <w:fldChar w:fldCharType="separate"/>
              <w:t>45</w:t>
              <w:fldChar w:fldCharType="end"/>
            </w:r>
          </w:hyperlink>
        </w:p>
        <w:p w14:paraId="649949FE" w14:textId="6DA24FD6" w:rsidR="00A27A6C" w:rsidRDefault="00A27A6C">
          <w:pPr>
            <w:pStyle w:val="TOC2"/>
            <w:tabs>
              <w:tab w:val="left" w:pos="880"/>
              <w:tab w:val="right" w:leader="dot" w:pos="10250"/>
            </w:tabs>
            <w:rPr>
              <w:rFonts w:asciiTheme="minorHAnsi" w:eastAsiaTheme="minorEastAsia" w:hAnsiTheme="minorHAnsi" w:cstheme="minorBidi"/>
              <w:noProof/>
              <w:sz w:val="22"/>
              <w:lang w:val="en-US"/>
            </w:rPr>
          </w:pPr>
          <w:hyperlink w:anchor="_Toc238551029" w:history="1">
            <w:r>
              <w:rPr>
                <w:rStyle w:val="Hyperlink"/>
                <w:noProof/>
                <w:lang w:val="en-US" w:bidi="ar-LB"/>
              </w:rPr>
              <w:t>7.3</w:t>
            </w:r>
            <w:r>
              <w:rPr>
                <w:rFonts w:asciiTheme="minorHAnsi" w:eastAsiaTheme="minorEastAsia" w:hAnsiTheme="minorHAnsi" w:cstheme="minorBidi"/>
                <w:noProof/>
                <w:sz w:val="22"/>
                <w:lang w:val="en-US"/>
              </w:rPr>
              <w:tab/>
            </w:r>
            <w:r>
              <w:rPr>
                <w:rStyle w:val="Hyperlink"/>
                <w:noProof/>
                <w:lang w:val="en-US" w:bidi="ar-LB"/>
              </w:rPr>
              <w:t>Recommendations and Future Research Directions</w:t>
            </w:r>
            <w:r>
              <w:rPr>
                <w:noProof/>
                <w:webHidden/>
              </w:rPr>
              <w:tab/>
              <w:fldChar w:fldCharType="begin"/>
              <w:instrText xml:space="preserve"> PAGEREF _Toc238551029 \h </w:instrText>
              <w:fldChar w:fldCharType="separate"/>
              <w:t>45</w:t>
              <w:fldChar w:fldCharType="end"/>
            </w:r>
          </w:hyperlink>
        </w:p>
        <w:p w14:paraId="67B881FE" w14:textId="4F6FB12C" w:rsidR="00A27A6C" w:rsidRDefault="00A27A6C">
          <w:pPr>
            <w:pStyle w:val="TOC1"/>
            <w:tabs>
              <w:tab w:val="left" w:pos="440"/>
            </w:tabs>
            <w:rPr>
              <w:rFonts w:asciiTheme="minorHAnsi" w:eastAsiaTheme="minorEastAsia" w:hAnsiTheme="minorHAnsi" w:cstheme="minorBidi"/>
              <w:sz w:val="22"/>
              <w:lang w:bidi="ar-SA"/>
            </w:rPr>
          </w:pPr>
          <w:hyperlink w:anchor="_Toc238551030" w:history="1">
            <w:r>
              <w:rPr>
                <w:rStyle w:val="Hyperlink"/>
              </w:rPr>
              <w:t>8</w:t>
            </w:r>
            <w:r>
              <w:rPr>
                <w:rFonts w:asciiTheme="minorHAnsi" w:eastAsiaTheme="minorEastAsia" w:hAnsiTheme="minorHAnsi" w:cstheme="minorBidi"/>
                <w:sz w:val="22"/>
                <w:lang w:bidi="ar-SA"/>
              </w:rPr>
              <w:tab/>
            </w:r>
            <w:r>
              <w:rPr>
                <w:rStyle w:val="Hyperlink"/>
              </w:rPr>
              <w:t>References</w:t>
            </w:r>
            <w:r>
              <w:rPr>
                <w:webHidden/>
              </w:rPr>
              <w:tab/>
              <w:fldChar w:fldCharType="begin"/>
              <w:instrText xml:space="preserve"> PAGEREF _Toc238551030 \h </w:instrText>
              <w:fldChar w:fldCharType="separate"/>
              <w:t>46</w:t>
              <w:fldChar w:fldCharType="end"/>
            </w:r>
          </w:hyperlink>
        </w:p>
        <w:p w14:paraId="2C5FDC9E" w14:textId="220DD5D3" w:rsidR="00A27A6C" w:rsidRDefault="00A27A6C">
          <w:pPr>
            <w:pStyle w:val="TOC1"/>
            <w:rPr>
              <w:rFonts w:asciiTheme="minorHAnsi" w:eastAsiaTheme="minorEastAsia" w:hAnsiTheme="minorHAnsi" w:cstheme="minorBidi"/>
              <w:sz w:val="22"/>
              <w:lang w:bidi="ar-SA"/>
            </w:rPr>
          </w:pPr>
          <w:hyperlink w:anchor="_Toc238551031" w:history="1">
            <w:r>
              <w:rPr>
                <w:rStyle w:val="Hyperlink"/>
              </w:rPr>
              <w:t>Appendix 1</w:t>
            </w:r>
            <w:r>
              <w:rPr>
                <w:webHidden/>
              </w:rPr>
              <w:tab/>
              <w:fldChar w:fldCharType="begin"/>
              <w:instrText xml:space="preserve"> PAGEREF _Toc238551031 \h </w:instrText>
              <w:fldChar w:fldCharType="separate"/>
              <w:t>47</w:t>
              <w:fldChar w:fldCharType="end"/>
            </w:r>
          </w:hyperlink>
        </w:p>
        <w:p w14:paraId="749F7016" w14:textId="2B6319F4" w:rsidR="00A27A6C" w:rsidRDefault="00A27A6C">
          <w:pPr>
            <w:pStyle w:val="TOC1"/>
            <w:rPr>
              <w:rFonts w:asciiTheme="minorHAnsi" w:eastAsiaTheme="minorEastAsia" w:hAnsiTheme="minorHAnsi" w:cstheme="minorBidi"/>
              <w:sz w:val="22"/>
              <w:lang w:bidi="ar-SA"/>
            </w:rPr>
          </w:pPr>
          <w:hyperlink w:anchor="_Toc238551032" w:history="1">
            <w:r>
              <w:rPr>
                <w:rStyle w:val="Hyperlink"/>
              </w:rPr>
              <w:t>Assessed Performance Indicators:</w:t>
            </w:r>
            <w:r>
              <w:rPr>
                <w:webHidden/>
              </w:rPr>
              <w:tab/>
              <w:fldChar w:fldCharType="begin"/>
              <w:instrText xml:space="preserve"> PAGEREF _Toc238551032 \h </w:instrText>
              <w:fldChar w:fldCharType="separate"/>
              <w:t>48</w:t>
              <w:fldChar w:fldCharType="end"/>
            </w:r>
          </w:hyperlink>
        </w:p>
        <w:p w14:paraId="239C0244" w14:textId="51CD4395" w:rsidR="00A27A6C" w:rsidRDefault="00A27A6C">
          <w:pPr>
            <w:pStyle w:val="TOC1"/>
            <w:rPr>
              <w:rFonts w:asciiTheme="minorHAnsi" w:eastAsiaTheme="minorEastAsia" w:hAnsiTheme="minorHAnsi" w:cstheme="minorBidi"/>
              <w:sz w:val="22"/>
              <w:lang w:bidi="ar-SA"/>
            </w:rPr>
          </w:pPr>
          <w:hyperlink w:anchor="_Toc238551033" w:history="1">
            <w:r>
              <w:rPr>
                <w:rStyle w:val="Hyperlink"/>
              </w:rPr>
              <w:t>Some writing guidelines</w:t>
            </w:r>
            <w:r>
              <w:rPr>
                <w:webHidden/>
              </w:rPr>
              <w:tab/>
              <w:fldChar w:fldCharType="begin"/>
              <w:instrText xml:space="preserve"> PAGEREF _Toc238551033 \h </w:instrText>
              <w:fldChar w:fldCharType="separate"/>
              <w:t>50</w:t>
              <w:fldChar w:fldCharType="end"/>
            </w:r>
          </w:hyperlink>
        </w:p>
        <w:p w14:paraId="330FB15D" w14:textId="43D8EB82" w:rsidR="00A27A6C" w:rsidRDefault="00A27A6C">
          <w:pPr>
            <w:pStyle w:val="TOC1"/>
            <w:rPr>
              <w:rFonts w:asciiTheme="minorHAnsi" w:eastAsiaTheme="minorEastAsia" w:hAnsiTheme="minorHAnsi" w:cstheme="minorBidi"/>
              <w:sz w:val="22"/>
              <w:lang w:bidi="ar-SA"/>
            </w:rPr>
          </w:pPr>
          <w:hyperlink w:anchor="_Toc238551034" w:history="1">
            <w:r>
              <w:rPr>
                <w:rStyle w:val="Hyperlink"/>
              </w:rPr>
              <w:t>Declaration of AI Usage</w:t>
            </w:r>
            <w:r>
              <w:rPr>
                <w:webHidden/>
              </w:rPr>
              <w:tab/>
              <w:fldChar w:fldCharType="begin"/>
              <w:instrText xml:space="preserve"> PAGEREF _Toc238551034 \h </w:instrText>
              <w:fldChar w:fldCharType="separate"/>
              <w:t>52</w:t>
              <w:fldChar w:fldCharType="end"/>
            </w:r>
          </w:hyperlink>
        </w:p>
        <w:p w14:paraId="070C88F1" w14:textId="7C13FB46" w:rsidR="00535B55" w:rsidRDefault="00535B55" w:rsidP="00535B55">
          <w:pPr>
            <w:spacing w:line="240" w:lineRule="auto"/>
            <w:rPr>
              <w:noProof/>
              <w:lang w:val="en-US" w:bidi="ar-LB"/>
            </w:rPr>
          </w:pPr>
          <w:r>
            <w:rPr>
              <w:b/>
              <w:bCs/>
              <w:noProof/>
              <w:lang w:val="en-US" w:bidi="ar-LB"/>
            </w:rPr>
            <w:fldChar w:fldCharType="end"/>
          </w:r>
        </w:p>
      </w:sdtContent>
    </w:sdt>
    <w:p w14:paraId="5A10B3A9" w14:textId="77777777" w:rsidR="00535B55" w:rsidRDefault="00535B55" w:rsidP="00535B55">
      <w:pPr>
        <w:jc w:val="left"/>
        <w:rPr>
          <w:lang w:val="en-US" w:bidi="ar-LB"/>
        </w:rPr>
      </w:pPr>
      <w:r>
        <w:rPr>
          <w:lang w:val="en-US" w:bidi="ar-LB"/>
        </w:rPr>
        <w:br w:type="page"/>
      </w:r>
    </w:p>
    <w:p w14:paraId="464558D1" w14:textId="77777777" w:rsidR="00521E4D" w:rsidRDefault="00805997" w:rsidP="00521E4D">
      <w:pPr>
        <w:pStyle w:val="Heading1"/>
        <w:numPr>
          <w:ilvl w:val="0"/>
          <w:numId w:val="0"/>
        </w:numPr>
        <w:ind w:left="432"/>
        <w:jc w:val="center"/>
        <w:rPr>
          <w:lang w:val="en-US" w:bidi="ar-LB"/>
        </w:rPr>
      </w:pPr>
      <w:bookmarkStart w:id="4" w:name="_Toc238550973"/>
      <w:r>
        <w:rPr>
          <w:lang w:val="en-US" w:bidi="ar-LB"/>
        </w:rPr>
        <w:lastRenderedPageBreak/>
        <w:t>List of figures</w:t>
      </w:r>
      <w:bookmarkEnd w:id="4"/>
    </w:p>
    <w:p w14:paraId="7516BDAB" w14:textId="77777777" w:rsidR="00521E4D" w:rsidRPr="00521E4D" w:rsidRDefault="00521E4D" w:rsidP="00521E4D">
      <w:pPr>
        <w:rPr>
          <w:lang w:val="en-US" w:eastAsia="fr-FR" w:bidi="ar-LB"/>
        </w:rPr>
      </w:pPr>
    </w:p>
    <w:p w14:paraId="4D6899BA" w14:textId="565C10D5" w:rsidR="00A27A6C" w:rsidRDefault="005A525B">
      <w:pPr>
        <w:pStyle w:val="TableofFigures"/>
        <w:tabs>
          <w:tab w:val="right" w:leader="dot" w:pos="10250"/>
        </w:tabs>
        <w:rPr>
          <w:rFonts w:asciiTheme="minorHAnsi" w:eastAsiaTheme="minorEastAsia" w:hAnsiTheme="minorHAnsi" w:cstheme="minorBidi"/>
          <w:noProof/>
          <w:sz w:val="22"/>
          <w:lang w:val="en-US"/>
        </w:rPr>
      </w:pPr>
      <w:r>
        <w:rPr>
          <w:lang w:val="en-US" w:eastAsia="fr-FR" w:bidi="ar-LB"/>
        </w:rPr>
        <w:fldChar w:fldCharType="begin"/>
        <w:instrText xml:space="preserve"> TOC \h \z \c "Figure" </w:instrText>
        <w:fldChar w:fldCharType="separate"/>
      </w:r>
      <w:hyperlink w:anchor="_Toc238551035" w:history="1">
        <w:r>
          <w:rPr>
            <w:rStyle w:val="Hyperlink"/>
            <w:noProof/>
          </w:rPr>
          <w:t>Figure 1 - Overall research framework linking the problem, methodology, implementation, and validation stages.</w:t>
        </w:r>
        <w:r>
          <w:rPr>
            <w:noProof/>
            <w:webHidden/>
          </w:rPr>
          <w:tab/>
          <w:fldChar w:fldCharType="begin"/>
          <w:instrText xml:space="preserve"> PAGEREF _Toc238551035 \h </w:instrText>
          <w:fldChar w:fldCharType="separate"/>
          <w:t>22</w:t>
          <w:fldChar w:fldCharType="end"/>
        </w:r>
      </w:hyperlink>
    </w:p>
    <w:p w14:paraId="40DE4F02" w14:textId="091D4BB3" w:rsidR="00A27A6C" w:rsidRDefault="00A27A6C">
      <w:pPr>
        <w:pStyle w:val="TableofFigures"/>
        <w:tabs>
          <w:tab w:val="right" w:leader="dot" w:pos="10250"/>
        </w:tabs>
        <w:rPr>
          <w:rFonts w:asciiTheme="minorHAnsi" w:eastAsiaTheme="minorEastAsia" w:hAnsiTheme="minorHAnsi" w:cstheme="minorBidi"/>
          <w:noProof/>
          <w:sz w:val="22"/>
          <w:lang w:val="en-US"/>
        </w:rPr>
      </w:pPr>
      <w:hyperlink w:anchor="_Toc238551036" w:history="1">
        <w:r>
          <w:rPr>
            <w:rStyle w:val="Hyperlink"/>
            <w:noProof/>
          </w:rPr>
          <w:t xml:space="preserve">Figure 2.1 </w:t>
        </w:r>
        <w:r>
          <w:rPr>
            <w:rStyle w:val="Hyperlink"/>
            <w:noProof/>
            <w:lang w:bidi="ar-LB"/>
          </w:rPr>
          <w:t>Illustration of ray-tracing propagation mechanisms in an urban street canyon</w:t>
        </w:r>
        <w:r>
          <w:rPr>
            <w:noProof/>
            <w:webHidden/>
          </w:rPr>
          <w:tab/>
          <w:fldChar w:fldCharType="begin"/>
          <w:instrText xml:space="preserve"> PAGEREF _Toc238551036 \h </w:instrText>
          <w:fldChar w:fldCharType="separate"/>
          <w:t>25</w:t>
          <w:fldChar w:fldCharType="end"/>
        </w:r>
      </w:hyperlink>
    </w:p>
    <w:p w14:paraId="2B89E2C9" w14:textId="4FE7ED2B" w:rsidR="00A27A6C" w:rsidRDefault="00A27A6C">
      <w:pPr>
        <w:pStyle w:val="TableofFigures"/>
        <w:tabs>
          <w:tab w:val="right" w:leader="dot" w:pos="10250"/>
        </w:tabs>
        <w:rPr>
          <w:rFonts w:asciiTheme="minorHAnsi" w:eastAsiaTheme="minorEastAsia" w:hAnsiTheme="minorHAnsi" w:cstheme="minorBidi"/>
          <w:noProof/>
          <w:sz w:val="22"/>
          <w:lang w:val="en-US"/>
        </w:rPr>
      </w:pPr>
      <w:hyperlink w:anchor="_Toc238551037" w:history="1">
        <w:r>
          <w:rPr>
            <w:rStyle w:val="Hyperlink"/>
            <w:noProof/>
          </w:rPr>
          <w:t>Figure 3 (a) Coarse Geometry                             (b) Detailed Geometry</w:t>
        </w:r>
        <w:r>
          <w:rPr>
            <w:noProof/>
            <w:webHidden/>
          </w:rPr>
          <w:tab/>
          <w:fldChar w:fldCharType="begin"/>
          <w:instrText xml:space="preserve"> PAGEREF _Toc238551037 \h </w:instrText>
          <w:fldChar w:fldCharType="separate"/>
          <w:t>26</w:t>
          <w:fldChar w:fldCharType="end"/>
        </w:r>
      </w:hyperlink>
    </w:p>
    <w:p w14:paraId="63CDF170" w14:textId="77EE0162" w:rsidR="00A27A6C" w:rsidRDefault="00A27A6C">
      <w:pPr>
        <w:pStyle w:val="TableofFigures"/>
        <w:tabs>
          <w:tab w:val="right" w:leader="dot" w:pos="10250"/>
        </w:tabs>
        <w:rPr>
          <w:rFonts w:asciiTheme="minorHAnsi" w:eastAsiaTheme="minorEastAsia" w:hAnsiTheme="minorHAnsi" w:cstheme="minorBidi"/>
          <w:noProof/>
          <w:sz w:val="22"/>
          <w:lang w:val="en-US"/>
        </w:rPr>
      </w:pPr>
      <w:hyperlink w:anchor="_Toc238551038" w:history="1">
        <w:r>
          <w:rPr>
            <w:rStyle w:val="Hyperlink"/>
            <w:noProof/>
          </w:rPr>
          <w:t>Figure 4 - 1 m EA LiDAR terrain data</w:t>
        </w:r>
        <w:r>
          <w:rPr>
            <w:noProof/>
            <w:webHidden/>
          </w:rPr>
          <w:tab/>
          <w:fldChar w:fldCharType="begin"/>
          <w:instrText xml:space="preserve"> PAGEREF _Toc238551038 \h </w:instrText>
          <w:fldChar w:fldCharType="separate"/>
          <w:t>27</w:t>
          <w:fldChar w:fldCharType="end"/>
        </w:r>
      </w:hyperlink>
    </w:p>
    <w:p w14:paraId="6EB44D45" w14:textId="2E235920" w:rsidR="00A27A6C" w:rsidRDefault="00A27A6C">
      <w:pPr>
        <w:pStyle w:val="TableofFigures"/>
        <w:tabs>
          <w:tab w:val="right" w:leader="dot" w:pos="10250"/>
        </w:tabs>
        <w:rPr>
          <w:rFonts w:asciiTheme="minorHAnsi" w:eastAsiaTheme="minorEastAsia" w:hAnsiTheme="minorHAnsi" w:cstheme="minorBidi"/>
          <w:noProof/>
          <w:sz w:val="22"/>
          <w:lang w:val="en-US"/>
        </w:rPr>
      </w:pPr>
      <w:hyperlink w:anchor="_Toc238551039" w:history="1">
        <w:r>
          <w:rPr>
            <w:rStyle w:val="Hyperlink"/>
            <w:noProof/>
          </w:rPr>
          <w:t>Figure 5 — Taxonomy of propagation modelling approaches.</w:t>
        </w:r>
        <w:r>
          <w:rPr>
            <w:noProof/>
            <w:webHidden/>
          </w:rPr>
          <w:tab/>
          <w:fldChar w:fldCharType="begin"/>
          <w:instrText xml:space="preserve"> PAGEREF _Toc238551039 \h </w:instrText>
          <w:fldChar w:fldCharType="separate"/>
          <w:t>30</w:t>
          <w:fldChar w:fldCharType="end"/>
        </w:r>
      </w:hyperlink>
    </w:p>
    <w:p w14:paraId="16054C60" w14:textId="0CAF1B0B" w:rsidR="00A27A6C" w:rsidRDefault="00A27A6C">
      <w:pPr>
        <w:pStyle w:val="TableofFigures"/>
        <w:tabs>
          <w:tab w:val="right" w:leader="dot" w:pos="10250"/>
        </w:tabs>
        <w:rPr>
          <w:rFonts w:asciiTheme="minorHAnsi" w:eastAsiaTheme="minorEastAsia" w:hAnsiTheme="minorHAnsi" w:cstheme="minorBidi"/>
          <w:noProof/>
          <w:sz w:val="22"/>
          <w:lang w:val="en-US"/>
        </w:rPr>
      </w:pPr>
      <w:hyperlink w:anchor="_Toc238551040" w:history="1">
        <w:r>
          <w:rPr>
            <w:rStyle w:val="Hyperlink"/>
            <w:noProof/>
          </w:rPr>
          <w:t>Figure 6- Vegetation representation</w:t>
        </w:r>
        <w:r>
          <w:rPr>
            <w:noProof/>
            <w:webHidden/>
          </w:rPr>
          <w:tab/>
          <w:fldChar w:fldCharType="begin"/>
          <w:instrText xml:space="preserve"> PAGEREF _Toc238551040 \h </w:instrText>
          <w:fldChar w:fldCharType="separate"/>
          <w:t>36</w:t>
          <w:fldChar w:fldCharType="end"/>
        </w:r>
      </w:hyperlink>
    </w:p>
    <w:p w14:paraId="644FBF89" w14:textId="07C1BF82" w:rsidR="00A27A6C" w:rsidRDefault="00A27A6C">
      <w:pPr>
        <w:pStyle w:val="TableofFigures"/>
        <w:tabs>
          <w:tab w:val="right" w:leader="dot" w:pos="10250"/>
        </w:tabs>
        <w:rPr>
          <w:rFonts w:asciiTheme="minorHAnsi" w:eastAsiaTheme="minorEastAsia" w:hAnsiTheme="minorHAnsi" w:cstheme="minorBidi"/>
          <w:noProof/>
          <w:sz w:val="22"/>
          <w:lang w:val="en-US"/>
        </w:rPr>
      </w:pPr>
      <w:hyperlink w:anchor="_Toc238551041" w:history="1">
        <w:r>
          <w:rPr>
            <w:rStyle w:val="Hyperlink"/>
            <w:noProof/>
          </w:rPr>
          <w:t>Figure 7 Radiation pattern</w:t>
        </w:r>
        <w:r>
          <w:rPr>
            <w:noProof/>
            <w:webHidden/>
          </w:rPr>
          <w:tab/>
          <w:fldChar w:fldCharType="begin"/>
          <w:instrText xml:space="preserve"> PAGEREF _Toc238551041 \h </w:instrText>
          <w:fldChar w:fldCharType="separate"/>
          <w:t>37</w:t>
          <w:fldChar w:fldCharType="end"/>
        </w:r>
      </w:hyperlink>
    </w:p>
    <w:p w14:paraId="6273E19B" w14:textId="0F29D449" w:rsidR="00A27A6C" w:rsidRDefault="00A27A6C">
      <w:pPr>
        <w:pStyle w:val="TableofFigures"/>
        <w:tabs>
          <w:tab w:val="right" w:leader="dot" w:pos="10250"/>
        </w:tabs>
        <w:rPr>
          <w:rFonts w:asciiTheme="minorHAnsi" w:eastAsiaTheme="minorEastAsia" w:hAnsiTheme="minorHAnsi" w:cstheme="minorBidi"/>
          <w:noProof/>
          <w:sz w:val="22"/>
          <w:lang w:val="en-US"/>
        </w:rPr>
      </w:pPr>
      <w:hyperlink w:anchor="_Toc238551042" w:history="1">
        <w:r>
          <w:rPr>
            <w:rStyle w:val="Hyperlink"/>
            <w:noProof/>
          </w:rPr>
          <w:t>Figure 8-Calibration process</w:t>
        </w:r>
        <w:r>
          <w:rPr>
            <w:noProof/>
            <w:webHidden/>
          </w:rPr>
          <w:tab/>
          <w:fldChar w:fldCharType="begin"/>
          <w:instrText xml:space="preserve"> PAGEREF _Toc238551042 \h </w:instrText>
          <w:fldChar w:fldCharType="separate"/>
          <w:t>39</w:t>
          <w:fldChar w:fldCharType="end"/>
        </w:r>
      </w:hyperlink>
    </w:p>
    <w:p w14:paraId="12A2D44C" w14:textId="486CED68" w:rsidR="00A27A6C" w:rsidRDefault="00A27A6C">
      <w:pPr>
        <w:pStyle w:val="TableofFigures"/>
        <w:tabs>
          <w:tab w:val="right" w:leader="dot" w:pos="10250"/>
        </w:tabs>
        <w:rPr>
          <w:rFonts w:asciiTheme="minorHAnsi" w:eastAsiaTheme="minorEastAsia" w:hAnsiTheme="minorHAnsi" w:cstheme="minorBidi"/>
          <w:noProof/>
          <w:sz w:val="22"/>
          <w:lang w:val="en-US"/>
        </w:rPr>
      </w:pPr>
      <w:hyperlink w:anchor="_Toc238551043" w:history="1">
        <w:r>
          <w:rPr>
            <w:rStyle w:val="Hyperlink"/>
            <w:noProof/>
          </w:rPr>
          <w:t>Figure 9- Postprocessing</w:t>
        </w:r>
        <w:r>
          <w:rPr>
            <w:noProof/>
            <w:webHidden/>
          </w:rPr>
          <w:tab/>
          <w:fldChar w:fldCharType="begin"/>
          <w:instrText xml:space="preserve"> PAGEREF _Toc238551043 \h </w:instrText>
          <w:fldChar w:fldCharType="separate"/>
          <w:t>40</w:t>
          <w:fldChar w:fldCharType="end"/>
        </w:r>
      </w:hyperlink>
    </w:p>
    <w:p w14:paraId="0BB72B0C" w14:textId="3C1D059D" w:rsidR="00A27A6C" w:rsidRDefault="00A27A6C">
      <w:pPr>
        <w:pStyle w:val="TableofFigures"/>
        <w:tabs>
          <w:tab w:val="right" w:leader="dot" w:pos="10250"/>
        </w:tabs>
        <w:rPr>
          <w:rFonts w:asciiTheme="minorHAnsi" w:eastAsiaTheme="minorEastAsia" w:hAnsiTheme="minorHAnsi" w:cstheme="minorBidi"/>
          <w:noProof/>
          <w:sz w:val="22"/>
          <w:lang w:val="en-US"/>
        </w:rPr>
      </w:pPr>
      <w:hyperlink w:anchor="_Toc238551044" w:history="1">
        <w:r>
          <w:rPr>
            <w:rStyle w:val="Hyperlink"/>
            <w:noProof/>
          </w:rPr>
          <w:t>Figure 10 -Verification Artefact</w:t>
        </w:r>
        <w:r>
          <w:rPr>
            <w:noProof/>
            <w:webHidden/>
          </w:rPr>
          <w:tab/>
          <w:fldChar w:fldCharType="begin"/>
          <w:instrText xml:space="preserve"> PAGEREF _Toc238551044 \h </w:instrText>
          <w:fldChar w:fldCharType="separate"/>
          <w:t>40</w:t>
          <w:fldChar w:fldCharType="end"/>
        </w:r>
      </w:hyperlink>
    </w:p>
    <w:p w14:paraId="0CFB311F" w14:textId="43057AD6" w:rsidR="00A27A6C" w:rsidRDefault="00A27A6C">
      <w:pPr>
        <w:pStyle w:val="TableofFigures"/>
        <w:tabs>
          <w:tab w:val="right" w:leader="dot" w:pos="10250"/>
        </w:tabs>
        <w:rPr>
          <w:rFonts w:asciiTheme="minorHAnsi" w:eastAsiaTheme="minorEastAsia" w:hAnsiTheme="minorHAnsi" w:cstheme="minorBidi"/>
          <w:noProof/>
          <w:sz w:val="22"/>
          <w:lang w:val="en-US"/>
        </w:rPr>
      </w:pPr>
      <w:hyperlink w:anchor="_Toc238551045" w:history="1">
        <w:r>
          <w:rPr>
            <w:rStyle w:val="Hyperlink"/>
            <w:noProof/>
          </w:rPr>
          <w:t>Figure 11-C</w:t>
        </w:r>
        <w:r>
          <w:rPr>
            <w:rStyle w:val="Hyperlink"/>
            <w:rFonts w:eastAsia="Times New Roman"/>
            <w:noProof/>
          </w:rPr>
          <w:t>onsolidated pipeline</w:t>
        </w:r>
        <w:r>
          <w:rPr>
            <w:noProof/>
            <w:webHidden/>
          </w:rPr>
          <w:tab/>
          <w:fldChar w:fldCharType="begin"/>
          <w:instrText xml:space="preserve"> PAGEREF _Toc238551045 \h </w:instrText>
          <w:fldChar w:fldCharType="separate"/>
          <w:t>41</w:t>
          <w:fldChar w:fldCharType="end"/>
        </w:r>
      </w:hyperlink>
    </w:p>
    <w:p w14:paraId="616344CD" w14:textId="1B9829DC" w:rsidR="00805997" w:rsidRDefault="005A525B" w:rsidP="00805997">
      <w:pPr>
        <w:rPr>
          <w:lang w:val="en-US" w:eastAsia="fr-FR" w:bidi="ar-LB"/>
        </w:rPr>
      </w:pPr>
      <w:r>
        <w:rPr>
          <w:lang w:val="en-US" w:eastAsia="fr-FR" w:bidi="ar-LB"/>
        </w:rPr>
        <w:fldChar w:fldCharType="end"/>
      </w:r>
    </w:p>
    <w:p w14:paraId="1CD582FA" w14:textId="77777777" w:rsidR="00521E4D" w:rsidRPr="00ED19F5" w:rsidRDefault="00521E4D" w:rsidP="00805997">
      <w:pPr>
        <w:rPr>
          <w:lang w:val="en-US" w:eastAsia="fr-FR" w:bidi="ar-LB"/>
        </w:rPr>
      </w:pPr>
    </w:p>
    <w:p w14:paraId="35830169" w14:textId="77777777" w:rsidR="00521E4D" w:rsidRDefault="00521E4D">
      <w:pPr>
        <w:jc w:val="left"/>
        <w:rPr>
          <w:rFonts w:eastAsia="Times New Roman" w:cs="Times New Roman"/>
          <w:b/>
          <w:bCs/>
          <w:kern w:val="28"/>
          <w:sz w:val="28"/>
          <w:szCs w:val="28"/>
          <w:lang w:val="en-US" w:eastAsia="fr-FR" w:bidi="ar-LB"/>
        </w:rPr>
      </w:pPr>
      <w:r>
        <w:rPr>
          <w:rFonts w:eastAsia="Times New Roman" w:cs="Times New Roman"/>
          <w:b/>
          <w:bCs/>
          <w:kern w:val="28"/>
          <w:sz w:val="28"/>
          <w:szCs w:val="28"/>
          <w:lang w:val="en-US" w:eastAsia="fr-FR" w:bidi="ar-LB"/>
        </w:rPr>
        <w:br w:type="page"/>
      </w:r>
    </w:p>
    <w:p w14:paraId="0836D02D" w14:textId="77777777" w:rsidR="008E12B2" w:rsidRDefault="00805997" w:rsidP="008E12B2">
      <w:pPr>
        <w:pStyle w:val="Heading1"/>
        <w:numPr>
          <w:ilvl w:val="0"/>
          <w:numId w:val="0"/>
        </w:numPr>
        <w:ind w:left="432" w:hanging="432"/>
        <w:jc w:val="center"/>
        <w:rPr>
          <w:lang w:val="en-US" w:bidi="ar-LB"/>
        </w:rPr>
      </w:pPr>
      <w:bookmarkStart w:id="5" w:name="_Toc238550974"/>
      <w:r>
        <w:rPr>
          <w:lang w:val="en-US" w:bidi="ar-LB"/>
        </w:rPr>
        <w:lastRenderedPageBreak/>
        <w:t>List of tables</w:t>
      </w:r>
      <w:bookmarkEnd w:id="5"/>
    </w:p>
    <w:p w14:paraId="7167F48E" w14:textId="18D8CD65" w:rsidR="008E12B2" w:rsidRDefault="008E12B2" w:rsidP="00E328B1">
      <w:pPr>
        <w:rPr>
          <w:lang w:eastAsia="fr-FR" w:bidi="ar-LB"/>
        </w:rPr>
      </w:pPr>
    </w:p>
    <w:p w14:paraId="62982411" w14:textId="571F0983" w:rsidR="00A27A6C" w:rsidRDefault="00E328B1">
      <w:pPr>
        <w:pStyle w:val="TableofFigures"/>
        <w:tabs>
          <w:tab w:val="right" w:leader="dot" w:pos="10250"/>
        </w:tabs>
        <w:rPr>
          <w:rFonts w:asciiTheme="minorHAnsi" w:eastAsiaTheme="minorEastAsia" w:hAnsiTheme="minorHAnsi" w:cstheme="minorBidi"/>
          <w:noProof/>
          <w:sz w:val="22"/>
          <w:lang w:val="en-US"/>
        </w:rPr>
      </w:pPr>
      <w:r>
        <w:rPr>
          <w:lang w:eastAsia="fr-FR" w:bidi="ar-LB"/>
        </w:rPr>
        <w:fldChar w:fldCharType="begin"/>
        <w:instrText xml:space="preserve"> TOC \h \z \c "Table" </w:instrText>
        <w:fldChar w:fldCharType="separate"/>
      </w:r>
      <w:hyperlink w:anchor="_Toc238551046" w:history="1">
        <w:r>
          <w:rPr>
            <w:rStyle w:val="Hyperlink"/>
            <w:noProof/>
          </w:rPr>
          <w:t>Table 1 Comparative overview of classical propagation models.</w:t>
        </w:r>
        <w:r>
          <w:rPr>
            <w:noProof/>
            <w:webHidden/>
          </w:rPr>
          <w:tab/>
          <w:fldChar w:fldCharType="begin"/>
          <w:instrText xml:space="preserve"> PAGEREF _Toc238551046 \h </w:instrText>
          <w:fldChar w:fldCharType="separate"/>
          <w:t>24</w:t>
          <w:fldChar w:fldCharType="end"/>
        </w:r>
      </w:hyperlink>
    </w:p>
    <w:p w14:paraId="01AC9119" w14:textId="749C3896" w:rsidR="00A27A6C" w:rsidRDefault="00A27A6C">
      <w:pPr>
        <w:pStyle w:val="TableofFigures"/>
        <w:tabs>
          <w:tab w:val="right" w:leader="dot" w:pos="10250"/>
        </w:tabs>
        <w:rPr>
          <w:rFonts w:asciiTheme="minorHAnsi" w:eastAsiaTheme="minorEastAsia" w:hAnsiTheme="minorHAnsi" w:cstheme="minorBidi"/>
          <w:noProof/>
          <w:sz w:val="22"/>
          <w:lang w:val="en-US"/>
        </w:rPr>
      </w:pPr>
      <w:hyperlink w:anchor="_Toc238551047" w:history="1">
        <w:r>
          <w:rPr>
            <w:rStyle w:val="Hyperlink"/>
            <w:noProof/>
          </w:rPr>
          <w:t>Table 2 Literature</w:t>
          <w:noBreakHyphen/>
          <w:t xml:space="preserve"> reported material reflection</w:t>
          <w:noBreakHyphen/>
          <w:t>loss and electromagnetic property values by frequency</w:t>
        </w:r>
        <w:r>
          <w:rPr>
            <w:noProof/>
            <w:webHidden/>
          </w:rPr>
          <w:tab/>
          <w:fldChar w:fldCharType="begin"/>
          <w:instrText xml:space="preserve"> PAGEREF _Toc238551047 \h </w:instrText>
          <w:fldChar w:fldCharType="separate"/>
          <w:t>26</w:t>
          <w:fldChar w:fldCharType="end"/>
        </w:r>
      </w:hyperlink>
    </w:p>
    <w:p w14:paraId="5447154B" w14:textId="3A02F5F3" w:rsidR="00A27A6C" w:rsidRDefault="00A27A6C">
      <w:pPr>
        <w:pStyle w:val="TableofFigures"/>
        <w:tabs>
          <w:tab w:val="right" w:leader="dot" w:pos="10250"/>
        </w:tabs>
        <w:rPr>
          <w:rFonts w:asciiTheme="minorHAnsi" w:eastAsiaTheme="minorEastAsia" w:hAnsiTheme="minorHAnsi" w:cstheme="minorBidi"/>
          <w:noProof/>
          <w:sz w:val="22"/>
          <w:lang w:val="en-US"/>
        </w:rPr>
      </w:pPr>
      <w:hyperlink w:anchor="_Toc238551048" w:history="1">
        <w:r>
          <w:rPr>
            <w:rStyle w:val="Hyperlink"/>
            <w:noProof/>
          </w:rPr>
          <w:t>Table 3 Comparison of reviewed calibration studies</w:t>
        </w:r>
        <w:r>
          <w:rPr>
            <w:noProof/>
            <w:webHidden/>
          </w:rPr>
          <w:tab/>
          <w:fldChar w:fldCharType="begin"/>
          <w:instrText xml:space="preserve"> PAGEREF _Toc238551048 \h </w:instrText>
          <w:fldChar w:fldCharType="separate"/>
          <w:t>31</w:t>
          <w:fldChar w:fldCharType="end"/>
        </w:r>
      </w:hyperlink>
    </w:p>
    <w:p w14:paraId="4608B457" w14:textId="0AC2C279" w:rsidR="00A27A6C" w:rsidRDefault="00A27A6C">
      <w:pPr>
        <w:pStyle w:val="TableofFigures"/>
        <w:tabs>
          <w:tab w:val="right" w:leader="dot" w:pos="10250"/>
        </w:tabs>
        <w:rPr>
          <w:rFonts w:asciiTheme="minorHAnsi" w:eastAsiaTheme="minorEastAsia" w:hAnsiTheme="minorHAnsi" w:cstheme="minorBidi"/>
          <w:noProof/>
          <w:sz w:val="22"/>
          <w:lang w:val="en-US"/>
        </w:rPr>
      </w:pPr>
      <w:hyperlink w:anchor="_Toc238551049" w:history="1">
        <w:r>
          <w:rPr>
            <w:rStyle w:val="Hyperlink"/>
            <w:noProof/>
          </w:rPr>
          <w:t>Table 4 — Iterative scene evolution methodology, Nottingham 915 MHz (ON incoherent method). Each row adds scene features to the previous configuration and re evaluates against Ofcom measurements, isolating the effect of each addition.</w:t>
        </w:r>
        <w:r>
          <w:rPr>
            <w:noProof/>
            <w:webHidden/>
          </w:rPr>
          <w:tab/>
          <w:fldChar w:fldCharType="begin"/>
          <w:instrText xml:space="preserve"> PAGEREF _Toc238551049 \h </w:instrText>
          <w:fldChar w:fldCharType="separate"/>
          <w:t>34</w:t>
          <w:fldChar w:fldCharType="end"/>
        </w:r>
      </w:hyperlink>
    </w:p>
    <w:p w14:paraId="56FB5322" w14:textId="367C2744" w:rsidR="00A27A6C" w:rsidRDefault="00A27A6C">
      <w:pPr>
        <w:pStyle w:val="TableofFigures"/>
        <w:tabs>
          <w:tab w:val="right" w:leader="dot" w:pos="10250"/>
        </w:tabs>
        <w:rPr>
          <w:rFonts w:asciiTheme="minorHAnsi" w:eastAsiaTheme="minorEastAsia" w:hAnsiTheme="minorHAnsi" w:cstheme="minorBidi"/>
          <w:noProof/>
          <w:sz w:val="22"/>
          <w:lang w:val="en-US"/>
        </w:rPr>
      </w:pPr>
      <w:hyperlink w:anchor="_Toc238551050" w:history="1">
        <w:r>
          <w:rPr>
            <w:rStyle w:val="Hyperlink"/>
            <w:noProof/>
          </w:rPr>
          <w:t>Table 5- Core tools and datasets</w:t>
        </w:r>
        <w:r>
          <w:rPr>
            <w:noProof/>
            <w:webHidden/>
          </w:rPr>
          <w:tab/>
          <w:fldChar w:fldCharType="begin"/>
          <w:instrText xml:space="preserve"> PAGEREF _Toc238551050 \h </w:instrText>
          <w:fldChar w:fldCharType="separate"/>
          <w:t>35</w:t>
          <w:fldChar w:fldCharType="end"/>
        </w:r>
      </w:hyperlink>
    </w:p>
    <w:p w14:paraId="02B11DEA" w14:textId="429393F6" w:rsidR="00A27A6C" w:rsidRDefault="00A27A6C">
      <w:pPr>
        <w:pStyle w:val="TableofFigures"/>
        <w:tabs>
          <w:tab w:val="right" w:leader="dot" w:pos="10250"/>
        </w:tabs>
        <w:rPr>
          <w:rFonts w:asciiTheme="minorHAnsi" w:eastAsiaTheme="minorEastAsia" w:hAnsiTheme="minorHAnsi" w:cstheme="minorBidi"/>
          <w:noProof/>
          <w:sz w:val="22"/>
          <w:lang w:val="en-US"/>
        </w:rPr>
      </w:pPr>
      <w:hyperlink w:anchor="_Toc238551051" w:history="1">
        <w:r>
          <w:rPr>
            <w:rStyle w:val="Hyperlink"/>
            <w:noProof/>
          </w:rPr>
          <w:t>Table 6— Calibrated material parameter set</w:t>
        </w:r>
        <w:r>
          <w:rPr>
            <w:noProof/>
            <w:webHidden/>
          </w:rPr>
          <w:tab/>
          <w:fldChar w:fldCharType="begin"/>
          <w:instrText xml:space="preserve"> PAGEREF _Toc238551051 \h </w:instrText>
          <w:fldChar w:fldCharType="separate"/>
          <w:t>35</w:t>
          <w:fldChar w:fldCharType="end"/>
        </w:r>
      </w:hyperlink>
    </w:p>
    <w:p w14:paraId="5FD55653" w14:textId="3715D9CB" w:rsidR="00A27A6C" w:rsidRDefault="00A27A6C">
      <w:pPr>
        <w:pStyle w:val="TableofFigures"/>
        <w:tabs>
          <w:tab w:val="right" w:leader="dot" w:pos="10250"/>
        </w:tabs>
        <w:rPr>
          <w:rFonts w:asciiTheme="minorHAnsi" w:eastAsiaTheme="minorEastAsia" w:hAnsiTheme="minorHAnsi" w:cstheme="minorBidi"/>
          <w:noProof/>
          <w:sz w:val="22"/>
          <w:lang w:val="en-US"/>
        </w:rPr>
      </w:pPr>
      <w:hyperlink w:anchor="_Toc238551052" w:history="1">
        <w:r>
          <w:rPr>
            <w:rStyle w:val="Hyperlink"/>
            <w:noProof/>
          </w:rPr>
          <w:t>Table 7- Key Parameters</w:t>
        </w:r>
        <w:r>
          <w:rPr>
            <w:noProof/>
            <w:webHidden/>
          </w:rPr>
          <w:tab/>
          <w:fldChar w:fldCharType="begin"/>
          <w:instrText xml:space="preserve"> PAGEREF _Toc238551052 \h </w:instrText>
          <w:fldChar w:fldCharType="separate"/>
          <w:t>38</w:t>
          <w:fldChar w:fldCharType="end"/>
        </w:r>
      </w:hyperlink>
    </w:p>
    <w:p w14:paraId="165D9077" w14:textId="4B7C8DC4" w:rsidR="00A27A6C" w:rsidRDefault="00A27A6C">
      <w:pPr>
        <w:pStyle w:val="TableofFigures"/>
        <w:tabs>
          <w:tab w:val="right" w:leader="dot" w:pos="10250"/>
        </w:tabs>
        <w:rPr>
          <w:rFonts w:asciiTheme="minorHAnsi" w:eastAsiaTheme="minorEastAsia" w:hAnsiTheme="minorHAnsi" w:cstheme="minorBidi"/>
          <w:noProof/>
          <w:sz w:val="22"/>
          <w:lang w:val="en-US"/>
        </w:rPr>
      </w:pPr>
      <w:hyperlink w:anchor="_Toc238551053" w:history="1">
        <w:r>
          <w:rPr>
            <w:rStyle w:val="Hyperlink"/>
            <w:noProof/>
          </w:rPr>
          <w:t>Table 8 - Performance indicators associated to the 1 to 5 Program Learning Outcomes, assessed in the thesis report</w:t>
        </w:r>
        <w:r>
          <w:rPr>
            <w:noProof/>
            <w:webHidden/>
          </w:rPr>
          <w:tab/>
          <w:fldChar w:fldCharType="begin"/>
          <w:instrText xml:space="preserve"> PAGEREF _Toc238551053 \h </w:instrText>
          <w:fldChar w:fldCharType="separate"/>
          <w:t>48</w:t>
          <w:fldChar w:fldCharType="end"/>
        </w:r>
      </w:hyperlink>
    </w:p>
    <w:p w14:paraId="1E7BD556" w14:textId="6DF73960" w:rsidR="00A27A6C" w:rsidRDefault="00A27A6C">
      <w:pPr>
        <w:pStyle w:val="TableofFigures"/>
        <w:tabs>
          <w:tab w:val="right" w:leader="dot" w:pos="10250"/>
        </w:tabs>
        <w:rPr>
          <w:rFonts w:asciiTheme="minorHAnsi" w:eastAsiaTheme="minorEastAsia" w:hAnsiTheme="minorHAnsi" w:cstheme="minorBidi"/>
          <w:noProof/>
          <w:sz w:val="22"/>
          <w:lang w:val="en-US"/>
        </w:rPr>
      </w:pPr>
      <w:hyperlink w:anchor="_Toc238551054" w:history="1">
        <w:r>
          <w:rPr>
            <w:rStyle w:val="Hyperlink"/>
            <w:noProof/>
          </w:rPr>
          <w:t xml:space="preserve">Table 9 - </w:t>
        </w:r>
        <w:r>
          <w:rPr>
            <w:rStyle w:val="Hyperlink"/>
            <w:noProof/>
            <w:lang w:eastAsia="fr-FR" w:bidi="ar-LB"/>
          </w:rPr>
          <w:t>Performance Indicator Matrix</w:t>
        </w:r>
        <w:r>
          <w:rPr>
            <w:noProof/>
            <w:webHidden/>
          </w:rPr>
          <w:tab/>
          <w:fldChar w:fldCharType="begin"/>
          <w:instrText xml:space="preserve"> PAGEREF _Toc238551054 \h </w:instrText>
          <w:fldChar w:fldCharType="separate"/>
          <w:t>48</w:t>
          <w:fldChar w:fldCharType="end"/>
        </w:r>
      </w:hyperlink>
    </w:p>
    <w:p w14:paraId="3AE86210" w14:textId="0FB40F40" w:rsidR="00E328B1" w:rsidRPr="008E12B2" w:rsidRDefault="00E328B1" w:rsidP="00E328B1">
      <w:pPr>
        <w:rPr>
          <w:lang w:eastAsia="fr-FR" w:bidi="ar-LB"/>
        </w:rPr>
      </w:pPr>
      <w:r>
        <w:rPr>
          <w:lang w:eastAsia="fr-FR" w:bidi="ar-LB"/>
        </w:rPr>
        <w:fldChar w:fldCharType="end"/>
      </w:r>
    </w:p>
    <w:p w14:paraId="105D0A51" w14:textId="3007276C" w:rsidR="00535B55" w:rsidRDefault="00535B55">
      <w:pPr>
        <w:jc w:val="left"/>
        <w:rPr>
          <w:lang w:val="en-US" w:eastAsia="fr-FR" w:bidi="ar-LB"/>
        </w:rPr>
      </w:pPr>
      <w:r>
        <w:rPr>
          <w:lang w:val="en-US" w:eastAsia="fr-FR" w:bidi="ar-LB"/>
        </w:rPr>
        <w:br w:type="page"/>
        <w:lastRenderedPageBreak/>
        <w:t xml:space="preserve"> </w:t>
      </w:r>
    </w:p>
    <w:p w14:paraId="07B0A75D" w14:textId="77777777" w:rsidR="00535B55" w:rsidRPr="00521E4D" w:rsidRDefault="00535B55" w:rsidP="00535B55">
      <w:pPr>
        <w:pStyle w:val="Heading1"/>
        <w:numPr>
          <w:ilvl w:val="0"/>
          <w:numId w:val="0"/>
        </w:numPr>
        <w:ind w:left="432" w:hanging="432"/>
        <w:jc w:val="center"/>
      </w:pPr>
      <w:bookmarkStart w:id="6" w:name="_Toc197854802"/>
      <w:bookmarkStart w:id="7" w:name="_Toc238550975"/>
      <w:r>
        <w:t>Acronyms</w:t>
      </w:r>
      <w:bookmarkEnd w:id="6"/>
      <w:r>
        <w:t xml:space="preserve"> (optional)</w:t>
      </w:r>
      <w:bookmarkEnd w:id="7"/>
    </w:p>
    <w:p w14:paraId="575654AE" w14:textId="77777777" w:rsidR="00535B55" w:rsidRPr="003B4778" w:rsidRDefault="00535B55" w:rsidP="003B4778">
      <w:pPr>
        <w:spacing w:after="120" w:line="240" w:lineRule="auto"/>
        <w:jc w:val="left"/>
        <w:rPr>
          <w:rFonts w:asciiTheme="minorBidi" w:hAnsiTheme="minorBidi" w:cstheme="minorBidi"/>
          <w:lang w:eastAsia="fr-FR"/>
        </w:rPr>
      </w:pPr>
    </w:p>
    <w:tbl>
      <w:tblPr>
        <w:tblW w:w="0" w:type="auto"/>
        <w:tblLook w:val="0000" w:firstRow="0" w:lastRow="0" w:firstColumn="0" w:lastColumn="0" w:noHBand="0" w:noVBand="0"/>
      </w:tblPr>
      <w:tblGrid>
        <w:gridCol w:w="2392"/>
        <w:gridCol w:w="6007"/>
      </w:tblGrid>
      <w:tr w:rsidR="00535B55" w:rsidRPr="0029235E" w14:paraId="006B3FF8" w14:textId="77777777" w:rsidTr="00535B55">
        <w:trPr>
          <w:trHeight w:val="3202"/>
        </w:trPr>
        <w:tc>
          <w:tcPr>
            <w:tcW w:w="2392" w:type="dxa"/>
          </w:tcPr>
          <w:p w14:paraId="226F0BD2" w14:textId="31A4FA4D" w:rsidR="00535B55" w:rsidRPr="003B4778" w:rsidRDefault="003B4778" w:rsidP="003B4778">
            <w:pPr>
              <w:spacing w:after="120" w:line="240" w:lineRule="auto"/>
              <w:jc w:val="left"/>
              <w:rPr>
                <w:rFonts w:asciiTheme="minorBidi" w:hAnsiTheme="minorBidi" w:cstheme="minorBidi"/>
                <w:lang w:val="en-US"/>
              </w:rPr>
            </w:pPr>
            <w:r>
              <w:rPr>
                <w:rFonts w:asciiTheme="minorBidi" w:hAnsiTheme="minorBidi" w:cstheme="minorBidi"/>
                <w:lang w:val="en-US"/>
              </w:rPr>
              <w:t>AC</w:t>
            </w:r>
          </w:p>
          <w:p w14:paraId="71002044" w14:textId="66445CED" w:rsidR="00535B55" w:rsidRPr="003B4778" w:rsidRDefault="003B4778" w:rsidP="003B4778">
            <w:pPr>
              <w:spacing w:after="120" w:line="240" w:lineRule="auto"/>
              <w:jc w:val="left"/>
              <w:rPr>
                <w:rFonts w:asciiTheme="minorBidi" w:hAnsiTheme="minorBidi" w:cstheme="minorBidi"/>
                <w:lang w:val="en-US"/>
              </w:rPr>
            </w:pPr>
            <w:r>
              <w:rPr>
                <w:rFonts w:asciiTheme="minorBidi" w:hAnsiTheme="minorBidi" w:cstheme="minorBidi"/>
                <w:lang w:val="en-US"/>
              </w:rPr>
              <w:t>DC</w:t>
            </w:r>
          </w:p>
          <w:p w14:paraId="7343E650" w14:textId="15DB7993" w:rsidR="00535B55" w:rsidRPr="003B4778" w:rsidRDefault="003B4778" w:rsidP="003B4778">
            <w:pPr>
              <w:spacing w:after="120" w:line="240" w:lineRule="auto"/>
              <w:jc w:val="left"/>
              <w:rPr>
                <w:rFonts w:asciiTheme="minorBidi" w:hAnsiTheme="minorBidi" w:cstheme="minorBidi"/>
                <w:lang w:val="en-US"/>
              </w:rPr>
            </w:pPr>
            <w:r>
              <w:rPr>
                <w:rFonts w:asciiTheme="minorBidi" w:hAnsiTheme="minorBidi" w:cstheme="minorBidi"/>
                <w:lang w:val="en-US"/>
              </w:rPr>
              <w:t>SM</w:t>
            </w:r>
          </w:p>
          <w:p w14:paraId="41F0666B" w14:textId="23BC3A46" w:rsidR="00535B55" w:rsidRPr="003B4778" w:rsidRDefault="003B4778" w:rsidP="003B4778">
            <w:pPr>
              <w:spacing w:after="120" w:line="240" w:lineRule="auto"/>
              <w:jc w:val="left"/>
              <w:rPr>
                <w:rFonts w:asciiTheme="minorBidi" w:hAnsiTheme="minorBidi" w:cstheme="minorBidi"/>
                <w:lang w:val="en-US"/>
              </w:rPr>
            </w:pPr>
            <w:r>
              <w:rPr>
                <w:rFonts w:asciiTheme="minorBidi" w:hAnsiTheme="minorBidi" w:cstheme="minorBidi"/>
                <w:lang w:val="en-US"/>
              </w:rPr>
              <w:t>IM</w:t>
            </w:r>
          </w:p>
          <w:p w14:paraId="1D8AB1DE" w14:textId="7CF93388" w:rsidR="00535B55" w:rsidRPr="003B4778" w:rsidRDefault="003B4778" w:rsidP="003B4778">
            <w:pPr>
              <w:spacing w:after="120" w:line="240" w:lineRule="auto"/>
              <w:jc w:val="left"/>
              <w:rPr>
                <w:rFonts w:asciiTheme="minorBidi" w:hAnsiTheme="minorBidi" w:cstheme="minorBidi"/>
                <w:lang w:val="en-US"/>
              </w:rPr>
            </w:pPr>
            <w:r>
              <w:rPr>
                <w:rFonts w:asciiTheme="minorBidi" w:hAnsiTheme="minorBidi" w:cstheme="minorBidi"/>
                <w:lang w:val="en-US"/>
              </w:rPr>
              <w:t>PMSM</w:t>
            </w:r>
          </w:p>
          <w:p w14:paraId="2C7146C6" w14:textId="77777777" w:rsidR="00535B55" w:rsidRPr="003B4778" w:rsidRDefault="003B4778" w:rsidP="003B4778">
            <w:pPr>
              <w:spacing w:after="120" w:line="240" w:lineRule="auto"/>
              <w:jc w:val="left"/>
              <w:rPr>
                <w:rFonts w:asciiTheme="minorBidi" w:hAnsiTheme="minorBidi" w:cstheme="minorBidi"/>
                <w:lang w:val="en-US"/>
              </w:rPr>
            </w:pPr>
            <w:r>
              <w:rPr>
                <w:rFonts w:asciiTheme="minorBidi" w:hAnsiTheme="minorBidi" w:cstheme="minorBidi"/>
                <w:lang w:val="en-US"/>
              </w:rPr>
              <w:t>DFIG</w:t>
            </w:r>
          </w:p>
          <w:p w14:paraId="10B4F56C" w14:textId="77777777" w:rsidR="003B4778" w:rsidRPr="003B4778" w:rsidRDefault="003B4778" w:rsidP="003B4778">
            <w:pPr>
              <w:spacing w:after="120" w:line="240" w:lineRule="auto"/>
              <w:jc w:val="left"/>
              <w:rPr>
                <w:rFonts w:asciiTheme="minorBidi" w:hAnsiTheme="minorBidi" w:cstheme="minorBidi"/>
                <w:lang w:val="en-US"/>
              </w:rPr>
            </w:pPr>
            <w:r>
              <w:rPr>
                <w:rFonts w:asciiTheme="minorBidi" w:hAnsiTheme="minorBidi" w:cstheme="minorBidi"/>
                <w:lang w:val="en-US"/>
              </w:rPr>
              <w:t>CAD</w:t>
            </w:r>
          </w:p>
          <w:p w14:paraId="2664CC73" w14:textId="77777777" w:rsidR="003B4778" w:rsidRPr="00F80210" w:rsidRDefault="003B4778" w:rsidP="003B4778">
            <w:pPr>
              <w:spacing w:after="120" w:line="240" w:lineRule="auto"/>
              <w:jc w:val="left"/>
              <w:rPr>
                <w:rFonts w:asciiTheme="minorBidi" w:eastAsia="Times New Roman" w:hAnsiTheme="minorBidi" w:cstheme="minorBidi"/>
                <w:color w:val="000000"/>
                <w:szCs w:val="20"/>
                <w:lang w:val="en-US" w:eastAsia="fr-FR"/>
              </w:rPr>
            </w:pPr>
            <w:r>
              <w:rPr>
                <w:rFonts w:asciiTheme="minorBidi" w:eastAsia="Times New Roman" w:hAnsiTheme="minorBidi" w:cstheme="minorBidi"/>
                <w:color w:val="000000"/>
                <w:szCs w:val="20"/>
                <w:lang w:val="en-US" w:eastAsia="fr-FR"/>
              </w:rPr>
              <w:t>HVAC</w:t>
            </w:r>
          </w:p>
          <w:p w14:paraId="38582D8F" w14:textId="77777777" w:rsidR="003B4778" w:rsidRPr="00F80210" w:rsidRDefault="003B4778" w:rsidP="003B4778">
            <w:pPr>
              <w:spacing w:after="120" w:line="240" w:lineRule="auto"/>
              <w:jc w:val="left"/>
              <w:rPr>
                <w:rFonts w:asciiTheme="minorBidi" w:eastAsia="Times New Roman" w:hAnsiTheme="minorBidi" w:cstheme="minorBidi"/>
                <w:color w:val="000000"/>
                <w:szCs w:val="20"/>
                <w:lang w:val="en-US" w:eastAsia="fr-FR"/>
              </w:rPr>
            </w:pPr>
            <w:r>
              <w:rPr>
                <w:rFonts w:asciiTheme="minorBidi" w:eastAsia="Times New Roman" w:hAnsiTheme="minorBidi" w:cstheme="minorBidi"/>
                <w:color w:val="000000"/>
                <w:szCs w:val="20"/>
                <w:lang w:val="en-US" w:eastAsia="fr-FR"/>
              </w:rPr>
              <w:t>VCR</w:t>
            </w:r>
          </w:p>
          <w:p w14:paraId="3DA0F847" w14:textId="77777777" w:rsidR="003B4778" w:rsidRPr="00F80210" w:rsidRDefault="003B4778" w:rsidP="003B4778">
            <w:pPr>
              <w:spacing w:after="120" w:line="240" w:lineRule="auto"/>
              <w:jc w:val="left"/>
              <w:rPr>
                <w:rFonts w:asciiTheme="minorBidi" w:eastAsia="Times New Roman" w:hAnsiTheme="minorBidi" w:cstheme="minorBidi"/>
                <w:color w:val="000000"/>
                <w:szCs w:val="20"/>
                <w:lang w:val="en-US" w:eastAsia="fr-FR"/>
              </w:rPr>
            </w:pPr>
            <w:r>
              <w:rPr>
                <w:rFonts w:asciiTheme="minorBidi" w:eastAsia="Times New Roman" w:hAnsiTheme="minorBidi" w:cstheme="minorBidi"/>
                <w:color w:val="000000"/>
                <w:szCs w:val="20"/>
                <w:lang w:val="en-US" w:eastAsia="fr-FR"/>
              </w:rPr>
              <w:t>CFC</w:t>
            </w:r>
          </w:p>
          <w:p w14:paraId="6361952E" w14:textId="77777777" w:rsidR="003B4778" w:rsidRPr="00F80210" w:rsidRDefault="003B4778" w:rsidP="003B4778">
            <w:pPr>
              <w:spacing w:after="120" w:line="240" w:lineRule="auto"/>
              <w:jc w:val="left"/>
              <w:rPr>
                <w:rFonts w:asciiTheme="minorBidi" w:eastAsia="Times New Roman" w:hAnsiTheme="minorBidi" w:cstheme="minorBidi"/>
                <w:color w:val="000000"/>
                <w:szCs w:val="20"/>
                <w:lang w:val="en-US" w:eastAsia="fr-FR"/>
              </w:rPr>
            </w:pPr>
            <w:r>
              <w:rPr>
                <w:rFonts w:asciiTheme="minorBidi" w:eastAsia="Times New Roman" w:hAnsiTheme="minorBidi" w:cstheme="minorBidi"/>
                <w:color w:val="000000"/>
                <w:szCs w:val="20"/>
                <w:lang w:val="en-US" w:eastAsia="fr-FR"/>
              </w:rPr>
              <w:t>FCU</w:t>
            </w:r>
          </w:p>
          <w:p w14:paraId="1D884A3D" w14:textId="212327BA" w:rsidR="003B4778" w:rsidRPr="003B4778" w:rsidRDefault="003B4778" w:rsidP="003B4778">
            <w:pPr>
              <w:spacing w:after="120" w:line="240" w:lineRule="auto"/>
              <w:jc w:val="left"/>
              <w:rPr>
                <w:rFonts w:asciiTheme="minorBidi" w:hAnsiTheme="minorBidi" w:cstheme="minorBidi"/>
                <w:lang w:val="en-US"/>
              </w:rPr>
            </w:pPr>
            <w:r>
              <w:rPr>
                <w:rFonts w:asciiTheme="minorBidi" w:eastAsia="Times New Roman" w:hAnsiTheme="minorBidi" w:cstheme="minorBidi"/>
                <w:color w:val="000000"/>
                <w:szCs w:val="20"/>
                <w:lang w:val="en-US" w:eastAsia="fr-FR"/>
              </w:rPr>
              <w:t>AHU</w:t>
            </w:r>
          </w:p>
        </w:tc>
        <w:tc>
          <w:tcPr>
            <w:tcW w:w="6007" w:type="dxa"/>
          </w:tcPr>
          <w:p w14:paraId="2BE87CDD" w14:textId="609EF011" w:rsidR="00535B55" w:rsidRPr="003B4778" w:rsidRDefault="003B4778" w:rsidP="003B4778">
            <w:pPr>
              <w:spacing w:after="120" w:line="240" w:lineRule="auto"/>
              <w:jc w:val="left"/>
              <w:rPr>
                <w:rFonts w:asciiTheme="minorBidi" w:hAnsiTheme="minorBidi" w:cstheme="minorBidi"/>
                <w:lang w:val="en-US"/>
              </w:rPr>
            </w:pPr>
            <w:r>
              <w:rPr>
                <w:rFonts w:asciiTheme="minorBidi" w:hAnsiTheme="minorBidi" w:cstheme="minorBidi"/>
                <w:lang w:val="en-US"/>
              </w:rPr>
              <w:t>Alternating Current</w:t>
            </w:r>
          </w:p>
          <w:p w14:paraId="11794A3E" w14:textId="2F7E72F7" w:rsidR="003B4778" w:rsidRPr="003B4778" w:rsidRDefault="003B4778" w:rsidP="003B4778">
            <w:pPr>
              <w:spacing w:after="120" w:line="240" w:lineRule="auto"/>
              <w:jc w:val="left"/>
              <w:rPr>
                <w:rFonts w:asciiTheme="minorBidi" w:hAnsiTheme="minorBidi" w:cstheme="minorBidi"/>
                <w:lang w:val="en-US"/>
              </w:rPr>
            </w:pPr>
            <w:r>
              <w:rPr>
                <w:rFonts w:asciiTheme="minorBidi" w:hAnsiTheme="minorBidi" w:cstheme="minorBidi"/>
                <w:lang w:val="en-US"/>
              </w:rPr>
              <w:t>Direct Current</w:t>
            </w:r>
          </w:p>
          <w:p w14:paraId="5AB13849" w14:textId="46A8C085" w:rsidR="00535B55" w:rsidRPr="003B4778" w:rsidRDefault="003B4778" w:rsidP="003B4778">
            <w:pPr>
              <w:spacing w:after="120" w:line="240" w:lineRule="auto"/>
              <w:jc w:val="left"/>
              <w:rPr>
                <w:rFonts w:asciiTheme="minorBidi" w:hAnsiTheme="minorBidi" w:cstheme="minorBidi"/>
                <w:lang w:val="en-US"/>
              </w:rPr>
            </w:pPr>
            <w:r>
              <w:rPr>
                <w:rFonts w:asciiTheme="minorBidi" w:hAnsiTheme="minorBidi" w:cstheme="minorBidi"/>
                <w:lang w:val="en-US"/>
              </w:rPr>
              <w:t>Synchronous Motor</w:t>
            </w:r>
          </w:p>
          <w:p w14:paraId="27BE4B02" w14:textId="33682123" w:rsidR="00535B55" w:rsidRPr="003B4778" w:rsidRDefault="003B4778" w:rsidP="003B4778">
            <w:pPr>
              <w:spacing w:after="120" w:line="240" w:lineRule="auto"/>
              <w:jc w:val="left"/>
              <w:rPr>
                <w:rFonts w:asciiTheme="minorBidi" w:hAnsiTheme="minorBidi" w:cstheme="minorBidi"/>
                <w:lang w:val="en-US"/>
              </w:rPr>
            </w:pPr>
            <w:r>
              <w:rPr>
                <w:rFonts w:asciiTheme="minorBidi" w:hAnsiTheme="minorBidi" w:cstheme="minorBidi"/>
                <w:lang w:val="en-US"/>
              </w:rPr>
              <w:t>Induction Motor</w:t>
            </w:r>
          </w:p>
          <w:p w14:paraId="12C8D3B7" w14:textId="0E8AE1FF" w:rsidR="00535B55" w:rsidRPr="00AA6B76" w:rsidRDefault="003B4778" w:rsidP="003B4778">
            <w:pPr>
              <w:spacing w:after="120" w:line="240" w:lineRule="auto"/>
              <w:jc w:val="left"/>
              <w:rPr>
                <w:rFonts w:asciiTheme="minorBidi" w:hAnsiTheme="minorBidi" w:cstheme="minorBidi"/>
                <w:lang w:val="en-US"/>
              </w:rPr>
            </w:pPr>
            <w:r>
              <w:rPr>
                <w:rFonts w:asciiTheme="minorBidi" w:hAnsiTheme="minorBidi" w:cstheme="minorBidi"/>
                <w:lang w:val="en-US"/>
              </w:rPr>
              <w:t>Permanent Magnet Synchronous Motor</w:t>
            </w:r>
          </w:p>
          <w:p w14:paraId="3EE87D25" w14:textId="77777777" w:rsidR="00535B55" w:rsidRPr="00AA6B76" w:rsidRDefault="003B4778" w:rsidP="003B4778">
            <w:pPr>
              <w:spacing w:after="120" w:line="240" w:lineRule="auto"/>
              <w:jc w:val="left"/>
              <w:rPr>
                <w:rFonts w:asciiTheme="minorBidi" w:hAnsiTheme="minorBidi" w:cstheme="minorBidi"/>
                <w:lang w:val="en-US"/>
              </w:rPr>
            </w:pPr>
            <w:r>
              <w:rPr>
                <w:rFonts w:asciiTheme="minorBidi" w:hAnsiTheme="minorBidi" w:cstheme="minorBidi"/>
                <w:lang w:val="en-US"/>
              </w:rPr>
              <w:t>Doubly-Fed Induction Generator</w:t>
            </w:r>
          </w:p>
          <w:p w14:paraId="7815CAE8" w14:textId="103E0DE7" w:rsidR="003B4778" w:rsidRPr="00AA6B76" w:rsidRDefault="003B4778" w:rsidP="003B4778">
            <w:pPr>
              <w:spacing w:after="120" w:line="240" w:lineRule="auto"/>
              <w:jc w:val="left"/>
              <w:rPr>
                <w:rFonts w:asciiTheme="minorBidi" w:hAnsiTheme="minorBidi" w:cstheme="minorBidi"/>
                <w:lang w:val="en-US"/>
              </w:rPr>
            </w:pPr>
            <w:r>
              <w:rPr>
                <w:rFonts w:asciiTheme="minorBidi" w:hAnsiTheme="minorBidi" w:cstheme="minorBidi"/>
                <w:lang w:val="en-US"/>
              </w:rPr>
              <w:t>Computer-Aided Design</w:t>
            </w:r>
          </w:p>
          <w:p w14:paraId="005FDB1D" w14:textId="77777777" w:rsidR="003B4778" w:rsidRPr="00F80210" w:rsidRDefault="003B4778" w:rsidP="003B4778">
            <w:pPr>
              <w:spacing w:after="120" w:line="240" w:lineRule="auto"/>
              <w:jc w:val="left"/>
              <w:rPr>
                <w:rFonts w:asciiTheme="minorBidi" w:eastAsia="Times New Roman" w:hAnsiTheme="minorBidi" w:cstheme="minorBidi"/>
                <w:color w:val="000000"/>
                <w:szCs w:val="20"/>
                <w:lang w:val="en-US" w:eastAsia="fr-FR"/>
              </w:rPr>
            </w:pPr>
            <w:r>
              <w:rPr>
                <w:rFonts w:asciiTheme="minorBidi" w:eastAsia="Times New Roman" w:hAnsiTheme="minorBidi" w:cstheme="minorBidi"/>
                <w:color w:val="000000"/>
                <w:szCs w:val="20"/>
                <w:lang w:val="en-US" w:eastAsia="fr-FR"/>
              </w:rPr>
              <w:t xml:space="preserve">Heating, Ventilation and Air Conditioning </w:t>
            </w:r>
          </w:p>
          <w:p w14:paraId="2E090D80" w14:textId="77777777" w:rsidR="003B4778" w:rsidRPr="00F80210" w:rsidRDefault="003B4778" w:rsidP="003B4778">
            <w:pPr>
              <w:spacing w:after="120" w:line="240" w:lineRule="auto"/>
              <w:jc w:val="left"/>
              <w:rPr>
                <w:rFonts w:asciiTheme="minorBidi" w:eastAsia="Times New Roman" w:hAnsiTheme="minorBidi" w:cstheme="minorBidi"/>
                <w:color w:val="000000"/>
                <w:szCs w:val="20"/>
                <w:lang w:val="en-US" w:eastAsia="fr-FR"/>
              </w:rPr>
            </w:pPr>
            <w:r>
              <w:rPr>
                <w:rFonts w:asciiTheme="minorBidi" w:eastAsia="Times New Roman" w:hAnsiTheme="minorBidi" w:cstheme="minorBidi"/>
                <w:color w:val="000000"/>
                <w:szCs w:val="20"/>
                <w:lang w:val="en-US" w:eastAsia="fr-FR"/>
              </w:rPr>
              <w:t xml:space="preserve">Vapour Compression Refrigeration</w:t>
            </w:r>
          </w:p>
          <w:p w14:paraId="092F9C42" w14:textId="77777777" w:rsidR="003B4778" w:rsidRPr="00F80210" w:rsidRDefault="003B4778" w:rsidP="003B4778">
            <w:pPr>
              <w:spacing w:after="120" w:line="240" w:lineRule="auto"/>
              <w:jc w:val="left"/>
              <w:rPr>
                <w:rFonts w:asciiTheme="minorBidi" w:eastAsia="Times New Roman" w:hAnsiTheme="minorBidi" w:cstheme="minorBidi"/>
                <w:color w:val="000000"/>
                <w:szCs w:val="20"/>
                <w:lang w:val="en-US" w:eastAsia="fr-FR"/>
              </w:rPr>
            </w:pPr>
            <w:r>
              <w:rPr>
                <w:rFonts w:asciiTheme="minorBidi" w:eastAsia="Times New Roman" w:hAnsiTheme="minorBidi" w:cstheme="minorBidi"/>
                <w:color w:val="000000"/>
                <w:szCs w:val="20"/>
                <w:lang w:val="en-US" w:eastAsia="fr-FR"/>
              </w:rPr>
              <w:t>Chlorinated Fluorocarbon</w:t>
            </w:r>
          </w:p>
          <w:p w14:paraId="7D4FB190" w14:textId="77777777" w:rsidR="00AA6B76" w:rsidRPr="00F80210" w:rsidRDefault="00AA6B76" w:rsidP="003B4778">
            <w:pPr>
              <w:spacing w:after="120" w:line="240" w:lineRule="auto"/>
              <w:jc w:val="left"/>
              <w:rPr>
                <w:rFonts w:asciiTheme="minorBidi" w:eastAsia="Times New Roman" w:hAnsiTheme="minorBidi" w:cstheme="minorBidi"/>
                <w:color w:val="000000"/>
                <w:szCs w:val="20"/>
                <w:lang w:val="en-US" w:eastAsia="fr-FR"/>
              </w:rPr>
            </w:pPr>
            <w:r>
              <w:rPr>
                <w:rFonts w:asciiTheme="minorBidi" w:eastAsia="Times New Roman" w:hAnsiTheme="minorBidi" w:cstheme="minorBidi"/>
                <w:color w:val="000000"/>
                <w:szCs w:val="20"/>
                <w:lang w:val="en-US" w:eastAsia="fr-FR"/>
              </w:rPr>
              <w:t>Fan Coil Units</w:t>
            </w:r>
          </w:p>
          <w:p w14:paraId="155861DA" w14:textId="755BD0E1" w:rsidR="00AA6B76" w:rsidRPr="003B4778" w:rsidRDefault="00AA6B76" w:rsidP="003B4778">
            <w:pPr>
              <w:spacing w:after="120" w:line="240" w:lineRule="auto"/>
              <w:jc w:val="left"/>
              <w:rPr>
                <w:rFonts w:asciiTheme="minorBidi" w:hAnsiTheme="minorBidi" w:cstheme="minorBidi"/>
                <w:lang w:val="en-US"/>
              </w:rPr>
            </w:pPr>
            <w:r>
              <w:rPr>
                <w:rFonts w:asciiTheme="minorBidi" w:eastAsia="Times New Roman" w:hAnsiTheme="minorBidi" w:cstheme="minorBidi"/>
                <w:color w:val="000000"/>
                <w:szCs w:val="20"/>
                <w:lang w:val="en-US" w:eastAsia="fr-FR"/>
              </w:rPr>
              <w:t>Air Handling Units</w:t>
            </w:r>
          </w:p>
        </w:tc>
      </w:tr>
    </w:tbl>
    <w:p w14:paraId="37A8060C" w14:textId="7D9709ED" w:rsidR="003B4778" w:rsidRDefault="003B4778" w:rsidP="00535B55">
      <w:pPr>
        <w:jc w:val="left"/>
        <w:rPr>
          <w:lang w:val="en-US" w:bidi="ar-LB"/>
        </w:rPr>
      </w:pPr>
    </w:p>
    <w:p w14:paraId="43FCDDDD" w14:textId="77777777" w:rsidR="003B4778" w:rsidRDefault="003B4778" w:rsidP="00535B55">
      <w:pPr>
        <w:jc w:val="left"/>
        <w:rPr>
          <w:lang w:val="en-US" w:bidi="ar-LB"/>
        </w:rPr>
      </w:pPr>
    </w:p>
    <w:p w14:paraId="79458FB6" w14:textId="77777777" w:rsidR="00535B55" w:rsidRDefault="00535B55" w:rsidP="00535B55">
      <w:pPr>
        <w:jc w:val="left"/>
        <w:rPr>
          <w:lang w:val="en-US" w:bidi="ar-LB"/>
        </w:rPr>
      </w:pPr>
      <w:r>
        <w:rPr>
          <w:lang w:val="en-US" w:bidi="ar-LB"/>
        </w:rPr>
        <w:br w:type="page"/>
      </w:r>
    </w:p>
    <w:p w14:paraId="14F7A657" w14:textId="77777777" w:rsidR="00535B55" w:rsidRDefault="00535B55" w:rsidP="00535B55">
      <w:pPr>
        <w:pStyle w:val="Heading1"/>
        <w:numPr>
          <w:ilvl w:val="0"/>
          <w:numId w:val="0"/>
        </w:numPr>
        <w:ind w:left="432" w:hanging="432"/>
        <w:jc w:val="center"/>
        <w:rPr>
          <w:lang w:val="en-US" w:bidi="ar-LB"/>
        </w:rPr>
      </w:pPr>
      <w:bookmarkStart w:id="8" w:name="_Toc238550976"/>
      <w:r>
        <w:rPr>
          <w:lang w:val="en-US" w:bidi="ar-LB"/>
        </w:rPr>
        <w:lastRenderedPageBreak/>
        <w:t>Symbols (optional)</w:t>
      </w:r>
      <w:bookmarkEnd w:id="8"/>
    </w:p>
    <w:p w14:paraId="27E38265" w14:textId="77777777" w:rsidR="00535B55" w:rsidRDefault="00535B55" w:rsidP="00535B55">
      <w:pPr>
        <w:rPr>
          <w:lang w:val="en-US" w:eastAsia="fr-FR" w:bidi="ar-LB"/>
        </w:rPr>
      </w:pPr>
    </w:p>
    <w:p w14:paraId="317CD529" w14:textId="3ED7F2F4" w:rsidR="00DF3FA9" w:rsidRDefault="00DF3FA9" w:rsidP="00DF3FA9">
      <w:pPr>
        <w:rPr>
          <w:rFonts w:asciiTheme="minorBidi" w:hAnsiTheme="minorBidi" w:cstheme="minorBidi"/>
          <w:szCs w:val="20"/>
          <w:lang w:val="en-US"/>
        </w:rPr>
      </w:pPr>
      <w:r>
        <w:rPr>
          <w:rFonts w:asciiTheme="minorBidi" w:hAnsiTheme="minorBidi" w:cstheme="minorBidi"/>
          <w:szCs w:val="20"/>
          <w:lang w:val="en-US"/>
        </w:rPr>
        <w:t>The symbols should be located at the end of the text using the following 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3215"/>
        <w:gridCol w:w="2539"/>
      </w:tblGrid>
      <w:tr w:rsidR="00DF3FA9" w:rsidRPr="00465539" w14:paraId="33431C1F" w14:textId="77777777" w:rsidTr="00465539">
        <w:tc>
          <w:tcPr>
            <w:tcW w:w="2876" w:type="dxa"/>
          </w:tcPr>
          <w:p w14:paraId="69AA5674" w14:textId="309AAC9A" w:rsidR="00DF3FA9" w:rsidRPr="00465539" w:rsidRDefault="00DF3FA9" w:rsidP="00DF3FA9">
            <w:pPr>
              <w:rPr>
                <w:rFonts w:asciiTheme="minorBidi" w:hAnsiTheme="minorBidi" w:cstheme="minorBidi"/>
                <w:b/>
                <w:bCs/>
                <w:szCs w:val="20"/>
                <w:u w:val="single"/>
                <w:lang w:val="en-US"/>
              </w:rPr>
            </w:pPr>
            <w:r>
              <w:rPr>
                <w:rFonts w:asciiTheme="minorBidi" w:hAnsiTheme="minorBidi" w:cstheme="minorBidi"/>
                <w:b/>
                <w:bCs/>
                <w:szCs w:val="20"/>
                <w:u w:val="single"/>
                <w:lang w:val="en-US"/>
              </w:rPr>
              <w:t>Symbol</w:t>
            </w:r>
          </w:p>
        </w:tc>
        <w:tc>
          <w:tcPr>
            <w:tcW w:w="3215" w:type="dxa"/>
          </w:tcPr>
          <w:p w14:paraId="46C37C9A" w14:textId="38DC5388" w:rsidR="00DF3FA9" w:rsidRPr="00465539" w:rsidRDefault="00DF3FA9" w:rsidP="00DF3FA9">
            <w:pPr>
              <w:rPr>
                <w:rFonts w:asciiTheme="minorBidi" w:hAnsiTheme="minorBidi" w:cstheme="minorBidi"/>
                <w:b/>
                <w:bCs/>
                <w:szCs w:val="20"/>
                <w:u w:val="single"/>
                <w:lang w:val="en-US"/>
              </w:rPr>
            </w:pPr>
            <w:r>
              <w:rPr>
                <w:rFonts w:asciiTheme="minorBidi" w:hAnsiTheme="minorBidi" w:cstheme="minorBidi"/>
                <w:b/>
                <w:bCs/>
                <w:szCs w:val="20"/>
                <w:u w:val="single"/>
                <w:lang w:val="en-US"/>
              </w:rPr>
              <w:t>Definition</w:t>
            </w:r>
          </w:p>
        </w:tc>
        <w:tc>
          <w:tcPr>
            <w:tcW w:w="2539" w:type="dxa"/>
          </w:tcPr>
          <w:p w14:paraId="548FFF54" w14:textId="777D5C19" w:rsidR="00DF3FA9" w:rsidRPr="00465539" w:rsidRDefault="00DF3FA9" w:rsidP="00DF3FA9">
            <w:pPr>
              <w:rPr>
                <w:rFonts w:asciiTheme="minorBidi" w:hAnsiTheme="minorBidi" w:cstheme="minorBidi"/>
                <w:b/>
                <w:bCs/>
                <w:szCs w:val="20"/>
                <w:u w:val="single"/>
                <w:lang w:val="en-US"/>
              </w:rPr>
            </w:pPr>
            <w:r>
              <w:rPr>
                <w:rFonts w:asciiTheme="minorBidi" w:hAnsiTheme="minorBidi" w:cstheme="minorBidi"/>
                <w:b/>
                <w:bCs/>
                <w:szCs w:val="20"/>
                <w:u w:val="single"/>
                <w:lang w:val="en-US"/>
              </w:rPr>
              <w:t>Units</w:t>
            </w:r>
          </w:p>
        </w:tc>
      </w:tr>
      <w:tr w:rsidR="00DF3FA9" w:rsidRPr="00465539" w14:paraId="78E4542C" w14:textId="77777777" w:rsidTr="00465539">
        <w:tc>
          <w:tcPr>
            <w:tcW w:w="2876" w:type="dxa"/>
          </w:tcPr>
          <w:p w14:paraId="61018889" w14:textId="412738E9" w:rsidR="00465539" w:rsidRPr="00465539" w:rsidRDefault="00465539" w:rsidP="00465539">
            <w:pPr>
              <w:autoSpaceDE w:val="0"/>
              <w:autoSpaceDN w:val="0"/>
              <w:adjustRightInd w:val="0"/>
              <w:jc w:val="left"/>
              <w:rPr>
                <w:rFonts w:asciiTheme="minorBidi" w:hAnsiTheme="minorBidi" w:cstheme="minorBidi"/>
                <w:szCs w:val="20"/>
                <w:lang w:val="en-US"/>
              </w:rPr>
            </w:pPr>
            <w:r>
              <w:rPr>
                <w:rFonts w:asciiTheme="minorBidi" w:hAnsiTheme="minorBidi" w:cstheme="minorBidi"/>
                <w:szCs w:val="20"/>
                <w:lang w:val="en-US"/>
              </w:rPr>
              <w:t>H</w:t>
            </w:r>
          </w:p>
          <w:p w14:paraId="12DFD35A" w14:textId="50A16B81" w:rsidR="00465539" w:rsidRPr="00465539" w:rsidRDefault="00465539" w:rsidP="00465539">
            <w:pPr>
              <w:autoSpaceDE w:val="0"/>
              <w:autoSpaceDN w:val="0"/>
              <w:adjustRightInd w:val="0"/>
              <w:jc w:val="left"/>
              <w:rPr>
                <w:rFonts w:asciiTheme="minorBidi" w:hAnsiTheme="minorBidi" w:cstheme="minorBidi"/>
                <w:szCs w:val="20"/>
                <w:lang w:val="en-US"/>
              </w:rPr>
            </w:pPr>
            <w:r>
              <w:rPr>
                <w:rFonts w:asciiTheme="minorBidi" w:hAnsiTheme="minorBidi" w:cstheme="minorBidi"/>
                <w:szCs w:val="20"/>
                <w:lang w:val="en-US"/>
              </w:rPr>
              <w:t xml:space="preserve">U </w:t>
            </w:r>
          </w:p>
          <w:p w14:paraId="2FBBE688" w14:textId="022194D3" w:rsidR="00465539" w:rsidRPr="00F80210" w:rsidRDefault="00465539" w:rsidP="00465539">
            <w:pPr>
              <w:autoSpaceDE w:val="0"/>
              <w:autoSpaceDN w:val="0"/>
              <w:adjustRightInd w:val="0"/>
              <w:jc w:val="left"/>
              <w:rPr>
                <w:rFonts w:asciiTheme="minorBidi" w:hAnsiTheme="minorBidi" w:cstheme="minorBidi"/>
                <w:szCs w:val="20"/>
                <w:lang w:val="en-US"/>
              </w:rPr>
            </w:pPr>
            <w:r>
              <w:rPr>
                <w:rFonts w:asciiTheme="minorBidi" w:hAnsiTheme="minorBidi" w:cstheme="minorBidi"/>
                <w:szCs w:val="20"/>
                <w:lang w:val="en-US"/>
              </w:rPr>
              <w:t xml:space="preserve">A (m²) i indice</w:t>
            </w:r>
          </w:p>
          <w:p w14:paraId="5687CA25" w14:textId="6EA421EB" w:rsidR="00465539" w:rsidRPr="00F80210" w:rsidRDefault="00465539" w:rsidP="00465539">
            <w:pPr>
              <w:autoSpaceDE w:val="0"/>
              <w:autoSpaceDN w:val="0"/>
              <w:adjustRightInd w:val="0"/>
              <w:jc w:val="left"/>
              <w:rPr>
                <w:rFonts w:asciiTheme="minorBidi" w:hAnsiTheme="minorBidi" w:cstheme="minorBidi"/>
                <w:szCs w:val="20"/>
                <w:lang w:val="en-US"/>
              </w:rPr>
            </w:pPr>
            <w:r>
              <w:rPr>
                <w:rFonts w:asciiTheme="minorBidi" w:hAnsiTheme="minorBidi" w:cstheme="minorBidi"/>
                <w:szCs w:val="20"/>
                <w:lang w:val="en-US"/>
              </w:rPr>
              <w:t xml:space="preserve">T (°C) </w:t>
            </w:r>
          </w:p>
          <w:p w14:paraId="581DDAFF" w14:textId="709D535B" w:rsidR="00465539" w:rsidRPr="00465539" w:rsidRDefault="00465539" w:rsidP="00465539">
            <w:pPr>
              <w:autoSpaceDE w:val="0"/>
              <w:autoSpaceDN w:val="0"/>
              <w:adjustRightInd w:val="0"/>
              <w:jc w:val="left"/>
              <w:rPr>
                <w:rFonts w:asciiTheme="minorBidi" w:hAnsiTheme="minorBidi" w:cstheme="minorBidi"/>
                <w:szCs w:val="20"/>
                <w:lang w:val="en-US"/>
              </w:rPr>
            </w:pPr>
            <w:r>
              <w:rPr>
                <w:rFonts w:asciiTheme="minorBidi" w:hAnsiTheme="minorBidi" w:cstheme="minorBidi"/>
                <w:szCs w:val="20"/>
                <w:lang w:val="en-US"/>
              </w:rPr>
              <w:t>m</w:t>
            </w:r>
          </w:p>
          <w:p w14:paraId="168E2444" w14:textId="2358C5C0" w:rsidR="00465539" w:rsidRPr="00F80210" w:rsidRDefault="00465539" w:rsidP="00465539">
            <w:pPr>
              <w:autoSpaceDE w:val="0"/>
              <w:autoSpaceDN w:val="0"/>
              <w:adjustRightInd w:val="0"/>
              <w:jc w:val="left"/>
              <w:rPr>
                <w:rFonts w:asciiTheme="minorBidi" w:hAnsiTheme="minorBidi" w:cstheme="minorBidi"/>
                <w:szCs w:val="20"/>
                <w:lang w:val="en-US"/>
              </w:rPr>
            </w:pPr>
            <w:r>
              <w:rPr>
                <w:rFonts w:asciiTheme="minorBidi" w:hAnsiTheme="minorBidi" w:cstheme="minorBidi"/>
                <w:szCs w:val="20"/>
                <w:lang w:val="en-US"/>
              </w:rPr>
              <w:t xml:space="preserve">Cp </w:t>
            </w:r>
          </w:p>
          <w:p w14:paraId="66120C8F" w14:textId="244536E3" w:rsidR="00465539" w:rsidRPr="00F80210" w:rsidRDefault="00465539" w:rsidP="00465539">
            <w:pPr>
              <w:autoSpaceDE w:val="0"/>
              <w:autoSpaceDN w:val="0"/>
              <w:adjustRightInd w:val="0"/>
              <w:jc w:val="left"/>
              <w:rPr>
                <w:rFonts w:asciiTheme="minorBidi" w:hAnsiTheme="minorBidi" w:cstheme="minorBidi"/>
                <w:szCs w:val="20"/>
                <w:lang w:val="en-US"/>
              </w:rPr>
            </w:pPr>
            <w:r>
              <w:rPr>
                <w:rFonts w:asciiTheme="minorBidi" w:hAnsiTheme="minorBidi" w:cstheme="minorBidi"/>
                <w:szCs w:val="20"/>
                <w:lang w:val="en-US"/>
              </w:rPr>
              <w:t xml:space="preserve">E </w:t>
            </w:r>
          </w:p>
          <w:p w14:paraId="5D78AB34" w14:textId="64A249C0" w:rsidR="00465539" w:rsidRPr="00465539" w:rsidRDefault="00465539" w:rsidP="00465539">
            <w:pPr>
              <w:autoSpaceDE w:val="0"/>
              <w:autoSpaceDN w:val="0"/>
              <w:adjustRightInd w:val="0"/>
              <w:jc w:val="left"/>
              <w:rPr>
                <w:rFonts w:asciiTheme="minorBidi" w:hAnsiTheme="minorBidi" w:cstheme="minorBidi"/>
                <w:szCs w:val="20"/>
                <w:lang w:val="en-US"/>
              </w:rPr>
            </w:pPr>
            <w:r>
              <w:rPr>
                <w:rFonts w:asciiTheme="minorBidi" w:hAnsiTheme="minorBidi" w:cstheme="minorBidi"/>
                <w:szCs w:val="20"/>
                <w:lang w:val="en-US"/>
              </w:rPr>
              <w:t xml:space="preserve">COP </w:t>
            </w:r>
          </w:p>
          <w:p w14:paraId="3321DFC6" w14:textId="77777777" w:rsidR="00DF3FA9" w:rsidRPr="00465539" w:rsidRDefault="00465539" w:rsidP="00465539">
            <w:pPr>
              <w:rPr>
                <w:rFonts w:asciiTheme="minorBidi" w:hAnsiTheme="minorBidi" w:cstheme="minorBidi"/>
                <w:szCs w:val="20"/>
                <w:lang w:val="en-US"/>
              </w:rPr>
            </w:pPr>
            <w:r>
              <w:rPr>
                <w:rFonts w:asciiTheme="minorBidi" w:hAnsiTheme="minorBidi" w:cstheme="minorBidi"/>
                <w:szCs w:val="20"/>
                <w:lang w:val="en-US"/>
              </w:rPr>
              <w:t>I</w:t>
            </w:r>
          </w:p>
          <w:p w14:paraId="5013E106" w14:textId="3592882C" w:rsidR="00465539" w:rsidRPr="00465539" w:rsidRDefault="00465539" w:rsidP="00465539">
            <w:pPr>
              <w:rPr>
                <w:rFonts w:asciiTheme="minorBidi" w:hAnsiTheme="minorBidi" w:cstheme="minorBidi"/>
                <w:szCs w:val="20"/>
                <w:lang w:val="en-US"/>
              </w:rPr>
            </w:pPr>
            <w:r>
              <w:rPr>
                <w:rFonts w:asciiTheme="minorBidi" w:hAnsiTheme="minorBidi" w:cstheme="minorBidi"/>
                <w:szCs w:val="20"/>
                <w:lang w:val="en-US"/>
              </w:rPr>
              <w:t>V</w:t>
            </w:r>
          </w:p>
        </w:tc>
        <w:tc>
          <w:tcPr>
            <w:tcW w:w="3215" w:type="dxa"/>
          </w:tcPr>
          <w:p w14:paraId="25CE5C13" w14:textId="42DCA3EC" w:rsidR="00465539" w:rsidRPr="00465539" w:rsidRDefault="00465539" w:rsidP="00DF3FA9">
            <w:pPr>
              <w:rPr>
                <w:rFonts w:asciiTheme="minorBidi" w:hAnsiTheme="minorBidi" w:cstheme="minorBidi"/>
                <w:szCs w:val="20"/>
                <w:lang w:val="en-US"/>
              </w:rPr>
            </w:pPr>
            <w:r>
              <w:rPr>
                <w:rFonts w:asciiTheme="minorBidi" w:hAnsiTheme="minorBidi" w:cstheme="minorBidi"/>
                <w:szCs w:val="20"/>
                <w:lang w:val="en-US"/>
              </w:rPr>
              <w:t>Heat</w:t>
            </w:r>
          </w:p>
          <w:p w14:paraId="5D5714A1" w14:textId="77777777" w:rsidR="00DF3FA9" w:rsidRPr="00465539" w:rsidRDefault="00465539" w:rsidP="00DF3FA9">
            <w:pPr>
              <w:rPr>
                <w:rFonts w:asciiTheme="minorBidi" w:hAnsiTheme="minorBidi" w:cstheme="minorBidi"/>
                <w:szCs w:val="20"/>
                <w:lang w:val="en-US"/>
              </w:rPr>
            </w:pPr>
            <w:r>
              <w:rPr>
                <w:rFonts w:asciiTheme="minorBidi" w:hAnsiTheme="minorBidi" w:cstheme="minorBidi"/>
                <w:szCs w:val="20"/>
                <w:lang w:val="en-US"/>
              </w:rPr>
              <w:t>heat transmission coefficient</w:t>
            </w:r>
          </w:p>
          <w:p w14:paraId="0638B9E2" w14:textId="77777777" w:rsidR="00465539" w:rsidRPr="00465539" w:rsidRDefault="00465539" w:rsidP="00DF3FA9">
            <w:pPr>
              <w:rPr>
                <w:rFonts w:asciiTheme="minorBidi" w:hAnsiTheme="minorBidi" w:cstheme="minorBidi"/>
                <w:szCs w:val="20"/>
                <w:lang w:val="en-US"/>
              </w:rPr>
            </w:pPr>
            <w:r>
              <w:rPr>
                <w:rFonts w:asciiTheme="minorBidi" w:hAnsiTheme="minorBidi" w:cstheme="minorBidi"/>
                <w:szCs w:val="20"/>
                <w:lang w:val="en-US"/>
              </w:rPr>
              <w:t>surface</w:t>
            </w:r>
          </w:p>
          <w:p w14:paraId="64303AF5" w14:textId="77777777" w:rsidR="00465539" w:rsidRPr="00465539" w:rsidRDefault="00465539" w:rsidP="00DF3FA9">
            <w:pPr>
              <w:rPr>
                <w:rFonts w:asciiTheme="minorBidi" w:hAnsiTheme="minorBidi" w:cstheme="minorBidi"/>
                <w:szCs w:val="20"/>
                <w:lang w:val="en-US"/>
              </w:rPr>
            </w:pPr>
            <w:r>
              <w:rPr>
                <w:rFonts w:asciiTheme="minorBidi" w:hAnsiTheme="minorBidi" w:cstheme="minorBidi"/>
                <w:szCs w:val="20"/>
                <w:lang w:val="en-US"/>
              </w:rPr>
              <w:t>temperature</w:t>
            </w:r>
          </w:p>
          <w:p w14:paraId="2508377F" w14:textId="77777777" w:rsidR="00465539" w:rsidRPr="00465539" w:rsidRDefault="00465539" w:rsidP="00DF3FA9">
            <w:pPr>
              <w:rPr>
                <w:rFonts w:asciiTheme="minorBidi" w:hAnsiTheme="minorBidi" w:cstheme="minorBidi"/>
                <w:szCs w:val="20"/>
                <w:lang w:val="en-US"/>
              </w:rPr>
            </w:pPr>
            <w:r>
              <w:rPr>
                <w:rFonts w:asciiTheme="minorBidi" w:hAnsiTheme="minorBidi" w:cstheme="minorBidi"/>
                <w:szCs w:val="20"/>
                <w:lang w:val="en-US"/>
              </w:rPr>
              <w:t>mass flowrate</w:t>
            </w:r>
          </w:p>
          <w:p w14:paraId="501CA373" w14:textId="77777777" w:rsidR="00465539" w:rsidRPr="00465539" w:rsidRDefault="00465539" w:rsidP="00465539">
            <w:pPr>
              <w:rPr>
                <w:rFonts w:asciiTheme="minorBidi" w:hAnsiTheme="minorBidi" w:cstheme="minorBidi"/>
                <w:szCs w:val="20"/>
                <w:lang w:val="en-US"/>
              </w:rPr>
            </w:pPr>
            <w:r>
              <w:rPr>
                <w:rFonts w:asciiTheme="minorBidi" w:hAnsiTheme="minorBidi" w:cstheme="minorBidi"/>
                <w:szCs w:val="20"/>
                <w:lang w:val="en-US"/>
              </w:rPr>
              <w:t xml:space="preserve">specific heat </w:t>
            </w:r>
          </w:p>
          <w:p w14:paraId="5541BDBB" w14:textId="77777777" w:rsidR="00465539" w:rsidRPr="00465539" w:rsidRDefault="00465539" w:rsidP="00465539">
            <w:pPr>
              <w:rPr>
                <w:rFonts w:asciiTheme="minorBidi" w:hAnsiTheme="minorBidi" w:cstheme="minorBidi"/>
                <w:szCs w:val="20"/>
                <w:lang w:val="en-US"/>
              </w:rPr>
            </w:pPr>
            <w:r>
              <w:rPr>
                <w:rFonts w:asciiTheme="minorBidi" w:hAnsiTheme="minorBidi" w:cstheme="minorBidi"/>
                <w:szCs w:val="20"/>
                <w:lang w:val="en-US"/>
              </w:rPr>
              <w:t>Electrical power consumption</w:t>
            </w:r>
          </w:p>
          <w:p w14:paraId="4C5804A7" w14:textId="77777777" w:rsidR="00465539" w:rsidRPr="00465539" w:rsidRDefault="00465539" w:rsidP="00465539">
            <w:pPr>
              <w:rPr>
                <w:rFonts w:asciiTheme="minorBidi" w:hAnsiTheme="minorBidi" w:cstheme="minorBidi"/>
                <w:szCs w:val="20"/>
                <w:lang w:val="en-US"/>
              </w:rPr>
            </w:pPr>
            <w:r>
              <w:rPr>
                <w:rFonts w:asciiTheme="minorBidi" w:hAnsiTheme="minorBidi" w:cstheme="minorBidi"/>
                <w:szCs w:val="20"/>
                <w:lang w:val="en-US"/>
              </w:rPr>
              <w:t xml:space="preserve">Coefficient Of Performance</w:t>
            </w:r>
          </w:p>
          <w:p w14:paraId="517EC046" w14:textId="77777777" w:rsidR="00465539" w:rsidRPr="00465539" w:rsidRDefault="00465539" w:rsidP="00465539">
            <w:pPr>
              <w:rPr>
                <w:rFonts w:asciiTheme="minorBidi" w:hAnsiTheme="minorBidi" w:cstheme="minorBidi"/>
                <w:szCs w:val="20"/>
                <w:lang w:val="en-US"/>
              </w:rPr>
            </w:pPr>
            <w:r>
              <w:rPr>
                <w:rFonts w:asciiTheme="minorBidi" w:hAnsiTheme="minorBidi" w:cstheme="minorBidi"/>
                <w:szCs w:val="20"/>
                <w:lang w:val="en-US"/>
              </w:rPr>
              <w:t>Current</w:t>
            </w:r>
          </w:p>
          <w:p w14:paraId="25AC7ED2" w14:textId="06A3116E" w:rsidR="00465539" w:rsidRPr="00465539" w:rsidRDefault="00465539" w:rsidP="00465539">
            <w:pPr>
              <w:rPr>
                <w:rFonts w:asciiTheme="minorBidi" w:hAnsiTheme="minorBidi" w:cstheme="minorBidi"/>
                <w:szCs w:val="20"/>
                <w:lang w:val="en-US"/>
              </w:rPr>
            </w:pPr>
            <w:r>
              <w:rPr>
                <w:rFonts w:asciiTheme="minorBidi" w:hAnsiTheme="minorBidi" w:cstheme="minorBidi"/>
                <w:szCs w:val="20"/>
                <w:lang w:val="en-US"/>
              </w:rPr>
              <w:t>Voltage</w:t>
            </w:r>
          </w:p>
        </w:tc>
        <w:tc>
          <w:tcPr>
            <w:tcW w:w="2539" w:type="dxa"/>
          </w:tcPr>
          <w:p w14:paraId="06FD7788" w14:textId="77777777" w:rsidR="00465539" w:rsidRPr="00465539" w:rsidRDefault="00465539" w:rsidP="00DF3FA9">
            <w:pPr>
              <w:rPr>
                <w:rFonts w:asciiTheme="minorBidi" w:hAnsiTheme="minorBidi" w:cstheme="minorBidi"/>
                <w:szCs w:val="20"/>
                <w:lang w:val="en-US"/>
              </w:rPr>
            </w:pPr>
            <w:r>
              <w:rPr>
                <w:rFonts w:asciiTheme="minorBidi" w:hAnsiTheme="minorBidi" w:cstheme="minorBidi"/>
                <w:szCs w:val="20"/>
                <w:lang w:val="en-US"/>
              </w:rPr>
              <w:t xml:space="preserve">(kW) </w:t>
            </w:r>
          </w:p>
          <w:p w14:paraId="74AA1AF9" w14:textId="77777777" w:rsidR="00DF3FA9" w:rsidRPr="00465539" w:rsidRDefault="00465539" w:rsidP="00DF3FA9">
            <w:pPr>
              <w:rPr>
                <w:rFonts w:asciiTheme="minorBidi" w:hAnsiTheme="minorBidi" w:cstheme="minorBidi"/>
                <w:szCs w:val="20"/>
                <w:lang w:val="en-US"/>
              </w:rPr>
            </w:pPr>
            <w:r>
              <w:rPr>
                <w:rFonts w:asciiTheme="minorBidi" w:hAnsiTheme="minorBidi" w:cstheme="minorBidi"/>
                <w:szCs w:val="20"/>
                <w:lang w:val="en-US"/>
              </w:rPr>
              <w:t>(W/m².K)</w:t>
            </w:r>
          </w:p>
          <w:p w14:paraId="62F88F25" w14:textId="77777777" w:rsidR="00465539" w:rsidRPr="00465539" w:rsidRDefault="00465539" w:rsidP="00DF3FA9">
            <w:pPr>
              <w:rPr>
                <w:rFonts w:asciiTheme="minorBidi" w:hAnsiTheme="minorBidi" w:cstheme="minorBidi"/>
                <w:szCs w:val="20"/>
                <w:lang w:val="en-US"/>
              </w:rPr>
            </w:pPr>
            <w:r>
              <w:rPr>
                <w:rFonts w:asciiTheme="minorBidi" w:hAnsiTheme="minorBidi" w:cstheme="minorBidi"/>
                <w:szCs w:val="20"/>
                <w:lang w:val="en-US"/>
              </w:rPr>
              <w:t>(m</w:t>
            </w:r>
            <w:r>
              <w:rPr>
                <w:rFonts w:asciiTheme="minorBidi" w:hAnsiTheme="minorBidi" w:cstheme="minorBidi"/>
                <w:szCs w:val="20"/>
                <w:vertAlign w:val="superscript"/>
                <w:lang w:val="en-US"/>
              </w:rPr>
              <w:t>2</w:t>
            </w:r>
            <w:r>
              <w:rPr>
                <w:rFonts w:asciiTheme="minorBidi" w:hAnsiTheme="minorBidi" w:cstheme="minorBidi"/>
                <w:szCs w:val="20"/>
                <w:lang w:val="en-US"/>
              </w:rPr>
              <w:t>)</w:t>
            </w:r>
          </w:p>
          <w:p w14:paraId="7B19D1C1" w14:textId="77777777" w:rsidR="00465539" w:rsidRPr="00F80210" w:rsidRDefault="00465539" w:rsidP="00DF3FA9">
            <w:pPr>
              <w:rPr>
                <w:rFonts w:asciiTheme="minorBidi" w:hAnsiTheme="minorBidi" w:cstheme="minorBidi"/>
                <w:szCs w:val="20"/>
                <w:lang w:val="en-US"/>
              </w:rPr>
            </w:pPr>
            <w:r>
              <w:rPr>
                <w:rFonts w:asciiTheme="minorBidi" w:hAnsiTheme="minorBidi" w:cstheme="minorBidi"/>
                <w:szCs w:val="20"/>
                <w:lang w:val="en-US"/>
              </w:rPr>
              <w:t>(°C)</w:t>
            </w:r>
          </w:p>
          <w:p w14:paraId="626FCDAF" w14:textId="77777777" w:rsidR="00465539" w:rsidRPr="00465539" w:rsidRDefault="00465539" w:rsidP="00DF3FA9">
            <w:pPr>
              <w:rPr>
                <w:rFonts w:asciiTheme="minorBidi" w:hAnsiTheme="minorBidi" w:cstheme="minorBidi"/>
                <w:szCs w:val="20"/>
                <w:lang w:val="en-US"/>
              </w:rPr>
            </w:pPr>
            <w:r>
              <w:rPr>
                <w:rFonts w:asciiTheme="minorBidi" w:hAnsiTheme="minorBidi" w:cstheme="minorBidi"/>
                <w:szCs w:val="20"/>
                <w:lang w:val="en-US"/>
              </w:rPr>
              <w:t>(kg/s)</w:t>
            </w:r>
          </w:p>
          <w:p w14:paraId="0E575C17" w14:textId="77777777" w:rsidR="00465539" w:rsidRPr="00465539" w:rsidRDefault="00465539" w:rsidP="00DF3FA9">
            <w:pPr>
              <w:rPr>
                <w:rFonts w:asciiTheme="minorBidi" w:hAnsiTheme="minorBidi" w:cstheme="minorBidi"/>
                <w:szCs w:val="20"/>
                <w:lang w:val="en-US"/>
              </w:rPr>
            </w:pPr>
            <w:r>
              <w:rPr>
                <w:rFonts w:asciiTheme="minorBidi" w:hAnsiTheme="minorBidi" w:cstheme="minorBidi"/>
                <w:szCs w:val="20"/>
                <w:lang w:val="en-US"/>
              </w:rPr>
              <w:t>(kJ/kg.K)</w:t>
            </w:r>
          </w:p>
          <w:p w14:paraId="40F445DC" w14:textId="77777777" w:rsidR="00465539" w:rsidRPr="00F80210" w:rsidRDefault="00465539" w:rsidP="00DF3FA9">
            <w:pPr>
              <w:rPr>
                <w:rFonts w:asciiTheme="minorBidi" w:hAnsiTheme="minorBidi" w:cstheme="minorBidi"/>
                <w:szCs w:val="20"/>
                <w:lang w:val="en-US"/>
              </w:rPr>
            </w:pPr>
            <w:r>
              <w:rPr>
                <w:rFonts w:asciiTheme="minorBidi" w:hAnsiTheme="minorBidi" w:cstheme="minorBidi"/>
                <w:szCs w:val="20"/>
                <w:lang w:val="en-US"/>
              </w:rPr>
              <w:t>(kW)</w:t>
            </w:r>
          </w:p>
          <w:p w14:paraId="7628CD1B" w14:textId="77777777" w:rsidR="00465539" w:rsidRPr="00465539" w:rsidRDefault="00465539" w:rsidP="00465539">
            <w:pPr>
              <w:autoSpaceDE w:val="0"/>
              <w:autoSpaceDN w:val="0"/>
              <w:adjustRightInd w:val="0"/>
              <w:jc w:val="left"/>
              <w:rPr>
                <w:rFonts w:asciiTheme="minorBidi" w:hAnsiTheme="minorBidi" w:cstheme="minorBidi"/>
                <w:szCs w:val="20"/>
                <w:lang w:val="en-US"/>
              </w:rPr>
            </w:pPr>
            <w:r>
              <w:rPr>
                <w:rFonts w:asciiTheme="minorBidi" w:hAnsiTheme="minorBidi" w:cstheme="minorBidi"/>
                <w:szCs w:val="20"/>
                <w:lang w:val="en-US"/>
              </w:rPr>
              <w:t>(kWh/kWh)</w:t>
            </w:r>
          </w:p>
          <w:p w14:paraId="38E04DD4" w14:textId="77777777" w:rsidR="00465539" w:rsidRPr="00465539" w:rsidRDefault="00465539" w:rsidP="00DF3FA9">
            <w:pPr>
              <w:rPr>
                <w:rFonts w:asciiTheme="minorBidi" w:hAnsiTheme="minorBidi" w:cstheme="minorBidi"/>
                <w:szCs w:val="20"/>
                <w:lang w:val="en-US"/>
              </w:rPr>
            </w:pPr>
            <w:r>
              <w:rPr>
                <w:rFonts w:asciiTheme="minorBidi" w:hAnsiTheme="minorBidi" w:cstheme="minorBidi"/>
                <w:szCs w:val="20"/>
                <w:lang w:val="en-US"/>
              </w:rPr>
              <w:t>(A)</w:t>
            </w:r>
          </w:p>
          <w:p w14:paraId="6589F762" w14:textId="10167F95" w:rsidR="00465539" w:rsidRPr="00465539" w:rsidRDefault="00465539" w:rsidP="00DF3FA9">
            <w:pPr>
              <w:rPr>
                <w:rFonts w:asciiTheme="minorBidi" w:hAnsiTheme="minorBidi" w:cstheme="minorBidi"/>
                <w:szCs w:val="20"/>
                <w:lang w:val="en-US"/>
              </w:rPr>
            </w:pPr>
            <w:r>
              <w:rPr>
                <w:rFonts w:asciiTheme="minorBidi" w:hAnsiTheme="minorBidi" w:cstheme="minorBidi"/>
                <w:szCs w:val="20"/>
                <w:lang w:val="en-US"/>
              </w:rPr>
              <w:t>(V)</w:t>
            </w:r>
          </w:p>
        </w:tc>
      </w:tr>
      <w:tr w:rsidR="00465539" w:rsidRPr="00465539" w14:paraId="3ECAB894" w14:textId="77777777" w:rsidTr="00465539">
        <w:tc>
          <w:tcPr>
            <w:tcW w:w="2876" w:type="dxa"/>
          </w:tcPr>
          <w:p w14:paraId="1CA024DC" w14:textId="77777777" w:rsidR="00465539" w:rsidRDefault="00465539" w:rsidP="00465539">
            <w:pPr>
              <w:rPr>
                <w:rFonts w:asciiTheme="minorBidi" w:hAnsiTheme="minorBidi" w:cstheme="minorBidi"/>
                <w:b/>
                <w:bCs/>
                <w:szCs w:val="20"/>
                <w:lang w:val="en-US"/>
              </w:rPr>
            </w:pPr>
          </w:p>
          <w:p w14:paraId="3BED9A97" w14:textId="055C66EB" w:rsidR="00465539" w:rsidRPr="00465539" w:rsidRDefault="00465539" w:rsidP="00465539">
            <w:pPr>
              <w:rPr>
                <w:rFonts w:asciiTheme="minorBidi" w:hAnsiTheme="minorBidi" w:cstheme="minorBidi"/>
                <w:b/>
                <w:bCs/>
                <w:szCs w:val="20"/>
                <w:u w:val="single"/>
                <w:lang w:val="en-US"/>
              </w:rPr>
            </w:pPr>
            <w:r>
              <w:rPr>
                <w:rFonts w:asciiTheme="minorBidi" w:hAnsiTheme="minorBidi" w:cstheme="minorBidi"/>
                <w:b/>
                <w:bCs/>
                <w:szCs w:val="20"/>
                <w:u w:val="single"/>
                <w:lang w:val="en-US"/>
              </w:rPr>
              <w:t>Subscripts</w:t>
            </w:r>
          </w:p>
        </w:tc>
        <w:tc>
          <w:tcPr>
            <w:tcW w:w="3215" w:type="dxa"/>
          </w:tcPr>
          <w:p w14:paraId="25505C4A" w14:textId="77777777" w:rsidR="00465539" w:rsidRPr="00465539" w:rsidRDefault="00465539" w:rsidP="00DF3FA9">
            <w:pPr>
              <w:rPr>
                <w:rFonts w:asciiTheme="minorBidi" w:hAnsiTheme="minorBidi" w:cstheme="minorBidi"/>
                <w:szCs w:val="20"/>
                <w:lang w:val="en-US"/>
              </w:rPr>
            </w:pPr>
          </w:p>
        </w:tc>
        <w:tc>
          <w:tcPr>
            <w:tcW w:w="2539" w:type="dxa"/>
          </w:tcPr>
          <w:p w14:paraId="16F136A9" w14:textId="77777777" w:rsidR="00465539" w:rsidRPr="00465539" w:rsidRDefault="00465539" w:rsidP="00DF3FA9">
            <w:pPr>
              <w:rPr>
                <w:rFonts w:asciiTheme="minorBidi" w:hAnsiTheme="minorBidi" w:cstheme="minorBidi"/>
                <w:szCs w:val="20"/>
                <w:lang w:val="en-US"/>
              </w:rPr>
            </w:pPr>
          </w:p>
        </w:tc>
      </w:tr>
      <w:tr w:rsidR="00465539" w:rsidRPr="0029235E" w14:paraId="794576E3" w14:textId="77777777" w:rsidTr="00465539">
        <w:tc>
          <w:tcPr>
            <w:tcW w:w="2876" w:type="dxa"/>
          </w:tcPr>
          <w:p w14:paraId="19278AC7" w14:textId="1D03C345" w:rsidR="00465539" w:rsidRPr="00465539" w:rsidRDefault="00465539" w:rsidP="00465539">
            <w:pPr>
              <w:rPr>
                <w:rFonts w:asciiTheme="minorBidi" w:hAnsiTheme="minorBidi" w:cstheme="minorBidi"/>
                <w:szCs w:val="20"/>
                <w:lang w:val="en-US"/>
              </w:rPr>
            </w:pPr>
            <w:r>
              <w:rPr>
                <w:rFonts w:asciiTheme="minorBidi" w:hAnsiTheme="minorBidi" w:cstheme="minorBidi"/>
                <w:szCs w:val="20"/>
                <w:lang w:val="en-US"/>
              </w:rPr>
              <w:t>L</w:t>
            </w:r>
          </w:p>
          <w:p w14:paraId="22DF23D5" w14:textId="54ACC68F" w:rsidR="00465539" w:rsidRPr="00465539" w:rsidRDefault="00465539" w:rsidP="00465539">
            <w:pPr>
              <w:rPr>
                <w:rFonts w:asciiTheme="minorBidi" w:hAnsiTheme="minorBidi" w:cstheme="minorBidi"/>
                <w:szCs w:val="20"/>
                <w:lang w:val="en-US"/>
              </w:rPr>
            </w:pPr>
            <w:r>
              <w:rPr>
                <w:rFonts w:asciiTheme="minorBidi" w:hAnsiTheme="minorBidi" w:cstheme="minorBidi"/>
                <w:szCs w:val="20"/>
                <w:lang w:val="en-US"/>
              </w:rPr>
              <w:t>A</w:t>
            </w:r>
          </w:p>
          <w:p w14:paraId="4A715CE7" w14:textId="4F21D999" w:rsidR="00465539" w:rsidRPr="00465539" w:rsidRDefault="00465539" w:rsidP="00465539">
            <w:pPr>
              <w:rPr>
                <w:rFonts w:asciiTheme="minorBidi" w:hAnsiTheme="minorBidi" w:cstheme="minorBidi"/>
                <w:szCs w:val="20"/>
                <w:lang w:val="en-US"/>
              </w:rPr>
            </w:pPr>
            <w:r>
              <w:rPr>
                <w:rFonts w:asciiTheme="minorBidi" w:hAnsiTheme="minorBidi" w:cstheme="minorBidi"/>
                <w:szCs w:val="20"/>
                <w:lang w:val="en-US"/>
              </w:rPr>
              <w:t>Max</w:t>
            </w:r>
          </w:p>
          <w:p w14:paraId="7090D313" w14:textId="01AE1E5B" w:rsidR="00465539" w:rsidRPr="00465539" w:rsidRDefault="00465539" w:rsidP="00465539">
            <w:pPr>
              <w:rPr>
                <w:rFonts w:asciiTheme="minorBidi" w:hAnsiTheme="minorBidi" w:cstheme="minorBidi"/>
                <w:szCs w:val="20"/>
                <w:lang w:val="en-US"/>
              </w:rPr>
            </w:pPr>
            <w:r>
              <w:rPr>
                <w:rFonts w:asciiTheme="minorBidi" w:hAnsiTheme="minorBidi" w:cstheme="minorBidi"/>
                <w:szCs w:val="20"/>
                <w:lang w:val="en-US"/>
              </w:rPr>
              <w:t>W</w:t>
            </w:r>
          </w:p>
          <w:p w14:paraId="13163DD4" w14:textId="7FD54216" w:rsidR="00465539" w:rsidRDefault="00465539" w:rsidP="00465539">
            <w:pPr>
              <w:rPr>
                <w:rFonts w:asciiTheme="minorBidi" w:hAnsiTheme="minorBidi" w:cstheme="minorBidi"/>
                <w:szCs w:val="20"/>
                <w:lang w:val="en-US"/>
              </w:rPr>
            </w:pPr>
            <w:r>
              <w:rPr>
                <w:rFonts w:asciiTheme="minorBidi" w:hAnsiTheme="minorBidi" w:cstheme="minorBidi"/>
                <w:szCs w:val="20"/>
                <w:lang w:val="en-US"/>
              </w:rPr>
              <w:t>C</w:t>
            </w:r>
          </w:p>
          <w:p w14:paraId="4C9A06C0" w14:textId="0FCF2A8E" w:rsidR="00465539" w:rsidRPr="00465539" w:rsidRDefault="00465539" w:rsidP="00465539">
            <w:pPr>
              <w:rPr>
                <w:rFonts w:asciiTheme="minorBidi" w:hAnsiTheme="minorBidi" w:cstheme="minorBidi"/>
                <w:szCs w:val="20"/>
                <w:lang w:val="en-US"/>
              </w:rPr>
            </w:pPr>
          </w:p>
        </w:tc>
        <w:tc>
          <w:tcPr>
            <w:tcW w:w="3215" w:type="dxa"/>
          </w:tcPr>
          <w:p w14:paraId="4075BCEB" w14:textId="77777777" w:rsidR="00465539" w:rsidRPr="00465539" w:rsidRDefault="00465539" w:rsidP="00DF3FA9">
            <w:pPr>
              <w:rPr>
                <w:rFonts w:asciiTheme="minorBidi" w:hAnsiTheme="minorBidi" w:cstheme="minorBidi"/>
                <w:szCs w:val="20"/>
                <w:lang w:val="en-US"/>
              </w:rPr>
            </w:pPr>
            <w:r>
              <w:rPr>
                <w:rFonts w:asciiTheme="minorBidi" w:hAnsiTheme="minorBidi" w:cstheme="minorBidi"/>
                <w:szCs w:val="20"/>
                <w:lang w:val="en-US"/>
              </w:rPr>
              <w:t>Loss</w:t>
            </w:r>
          </w:p>
          <w:p w14:paraId="341F5026" w14:textId="6CFE910A" w:rsidR="00465539" w:rsidRPr="00F80210" w:rsidRDefault="00465539" w:rsidP="00DF3FA9">
            <w:pPr>
              <w:rPr>
                <w:rFonts w:asciiTheme="minorBidi" w:hAnsiTheme="minorBidi" w:cstheme="minorBidi"/>
                <w:szCs w:val="20"/>
                <w:lang w:val="en-US"/>
              </w:rPr>
            </w:pPr>
            <w:r>
              <w:rPr>
                <w:rFonts w:asciiTheme="minorBidi" w:hAnsiTheme="minorBidi" w:cstheme="minorBidi"/>
                <w:szCs w:val="20"/>
                <w:lang w:val="en-US"/>
              </w:rPr>
              <w:t>Ambient</w:t>
            </w:r>
          </w:p>
          <w:p w14:paraId="1D7896C9" w14:textId="6AE0F750" w:rsidR="00465539" w:rsidRPr="00465539" w:rsidRDefault="00465539" w:rsidP="00DF3FA9">
            <w:pPr>
              <w:rPr>
                <w:rFonts w:asciiTheme="minorBidi" w:hAnsiTheme="minorBidi" w:cstheme="minorBidi"/>
                <w:szCs w:val="20"/>
                <w:lang w:val="en-US"/>
              </w:rPr>
            </w:pPr>
            <w:r>
              <w:rPr>
                <w:rFonts w:asciiTheme="minorBidi" w:hAnsiTheme="minorBidi" w:cstheme="minorBidi"/>
                <w:szCs w:val="20"/>
                <w:lang w:val="en-US"/>
              </w:rPr>
              <w:t>Maximum</w:t>
            </w:r>
          </w:p>
          <w:p w14:paraId="1F26ED6C" w14:textId="46DA62D6" w:rsidR="00465539" w:rsidRPr="00465539" w:rsidRDefault="00465539" w:rsidP="00DF3FA9">
            <w:pPr>
              <w:rPr>
                <w:rFonts w:asciiTheme="minorBidi" w:hAnsiTheme="minorBidi" w:cstheme="minorBidi"/>
                <w:szCs w:val="20"/>
                <w:lang w:val="en-US"/>
              </w:rPr>
            </w:pPr>
            <w:r>
              <w:rPr>
                <w:rFonts w:asciiTheme="minorBidi" w:hAnsiTheme="minorBidi" w:cstheme="minorBidi"/>
                <w:szCs w:val="20"/>
                <w:lang w:val="en-US"/>
              </w:rPr>
              <w:t>Water</w:t>
            </w:r>
          </w:p>
          <w:p w14:paraId="4C01D78E" w14:textId="430E8A60" w:rsidR="00465539" w:rsidRPr="00465539" w:rsidRDefault="00465539" w:rsidP="00DF3FA9">
            <w:pPr>
              <w:rPr>
                <w:rFonts w:asciiTheme="minorBidi" w:hAnsiTheme="minorBidi" w:cstheme="minorBidi"/>
                <w:szCs w:val="20"/>
                <w:lang w:val="en-US"/>
              </w:rPr>
            </w:pPr>
            <w:r>
              <w:rPr>
                <w:rFonts w:asciiTheme="minorBidi" w:hAnsiTheme="minorBidi" w:cstheme="minorBidi"/>
                <w:szCs w:val="20"/>
                <w:lang w:val="en-US"/>
              </w:rPr>
              <w:t>condenser</w:t>
            </w:r>
          </w:p>
        </w:tc>
        <w:tc>
          <w:tcPr>
            <w:tcW w:w="2539" w:type="dxa"/>
          </w:tcPr>
          <w:p w14:paraId="7DB73A53" w14:textId="77777777" w:rsidR="00465539" w:rsidRPr="00465539" w:rsidRDefault="00465539" w:rsidP="00DF3FA9">
            <w:pPr>
              <w:rPr>
                <w:rFonts w:asciiTheme="minorBidi" w:hAnsiTheme="minorBidi" w:cstheme="minorBidi"/>
                <w:szCs w:val="20"/>
                <w:lang w:val="en-US"/>
              </w:rPr>
            </w:pPr>
          </w:p>
        </w:tc>
      </w:tr>
      <w:tr w:rsidR="00465539" w:rsidRPr="00465539" w14:paraId="48D4498B" w14:textId="77777777" w:rsidTr="00465539">
        <w:tc>
          <w:tcPr>
            <w:tcW w:w="2876" w:type="dxa"/>
          </w:tcPr>
          <w:p w14:paraId="35BDD010" w14:textId="335548AB" w:rsidR="00465539" w:rsidRPr="00465539" w:rsidRDefault="00465539" w:rsidP="00465539">
            <w:pPr>
              <w:rPr>
                <w:rFonts w:asciiTheme="minorBidi" w:hAnsiTheme="minorBidi" w:cstheme="minorBidi"/>
                <w:szCs w:val="20"/>
                <w:lang w:val="en-US"/>
              </w:rPr>
            </w:pPr>
            <w:r>
              <w:rPr>
                <w:rFonts w:asciiTheme="minorBidi" w:hAnsiTheme="minorBidi" w:cstheme="minorBidi"/>
                <w:b/>
                <w:bCs/>
                <w:szCs w:val="20"/>
                <w:u w:val="single"/>
                <w:lang w:val="en-US"/>
              </w:rPr>
              <w:t>Greek Letters</w:t>
            </w:r>
          </w:p>
        </w:tc>
        <w:tc>
          <w:tcPr>
            <w:tcW w:w="3215" w:type="dxa"/>
          </w:tcPr>
          <w:p w14:paraId="4DE3D412" w14:textId="77777777" w:rsidR="00465539" w:rsidRPr="00465539" w:rsidRDefault="00465539" w:rsidP="00DF3FA9">
            <w:pPr>
              <w:rPr>
                <w:rFonts w:asciiTheme="minorBidi" w:hAnsiTheme="minorBidi" w:cstheme="minorBidi"/>
                <w:szCs w:val="20"/>
                <w:lang w:val="en-US"/>
              </w:rPr>
            </w:pPr>
          </w:p>
        </w:tc>
        <w:tc>
          <w:tcPr>
            <w:tcW w:w="2539" w:type="dxa"/>
          </w:tcPr>
          <w:p w14:paraId="384BA3B6" w14:textId="77777777" w:rsidR="00465539" w:rsidRPr="00465539" w:rsidRDefault="00465539" w:rsidP="00DF3FA9">
            <w:pPr>
              <w:rPr>
                <w:rFonts w:asciiTheme="minorBidi" w:hAnsiTheme="minorBidi" w:cstheme="minorBidi"/>
                <w:szCs w:val="20"/>
                <w:lang w:val="en-US"/>
              </w:rPr>
            </w:pPr>
          </w:p>
        </w:tc>
      </w:tr>
      <w:tr w:rsidR="00465539" w:rsidRPr="00465539" w14:paraId="4B6AA6C7" w14:textId="77777777" w:rsidTr="00465539">
        <w:tc>
          <w:tcPr>
            <w:tcW w:w="2876" w:type="dxa"/>
          </w:tcPr>
          <w:p w14:paraId="5A155BA1" w14:textId="77777777" w:rsidR="00465539" w:rsidRDefault="00465539" w:rsidP="00465539">
            <w:pPr>
              <w:rPr>
                <w:rFonts w:asciiTheme="minorBidi" w:hAnsiTheme="minorBidi" w:cstheme="minorBidi"/>
                <w:szCs w:val="20"/>
                <w:lang w:val="en-US"/>
              </w:rPr>
            </w:pPr>
            <w:r>
              <w:rPr>
                <w:rFonts w:asciiTheme="minorBidi" w:hAnsiTheme="minorBidi" w:cstheme="minorBidi"/>
                <w:szCs w:val="20"/>
                <w:lang w:val="en-US"/>
              </w:rPr>
              <w:t>α</w:t>
            </w:r>
          </w:p>
          <w:p w14:paraId="25D6483A" w14:textId="711B9075" w:rsidR="00465539" w:rsidRPr="00465539" w:rsidRDefault="00465539" w:rsidP="00465539">
            <w:pPr>
              <w:rPr>
                <w:rFonts w:asciiTheme="minorBidi" w:hAnsiTheme="minorBidi" w:cstheme="minorBidi"/>
                <w:szCs w:val="20"/>
                <w:lang w:val="en-US"/>
              </w:rPr>
            </w:pPr>
            <w:r>
              <w:rPr>
                <w:rFonts w:asciiTheme="minorBidi" w:hAnsiTheme="minorBidi" w:cstheme="minorBidi"/>
                <w:szCs w:val="20"/>
                <w:lang w:val="en-US"/>
              </w:rPr>
              <w:t>λ</w:t>
            </w:r>
          </w:p>
        </w:tc>
        <w:tc>
          <w:tcPr>
            <w:tcW w:w="3215" w:type="dxa"/>
          </w:tcPr>
          <w:p w14:paraId="4981D782" w14:textId="77777777" w:rsidR="00465539" w:rsidRDefault="00465539" w:rsidP="00DF3FA9">
            <w:pPr>
              <w:rPr>
                <w:rFonts w:asciiTheme="minorBidi" w:hAnsiTheme="minorBidi" w:cstheme="minorBidi"/>
                <w:szCs w:val="20"/>
                <w:lang w:val="en-US"/>
              </w:rPr>
            </w:pPr>
            <w:r>
              <w:rPr>
                <w:rFonts w:asciiTheme="minorBidi" w:hAnsiTheme="minorBidi" w:cstheme="minorBidi"/>
                <w:szCs w:val="20"/>
                <w:lang w:val="en-US"/>
              </w:rPr>
              <w:t>Thermal diffusivity</w:t>
            </w:r>
          </w:p>
          <w:p w14:paraId="289DA7F9" w14:textId="15356B93" w:rsidR="00465539" w:rsidRPr="00465539" w:rsidRDefault="00465539" w:rsidP="00DF3FA9">
            <w:pPr>
              <w:rPr>
                <w:rFonts w:asciiTheme="minorBidi" w:hAnsiTheme="minorBidi" w:cstheme="minorBidi"/>
                <w:szCs w:val="20"/>
                <w:lang w:val="en-US"/>
              </w:rPr>
            </w:pPr>
            <w:r>
              <w:rPr>
                <w:rFonts w:asciiTheme="minorBidi" w:hAnsiTheme="minorBidi" w:cstheme="minorBidi"/>
                <w:szCs w:val="20"/>
                <w:lang w:val="en-US"/>
              </w:rPr>
              <w:t>Thermal conductivity</w:t>
            </w:r>
          </w:p>
        </w:tc>
        <w:tc>
          <w:tcPr>
            <w:tcW w:w="2539" w:type="dxa"/>
          </w:tcPr>
          <w:p w14:paraId="3D6C959C" w14:textId="77777777" w:rsidR="00465539" w:rsidRDefault="00465539" w:rsidP="00DF3FA9">
            <w:pPr>
              <w:rPr>
                <w:rFonts w:asciiTheme="minorBidi" w:hAnsiTheme="minorBidi" w:cstheme="minorBidi"/>
                <w:szCs w:val="20"/>
                <w:lang w:val="en-US"/>
              </w:rPr>
            </w:pPr>
            <w:r>
              <w:rPr>
                <w:rFonts w:asciiTheme="minorBidi" w:hAnsiTheme="minorBidi" w:cstheme="minorBidi"/>
                <w:szCs w:val="20"/>
                <w:lang w:val="en-US"/>
              </w:rPr>
              <w:t>m</w:t>
            </w:r>
            <w:r>
              <w:rPr>
                <w:rFonts w:asciiTheme="minorBidi" w:hAnsiTheme="minorBidi" w:cstheme="minorBidi"/>
                <w:szCs w:val="20"/>
                <w:vertAlign w:val="superscript"/>
                <w:lang w:val="en-US"/>
              </w:rPr>
              <w:t>2</w:t>
            </w:r>
            <w:r>
              <w:rPr>
                <w:rFonts w:asciiTheme="minorBidi" w:hAnsiTheme="minorBidi" w:cstheme="minorBidi"/>
                <w:szCs w:val="20"/>
                <w:lang w:val="en-US"/>
              </w:rPr>
              <w:t>/s</w:t>
            </w:r>
          </w:p>
          <w:p w14:paraId="4341B933" w14:textId="09B445C9" w:rsidR="00465539" w:rsidRPr="00465539" w:rsidRDefault="00465539" w:rsidP="00DF3FA9">
            <w:pPr>
              <w:rPr>
                <w:rFonts w:asciiTheme="minorBidi" w:hAnsiTheme="minorBidi" w:cstheme="minorBidi"/>
                <w:szCs w:val="20"/>
                <w:lang w:val="en-US"/>
              </w:rPr>
            </w:pPr>
            <w:r>
              <w:rPr>
                <w:rFonts w:asciiTheme="minorBidi" w:hAnsiTheme="minorBidi" w:cstheme="minorBidi"/>
                <w:szCs w:val="20"/>
                <w:lang w:val="en-US"/>
              </w:rPr>
              <w:t>W/m</w:t>
            </w:r>
            <w:r>
              <w:rPr>
                <w:rFonts w:asciiTheme="minorBidi" w:hAnsiTheme="minorBidi" w:cstheme="minorBidi"/>
                <w:szCs w:val="20"/>
                <w:vertAlign w:val="superscript"/>
                <w:lang w:val="en-US"/>
              </w:rPr>
              <w:t>2</w:t>
            </w:r>
            <w:r>
              <w:rPr>
                <w:rFonts w:asciiTheme="minorBidi" w:hAnsiTheme="minorBidi" w:cstheme="minorBidi"/>
                <w:szCs w:val="20"/>
                <w:lang w:val="en-US"/>
              </w:rPr>
              <w:t>.K</w:t>
            </w:r>
          </w:p>
        </w:tc>
      </w:tr>
    </w:tbl>
    <w:p w14:paraId="4A292822" w14:textId="77777777" w:rsidR="00465539" w:rsidRDefault="00465539" w:rsidP="00DF3FA9">
      <w:pPr>
        <w:rPr>
          <w:rFonts w:asciiTheme="minorBidi" w:hAnsiTheme="minorBidi" w:cstheme="minorBidi"/>
          <w:b/>
          <w:bCs/>
          <w:szCs w:val="20"/>
          <w:lang w:val="en-US"/>
        </w:rPr>
      </w:pPr>
    </w:p>
    <w:p w14:paraId="46B2C47E" w14:textId="77777777" w:rsidR="00465539" w:rsidRDefault="00465539" w:rsidP="00DF3FA9">
      <w:pPr>
        <w:rPr>
          <w:rFonts w:asciiTheme="minorBidi" w:hAnsiTheme="minorBidi" w:cstheme="minorBidi"/>
          <w:b/>
          <w:bCs/>
          <w:szCs w:val="20"/>
          <w:lang w:val="en-US"/>
        </w:rPr>
      </w:pPr>
    </w:p>
    <w:p w14:paraId="211CFA36" w14:textId="77777777" w:rsidR="00805997" w:rsidRPr="00ED19F5" w:rsidRDefault="00805997" w:rsidP="00805997">
      <w:pPr>
        <w:rPr>
          <w:lang w:val="en-US" w:eastAsia="fr-FR" w:bidi="ar-LB"/>
        </w:rPr>
      </w:pPr>
      <w:r>
        <w:rPr>
          <w:lang w:val="en-US" w:eastAsia="fr-FR" w:bidi="ar-LB"/>
        </w:rPr>
        <w:br w:type="page"/>
      </w:r>
    </w:p>
    <w:p>
      <w:pPr>
        <w:pStyle w:val="Heading1"/>
      </w:pPr>
      <w:r>
        <w:t xml:space="preserve">Introduction</w:t>
      </w:r>
    </w:p>
    <w:p>
      <w:pPr>
        <w:spacing w:after="160"/>
      </w:pPr>
      <w:r>
        <w:t xml:space="preserve">This chapter introduces the research problem addressed by this thesis. It presents the urban wireless propagation context, states the problem and research gap, introduces Ray Tracing as the proposed solution, describes the selected study areas, and sets out the research questions and objectives that guide the remainder of the work.</w:t>
      </w:r>
    </w:p>
    <w:p>
      <w:pPr>
        <w:pStyle w:val="Heading2"/>
      </w:pPr>
      <w:r>
        <w:t xml:space="preserve">1.1 Wireless Communication in the Urban Context</w:t>
      </w:r>
    </w:p>
    <w:p>
      <w:pPr>
        <w:spacing w:after="160"/>
      </w:pPr>
      <w:r>
        <w:t xml:space="preserve">Mobile data demand continues to grow, with 5G network deployment as the primary infrastructure response [1]. Reliable coverage prediction is a prerequisite for that deployment, and urban propagation is difficult to predict accurately: dense, irregular building geometries composed of stone, brick, glass, vegetation, and concrete introduce reflection, diffraction, scattering, penetration losses, and shadowing, producing severe multipath propagation and rapid spatial signal fluctuations [2]. Traditional models, including Okumura-Hata [9], Free-Space Path Loss (FSPL) [11], and COST-231 [10], rely on empirical assumptions and coarse spatial resolution, and are consequently unsuitable for the high-precision urban planning this thesis addresses (Section 1.2).</w:t>
      </w:r>
    </w:p>
    <w:p>
      <w:pPr>
        <w:spacing w:after="160"/>
      </w:pPr>
      <w:r>
        <w:t xml:space="preserve">Deterministic, geometry-aware approaches such as Ray Tracing (RT) address this limitation by explicitly modelling electromagnetic interactions with realistic geometries and materials, enabling the generation of high-resolution radio environmental maps that reveal localised coverage gaps, interference zones, and anomalies with far greater precision than classical models [2], [14].</w:t>
      </w:r>
    </w:p>
    <w:p>
      <w:pPr>
        <w:spacing w:after="160"/>
      </w:pPr>
      <w:r>
        <w:t xml:space="preserve">This thesis emphasises the generation of such high-fidelity radio maps using physics-based Ray Tracing, applied to real UK sites. Their dense architectural diversity, irregular street morphology, and mixed construction materials provide directly relevant case studies for the propagation-modelling challenge described above.</w:t>
      </w:r>
    </w:p>
    <w:p>
      <w:pPr>
        <w:pStyle w:val="Heading2"/>
      </w:pPr>
      <w:r>
        <w:t xml:space="preserve">1.2 Problem Statement and Research Gap in Urban Propagation Modeling</w:t>
      </w:r>
    </w:p>
    <w:p>
      <w:pPr>
        <w:spacing w:after="160"/>
      </w:pPr>
      <w:r>
        <w:t xml:space="preserve">Classical propagation models, including Okumura-Hata [9], FSPL [11], and COST-231 [10], are largely empirical, relying on statistical averages and uniform assumptions about terrain and building distributions. Their central shortcoming is an inability to incorporate the geometric and material features, such as street orientation, building height variability, and facade composition, that strongly influence electromagnetic behaviour: glass facades produce intense reflections, and narrow intersections generate diffraction and shadowing, neither of which a statistical approximation can represent. These models also typically operate at coarse spatial resolutions of tens to hundreds of metres [9], insufficient for applications such as small-cell deployment and beamforming, which require fine-grained, location-specific predictions.</w:t>
      </w:r>
    </w:p>
    <w:p>
      <w:pPr>
        <w:spacing w:after="160"/>
      </w:pPr>
      <w:r>
        <w:t xml:space="preserve">This gap between simplified empirical models and the resolution such applications require motivates the deterministic simulation approach adopted in this thesis: explicitly modelling electromagnetic interactions within a realistic three-dimensional representation of each site, rather than relying on statistical averages [2].</w:t>
      </w:r>
    </w:p>
    <w:p>
      <w:pPr>
        <w:pStyle w:val="Heading2"/>
      </w:pPr>
      <w:r>
        <w:t xml:space="preserve">1.3 Ray Tracing as a Solution and the Role of RT</w:t>
      </w:r>
    </w:p>
    <w:p>
      <w:pPr>
        <w:spacing w:after="160"/>
      </w:pPr>
      <w:r>
        <w:t xml:space="preserve">Ray Tracing (RT) offers a deterministic alternative to empirical models, directly simulating how radio waves reflect, diffract, scatter, and penetrate as they interact with the geometry and materials of a real environment [2]. By modelling streets, vegetation, rooftops, and obstacles with high fidelity, RT enables precise estimation of spatial signal distributions, positioning it as a leading method for generating the high-resolution radio environmental maps this thesis relies on [14].</w:t>
      </w:r>
    </w:p>
    <w:p>
      <w:pPr>
        <w:spacing w:after="160"/>
      </w:pPr>
      <w:r>
        <w:t xml:space="preserve">This thesis uses NVIDIA's open-source Sionna RT, built on the Mitsuba 3 rendering engine [13] and the Dr.Jit differentiable compiler [12], which provides differentiable Ray Tracing capabilities [3]. Its differentiable architecture allows scene parameters, principally material properties, to be calibrated against measured data, reducing prediction error (RMSE, R²) through iterative refinement [3]. All simulations in this thesis are executed in GPU mode on hardware provided by the university (Section 4.2).</w:t>
      </w:r>
    </w:p>
    <w:p>
      <w:pPr>
        <w:pStyle w:val="Heading2"/>
      </w:pPr>
      <w:r>
        <w:t xml:space="preserve">1.4 Study Area Selection and the Importance of Radio Environmental Maps</w:t>
      </w:r>
    </w:p>
    <w:p>
      <w:pPr>
        <w:spacing w:after="160"/>
      </w:pPr>
      <w:r>
        <w:t xml:space="preserve">Urban regions in the United Kingdom were chosen as case studies due to their dense layouts, historical districts, irregular street geometries, and mixed architectural styles. These characteristics create highly complex propagation environments, making them ideal for investigating advanced electromagnetic behaviour using RT.</w:t>
      </w:r>
    </w:p>
    <w:p>
      <w:pPr>
        <w:spacing w:after="160"/>
      </w:pPr>
      <w:r>
        <w:t xml:space="preserve">The selected areas include narrow streets, railways, variable building heights, residential and commercial zones, and diverse construction materials. This diversity enables analysis of how architectural and geometric features influence signal propagation, multipath richness, shadowing, and delay spread.</w:t>
      </w:r>
    </w:p>
    <w:p>
      <w:pPr>
        <w:spacing w:after="160"/>
      </w:pPr>
      <w:r>
        <w:t xml:space="preserve">Radio environmental maps generated in these settings provide detailed spatial visualisations of signal behaviour. Unlike coarse statistical models, they reveal localised variations in coverage, interference, and attenuation [14]. Such insights are critical for modern wireless planning, where infrastructure deployment must balance technical performance with urban planning constraints.</w:t>
      </w:r>
    </w:p>
    <w:p>
      <w:pPr>
        <w:spacing w:after="160"/>
      </w:pPr>
      <w:r>
        <w:t xml:space="preserve">This thesis emphasises detailed radio maps combined with path analysis using Sionna RT's path solver, enabling extraction of location-specific propagation insights and path loss measurements with high fidelity [3].</w:t>
      </w:r>
    </w:p>
    <w:p>
      <w:pPr>
        <w:pStyle w:val="Heading2"/>
      </w:pPr>
      <w:r>
        <w:t xml:space="preserve">1.5 Research Questions and Objectives</w:t>
      </w:r>
    </w:p>
    <w:p>
      <w:pPr>
        <w:spacing w:after="160"/>
      </w:pPr>
      <w:r>
        <w:t xml:space="preserve">To address the identified research challenges and bridge the gap between conventional propagation modelling and high-fidelity deterministic simulation, this thesis investigates the following research questions:</w:t>
      </w:r>
    </w:p>
    <w:p>
      <w:pPr>
        <w:spacing w:after="160"/>
      </w:pPr>
      <w:r>
        <w:t xml:space="preserve">1. How accurately can Sionna RT generate high-resolution radio environmental maps within complex UK urban environments?</w:t>
      </w:r>
    </w:p>
    <w:p>
      <w:pPr>
        <w:spacing w:after="160"/>
      </w:pPr>
      <w:r>
        <w:t xml:space="preserve">2. How do architectural features, such as narrow streets, dense building arrangements, and varied facades, affect signal propagation?</w:t>
      </w:r>
    </w:p>
    <w:p>
      <w:pPr>
        <w:spacing w:after="160"/>
      </w:pPr>
      <w:r>
        <w:t xml:space="preserve">3. What spatial variations in signal strength, path loss, delay spread, and multipath richness can be observed across different urban regions?</w:t>
      </w:r>
    </w:p>
    <w:p>
      <w:pPr>
        <w:spacing w:after="160"/>
      </w:pPr>
      <w:r>
        <w:t xml:space="preserve">4. How do RT-based predictions compare with classical models in accuracy, resolution, and applicability?</w:t>
      </w:r>
    </w:p>
    <w:p>
      <w:pPr>
        <w:spacing w:after="160"/>
      </w:pPr>
      <w:r>
        <w:t xml:space="preserve">To answer these questions, the primary objectives of this thesis are:</w:t>
      </w:r>
    </w:p>
    <w:p>
      <w:pPr>
        <w:spacing w:after="160"/>
      </w:pPr>
      <w:r>
        <w:t xml:space="preserve">• Develop realistic three-dimensional urban models using LiDAR, OpenStreetMap data, and geographic processing workflows suitable for Ray Tracing simulations.</w:t>
      </w:r>
    </w:p>
    <w:p>
      <w:pPr>
        <w:spacing w:after="160"/>
      </w:pPr>
      <w:r>
        <w:t xml:space="preserve">• Prepare and optimise simulation scenes for compatibility with Sionna RT and differentiable propagation modelling.</w:t>
      </w:r>
    </w:p>
    <w:p>
      <w:pPr>
        <w:spacing w:after="160"/>
      </w:pPr>
      <w:r>
        <w:t xml:space="preserve">• Conduct detailed electromagnetic propagation simulations using Sionna RT.</w:t>
      </w:r>
    </w:p>
    <w:p>
      <w:pPr>
        <w:spacing w:after="160"/>
      </w:pPr>
      <w:r>
        <w:t xml:space="preserve">• Generate high-resolution radio environmental maps illustrating signal coverage, shadowing effects, and spatial propagation characteristics.</w:t>
      </w:r>
    </w:p>
    <w:p>
      <w:pPr>
        <w:spacing w:after="160"/>
      </w:pPr>
      <w:r>
        <w:t xml:space="preserve">• Analyse path loss behaviour, multipath propagation, delay spread, and angular dispersion using path solver outputs.</w:t>
      </w:r>
    </w:p>
    <w:p>
      <w:pPr>
        <w:spacing w:after="160"/>
      </w:pPr>
      <w:r>
        <w:t xml:space="preserve">• Evaluate the applicability, scalability, and limitations of open-source RT frameworks for wireless planning.</w:t>
      </w:r>
    </w:p>
    <w:p>
      <w:pPr>
        <w:spacing w:after="160"/>
      </w:pPr>
      <w:r>
        <w:t xml:space="preserve">• Investigate the impact of scene calibration, material tuning, and geometric refinement on reducing prediction errors such as RMSE and R².</w:t>
      </w:r>
    </w:p>
    <w:p>
      <w:pPr>
        <w:pStyle w:val="Heading2"/>
      </w:pPr>
      <w:r>
        <w:t xml:space="preserve">1.6 Thesis Structure Overview</w:t>
      </w:r>
    </w:p>
    <w:p>
      <w:pPr>
        <w:spacing w:after="160"/>
      </w:pPr>
      <w:r>
        <w:rPr>
          <w:i/>
          <w:iCs/>
        </w:rPr>
        <w:t xml:space="preserve">[FIGURE 1 - PLACEHOLDER]</w:t>
      </w:r>
    </w:p>
    <w:p>
      <w:pPr>
        <w:spacing w:after="160"/>
      </w:pPr>
      <w:r>
        <w:rPr>
          <w:i/>
          <w:iCs/>
        </w:rPr>
        <w:t xml:space="preserve">Research framework roadmap: Problem Definition (Ch.1) → Literature Gap (Ch.2) → Proposed Method (Ch.3) → Implementation (Ch.4) → Results &amp; Validation (Ch.5) → Discussion and Impact (Ch.6) → Conclusion and Future Work (Ch.7). To be inserted.</w:t>
      </w:r>
    </w:p>
    <w:p>
      <w:pPr>
        <w:spacing w:after="160"/>
      </w:pPr>
      <w:r>
        <w:t xml:space="preserve">Figure 1 illustrates the overall research framework, linking the problem definition, literature gap, proposed method, implementation, and validation stages that guide the development of this thesis. Each stage corresponds to a chapter, ensuring a logical progression from theoretical foundations to practical experimentation and final conclusions:</w:t>
      </w:r>
    </w:p>
    <w:p>
      <w:pPr>
        <w:spacing w:after="160"/>
      </w:pPr>
      <w:r>
        <w:t xml:space="preserve">• </w:t>
      </w:r>
      <w:r>
        <w:rPr>
          <w:b/>
          <w:bCs/>
        </w:rPr>
        <w:t xml:space="preserve">Chapter 1 - Research Problem</w:t>
      </w:r>
      <w:r>
        <w:t xml:space="preserve"> - Defines the engineering challenge, practical need, and scientific motivation underlying urban wireless propagation modeling.</w:t>
      </w:r>
    </w:p>
    <w:p>
      <w:pPr>
        <w:spacing w:after="160"/>
      </w:pPr>
      <w:r>
        <w:t xml:space="preserve">• </w:t>
      </w:r>
      <w:r>
        <w:rPr>
          <w:b/>
          <w:bCs/>
        </w:rPr>
        <w:t xml:space="preserve">Chapter 2 - Literature Gap</w:t>
      </w:r>
      <w:r>
        <w:t xml:space="preserve"> - Reviews existing propagation models, identifies missing knowledge, and highlights unresolved technical issues.</w:t>
      </w:r>
    </w:p>
    <w:p>
      <w:pPr>
        <w:spacing w:after="160"/>
      </w:pPr>
      <w:r>
        <w:t xml:space="preserve">• </w:t>
      </w:r>
      <w:r>
        <w:rPr>
          <w:b/>
          <w:bCs/>
        </w:rPr>
        <w:t xml:space="preserve">Chapter 3 - Proposed Method</w:t>
      </w:r>
      <w:r>
        <w:t xml:space="preserve"> - Presents the deterministic Ray Tracing approach, simulation framework, and scene generation methodology using EA LiDAR and OpenStreetMap data.</w:t>
      </w:r>
    </w:p>
    <w:p>
      <w:pPr>
        <w:spacing w:after="160"/>
      </w:pPr>
      <w:r>
        <w:t xml:space="preserve">• </w:t>
      </w:r>
      <w:r>
        <w:rPr>
          <w:b/>
          <w:bCs/>
        </w:rPr>
        <w:t xml:space="preserve">Chapter 4 - Implementation</w:t>
      </w:r>
      <w:r>
        <w:t xml:space="preserve"> - Details system modeling, simulation setup, data collection, and tool configuration within the Sionna RT environment.</w:t>
      </w:r>
    </w:p>
    <w:p>
      <w:pPr>
        <w:spacing w:after="160"/>
      </w:pPr>
      <w:r>
        <w:t xml:space="preserve">• </w:t>
      </w:r>
      <w:r>
        <w:rPr>
          <w:b/>
          <w:bCs/>
        </w:rPr>
        <w:t xml:space="preserve">Chapter 5 - Results &amp; Validation</w:t>
      </w:r>
      <w:r>
        <w:t xml:space="preserve"> - Analyzes radio environmental maps, evaluates propagation metrics, and compares results with classical models.</w:t>
      </w:r>
    </w:p>
    <w:p>
      <w:pPr>
        <w:spacing w:after="160"/>
      </w:pPr>
      <w:r>
        <w:t xml:space="preserve">• </w:t>
      </w:r>
      <w:r>
        <w:rPr>
          <w:b/>
          <w:bCs/>
        </w:rPr>
        <w:t xml:space="preserve">Chapter 6 - Discussion and Impact</w:t>
      </w:r>
      <w:r>
        <w:t xml:space="preserve"> - Interprets the scientific and engineering significance of the results validated in Chapter 5, and the limited environmental, economic, and societal implications this project's own data can support.</w:t>
      </w:r>
    </w:p>
    <w:p>
      <w:pPr>
        <w:spacing w:after="160"/>
      </w:pPr>
      <w:r>
        <w:t xml:space="preserve">• </w:t>
      </w:r>
      <w:r>
        <w:rPr>
          <w:b/>
          <w:bCs/>
        </w:rPr>
        <w:t xml:space="preserve">Chapter 7 - Conclusion and Future Work</w:t>
      </w:r>
      <w:r>
        <w:t xml:space="preserve"> - Summarises the research findings, states plainly which research questions and objectives were fully, partially, or not met, and proposes concrete next steps.</w:t>
      </w:r>
    </w:p>
    <w:p>
      <w:pPr>
        <w:spacing w:after="160"/>
      </w:pPr>
      <w:r>
        <w:rPr>
          <w:i/>
          <w:iCs/>
        </w:rPr>
        <w:t xml:space="preserve">References for this chapter are [1]-[3] and [9]-[14]; see `references.md` for the full, verified reference list shared across all chapters.</w:t>
      </w:r>
    </w:p>
    <w:p>
      <w:r>
        <w:br w:type="page"/>
      </w:r>
    </w:p>
    <w:p>
      <w:pPr>
        <w:pStyle w:val="Heading1"/>
      </w:pPr>
      <w:r>
        <w:t xml:space="preserve">Literature Review (State of the Art)</w:t>
      </w:r>
    </w:p>
    <w:p>
      <w:pPr>
        <w:spacing w:after="160"/>
      </w:pPr>
      <w:r>
        <w:t xml:space="preserve">This chapter provides a critical, structured review of existing scientific and technical knowledge relevant to calibrated ray-tracing propagation modelling. It summarises and compares key theories, methods, and prior findings, distinguishes what is well established from what remains uncertain, and identifies the specific gap in current knowledge that this thesis addresses.</w:t>
      </w:r>
    </w:p>
    <w:p>
      <w:pPr>
        <w:pStyle w:val="Heading2"/>
      </w:pPr>
      <w:r>
        <w:t xml:space="preserve">2.1 Background of the Research Area</w:t>
      </w:r>
    </w:p>
    <w:p>
      <w:pPr>
        <w:spacing w:after="160"/>
      </w:pPr>
      <w:r>
        <w:t xml:space="preserve">Propagation modelling provides the mathematical and physical framework for estimating radio wave behaviour, underpinning coverage prediction, interference estimation, and resource planning. This section reviews the classical empirical models, the deterministic ray-tracing alternative, and the material and geometric modelling considerations that together form the theoretical foundation for the methodology developed in this thesis.</w:t>
      </w:r>
    </w:p>
    <w:p>
      <w:pPr>
        <w:pStyle w:val="Heading3"/>
      </w:pPr>
      <w:r>
        <w:t xml:space="preserve">2.1.1 Classical Propagation Models: Strengths and Limitations</w:t>
      </w:r>
    </w:p>
    <w:p>
      <w:pPr>
        <w:spacing w:after="160"/>
      </w:pPr>
      <w:r>
        <w:rPr>
          <w:b/>
          <w:bCs/>
        </w:rPr>
        <w:t xml:space="preserve">Free-Space Path Loss (FSPL).</w:t>
      </w:r>
      <w:r>
        <w:t xml:space="preserve"> The FSPL model represents the idealised case of unobstructed signal propagation through free space, calculating attenuation from distance and frequency alone:</w:t>
      </w:r>
    </w:p>
    <w:p>
      <w:pPr>
        <w:spacing w:after="160"/>
      </w:pPr>
      <w:r>
        <w:rPr>
          <w:b/>
          <w:bCs/>
        </w:rPr>
        <w:t xml:space="preserve">Equation (2.1):</w:t>
      </w:r>
      <w:r>
        <w:t xml:space="preserve"> FSPL (dB) = 20 log₁₀(d) + 20 log₁₀(f) + 32.44</w:t>
      </w:r>
    </w:p>
    <w:p>
      <w:pPr>
        <w:spacing w:after="160"/>
      </w:pPr>
      <w:r>
        <w:t xml:space="preserve">where *d* is distance in kilometres and *f* is frequency in MHz. This form follows directly from the Friis transmission formula [11]. Despite its analytical simplicity, FSPL excludes reflection, diffraction, and scattering, limiting its applicability beyond idealised line-of-sight links [2], [11].</w:t>
      </w:r>
    </w:p>
    <w:p>
      <w:pPr>
        <w:spacing w:after="160"/>
      </w:pPr>
      <w:r>
        <w:rPr>
          <w:b/>
          <w:bCs/>
        </w:rPr>
        <w:t xml:space="preserve">Okumura–Hata model and the COST-231 extension.</w:t>
      </w:r>
      <w:r>
        <w:t xml:space="preserve"> The Hata model is an empirical extension of Okumura's measurements, estimating median path loss in urban areas as:</w:t>
      </w:r>
    </w:p>
    <w:p>
      <w:pPr>
        <w:spacing w:after="160"/>
      </w:pPr>
      <w:r>
        <w:rPr>
          <w:b/>
          <w:bCs/>
        </w:rPr>
        <w:t xml:space="preserve">Equation (2.2):</w:t>
      </w:r>
      <w:r>
        <w:t xml:space="preserve"> PL_urban = 69.55 + 26.16 log₁₀(f) − 13.82 log₁₀(h_b) − a(h_m) + (44.9 − 6.55 log₁₀(h_b)) log₁₀(d)</w:t>
      </w:r>
    </w:p>
    <w:p>
      <w:pPr>
        <w:spacing w:after="160"/>
      </w:pPr>
      <w:r>
        <w:t xml:space="preserve">where *f* is frequency in MHz (150–1500 MHz), *h_b* is base station antenna height in metres, *h_m* is mobile antenna height in metres, *a(h_m)* is a city-size-dependent correction term, and *d* is distance in km [9]. The COST-231 extension adapts this formula for frequencies up to 2 GHz and dense urban environments [10], but like the original Hata model it relies on statistically fitted parameters and does not represent the geometry or material composition of the specific environment being modelled [9], [10].</w:t>
      </w:r>
    </w:p>
    <w:p>
      <w:pPr>
        <w:spacing w:after="160"/>
      </w:pPr>
      <w:r>
        <w:rPr>
          <w:i/>
          <w:iCs/>
        </w:rPr>
        <w:t xml:space="preserve">[TABLE 2.1]</w:t>
      </w:r>
    </w:p>
    <w:tbl>
      <w:tblPr>
        <w:tblW w:w="9500" w:type="dxa"/>
        <w:tblBorders>
          <w:top w:val="single" w:sz="6" w:space="0" w:color="D1D9E0"/>
          <w:left w:val="single" w:sz="6" w:space="0" w:color="D1D9E0"/>
          <w:bottom w:val="single" w:sz="6" w:space="0" w:color="D1D9E0"/>
          <w:right w:val="single" w:sz="6" w:space="0" w:color="D1D9E0"/>
          <w:insideH w:val="single" w:sz="6" w:space="0" w:color="D1D9E0"/>
          <w:insideV w:val="single" w:sz="6" w:space="0" w:color="D1D9E0"/>
        </w:tblBorders>
        <w:tblCellMar>
          <w:top w:w="60" w:type="dxa"/>
          <w:left w:w="100" w:type="dxa"/>
          <w:bottom w:w="60" w:type="dxa"/>
          <w:right w:w="100" w:type="dxa"/>
        </w:tblCellMar>
        <w:tblLook w:val="04A0" w:firstRow="1" w:lastRow="0" w:firstColumn="1" w:lastColumn="0" w:noHBand="0" w:noVBand="1"/>
      </w:tblPr>
      <w:tblGrid>
        <w:gridCol w:w="1900"/>
        <w:gridCol w:w="1900"/>
        <w:gridCol w:w="1900"/>
        <w:gridCol w:w="1900"/>
        <w:gridCol w:w="1900"/>
      </w:tblGrid>
      <w:tr>
        <w:tc>
          <w:tcPr>
            <w:tcW w:w="1900" w:type="dxa"/>
          </w:tcPr>
          <w:p>
            <w:r>
              <w:rPr>
                <w:b/>
                <w:bCs/>
              </w:rPr>
              <w:t xml:space="preserve">Model</w:t>
            </w:r>
          </w:p>
        </w:tc>
        <w:tc>
          <w:tcPr>
            <w:tcW w:w="1900" w:type="dxa"/>
          </w:tcPr>
          <w:p>
            <w:r>
              <w:rPr>
                <w:b/>
                <w:bCs/>
              </w:rPr>
              <w:t xml:space="preserve">Frequency</w:t>
            </w:r>
          </w:p>
        </w:tc>
        <w:tc>
          <w:tcPr>
            <w:tcW w:w="1900" w:type="dxa"/>
          </w:tcPr>
          <w:p>
            <w:r>
              <w:rPr>
                <w:b/>
                <w:bCs/>
              </w:rPr>
              <w:t xml:space="preserve">Assumptions</w:t>
            </w:r>
          </w:p>
        </w:tc>
        <w:tc>
          <w:tcPr>
            <w:tcW w:w="1900" w:type="dxa"/>
          </w:tcPr>
          <w:p>
            <w:r>
              <w:rPr>
                <w:b/>
                <w:bCs/>
              </w:rPr>
              <w:t xml:space="preserve">Advantages</w:t>
            </w:r>
          </w:p>
        </w:tc>
        <w:tc>
          <w:tcPr>
            <w:tcW w:w="1900" w:type="dxa"/>
          </w:tcPr>
          <w:p>
            <w:r>
              <w:rPr>
                <w:b/>
                <w:bCs/>
              </w:rPr>
              <w:t xml:space="preserve">Limitations</w:t>
            </w:r>
          </w:p>
        </w:tc>
      </w:tr>
      <w:tr>
        <w:tc>
          <w:tcPr>
            <w:tcW w:w="1900" w:type="dxa"/>
          </w:tcPr>
          <w:p>
            <w:r>
              <w:t xml:space="preserve">FSPL [11]</w:t>
            </w:r>
          </w:p>
        </w:tc>
        <w:tc>
          <w:tcPr>
            <w:tcW w:w="1900" w:type="dxa"/>
          </w:tcPr>
          <w:p>
            <w:r>
              <w:t xml:space="preserve">Any</w:t>
            </w:r>
          </w:p>
        </w:tc>
        <w:tc>
          <w:tcPr>
            <w:tcW w:w="1900" w:type="dxa"/>
          </w:tcPr>
          <w:p>
            <w:r>
              <w:t xml:space="preserve">Free space, no obstructions</w:t>
            </w:r>
          </w:p>
        </w:tc>
        <w:tc>
          <w:tcPr>
            <w:tcW w:w="1900" w:type="dxa"/>
          </w:tcPr>
          <w:p>
            <w:r>
              <w:t xml:space="preserve">Analytical, simple</w:t>
            </w:r>
          </w:p>
        </w:tc>
        <w:tc>
          <w:tcPr>
            <w:tcW w:w="1900" w:type="dxa"/>
          </w:tcPr>
          <w:p>
            <w:r>
              <w:t xml:space="preserve">Ignores reflections, diffraction</w:t>
            </w:r>
          </w:p>
        </w:tc>
      </w:tr>
      <w:tr>
        <w:tc>
          <w:tcPr>
            <w:tcW w:w="1900" w:type="dxa"/>
          </w:tcPr>
          <w:p>
            <w:r>
              <w:t xml:space="preserve">Okumura–Hata [9]</w:t>
            </w:r>
          </w:p>
        </w:tc>
        <w:tc>
          <w:tcPr>
            <w:tcW w:w="1900" w:type="dxa"/>
          </w:tcPr>
          <w:p>
            <w:r>
              <w:t xml:space="preserve">150–1500 MHz</w:t>
            </w:r>
          </w:p>
        </w:tc>
        <w:tc>
          <w:tcPr>
            <w:tcW w:w="1900" w:type="dxa"/>
          </w:tcPr>
          <w:p>
            <w:r>
              <w:t xml:space="preserve">Empirical, field data</w:t>
            </w:r>
          </w:p>
        </w:tc>
        <w:tc>
          <w:tcPr>
            <w:tcW w:w="1900" w:type="dxa"/>
          </w:tcPr>
          <w:p>
            <w:r>
              <w:t xml:space="preserve">Good for large-scale planning</w:t>
            </w:r>
          </w:p>
        </w:tc>
        <w:tc>
          <w:tcPr>
            <w:tcW w:w="1900" w:type="dxa"/>
          </w:tcPr>
          <w:p>
            <w:r>
              <w:t xml:space="preserve">No detailed geometry/material representation</w:t>
            </w:r>
          </w:p>
        </w:tc>
      </w:tr>
      <w:tr>
        <w:tc>
          <w:tcPr>
            <w:tcW w:w="1900" w:type="dxa"/>
          </w:tcPr>
          <w:p>
            <w:r>
              <w:t xml:space="preserve">COST-231 [10]</w:t>
            </w:r>
          </w:p>
        </w:tc>
        <w:tc>
          <w:tcPr>
            <w:tcW w:w="1900" w:type="dxa"/>
          </w:tcPr>
          <w:p>
            <w:r>
              <w:t xml:space="preserve">Up to 2 GHz</w:t>
            </w:r>
          </w:p>
        </w:tc>
        <w:tc>
          <w:tcPr>
            <w:tcW w:w="1900" w:type="dxa"/>
          </w:tcPr>
          <w:p>
            <w:r>
              <w:t xml:space="preserve">Empirical, urban adaptation</w:t>
            </w:r>
          </w:p>
        </w:tc>
        <w:tc>
          <w:tcPr>
            <w:tcW w:w="1900" w:type="dxa"/>
          </w:tcPr>
          <w:p>
            <w:r>
              <w:t xml:space="preserve">Dense urban applicability</w:t>
            </w:r>
          </w:p>
        </w:tc>
        <w:tc>
          <w:tcPr>
            <w:tcW w:w="1900" w:type="dxa"/>
          </w:tcPr>
          <w:p>
            <w:r>
              <w:t xml:space="preserve">Limited spatial accuracy</w:t>
            </w:r>
          </w:p>
        </w:tc>
      </w:tr>
    </w:tbl>
    <w:p/>
    <w:p>
      <w:pPr>
        <w:spacing w:after="160"/>
      </w:pPr>
      <w:r>
        <w:rPr>
          <w:i/>
          <w:iCs/>
        </w:rPr>
        <w:t xml:space="preserve">Table 2.1 — Comparative overview of classical propagation models.</w:t>
      </w:r>
    </w:p>
    <w:p>
      <w:pPr>
        <w:spacing w:after="160"/>
      </w:pPr>
      <w:r>
        <w:rPr>
          <w:b/>
          <w:bCs/>
        </w:rPr>
        <w:t xml:space="preserve">Limitations in complex historical/dense urban settings.</w:t>
      </w:r>
      <w:r>
        <w:t xml:space="preserve"> Classical models assume environmental homogeneity and uniform building distributions. In dense, architecturally varied urban environments — such as the Nottingham city-centre site studied in this thesis, with its narrow streets, mixed building ages, and varied façade materials — such assumptions introduce significant inaccuracies. Classical models also offer coarse spatial resolution, typically on the order of 100 m or more, insufficient for applications such as small-cell deployment or site-specific link-budget analysis that require spatially precise, location-specific prediction [9], [10].</w:t>
      </w:r>
    </w:p>
    <w:p>
      <w:pPr>
        <w:pStyle w:val="Heading3"/>
      </w:pPr>
      <w:r>
        <w:t xml:space="preserve">2.1.2 Ray Tracing: A Deterministic Modelling Solution</w:t>
      </w:r>
    </w:p>
    <w:p>
      <w:pPr>
        <w:spacing w:after="160"/>
      </w:pPr>
      <w:r>
        <w:t xml:space="preserve">Ray Tracing (RT), founded on geometric optics, explicitly models signal interaction with environmental geometry and materials, capturing multipath propagation directly rather than through statistical averaging [2]. Each electromagnetic wave is represented as a discrete ray traced through a three-dimensional scene; at the receiver, the total electric field is the coherent sum of all resolved multipath rays:</w:t>
      </w:r>
    </w:p>
    <w:p>
      <w:pPr>
        <w:spacing w:after="160"/>
      </w:pPr>
      <w:r>
        <w:rPr>
          <w:b/>
          <w:bCs/>
        </w:rPr>
        <w:t xml:space="preserve">Equation (2.3):</w:t>
      </w:r>
      <w:r>
        <w:t xml:space="preserve"> E_total = Σᵢ₌₁ⁿ Eᵢ · e^(−jφᵢ)</w:t>
      </w:r>
    </w:p>
    <w:p>
      <w:pPr>
        <w:spacing w:after="160"/>
      </w:pPr>
      <w:r>
        <w:t xml:space="preserve">where *Eᵢ* and *φᵢ* are the amplitude and phase of the *i*-th ray. This explicit representation makes RT well suited to capturing multipath-induced fading and delay spread, which are central to the failure modes investigated in this thesis (see Chapters 4–5) [2].</w:t>
      </w:r>
    </w:p>
    <w:p>
      <w:pPr>
        <w:spacing w:after="160"/>
      </w:pPr>
      <w:r>
        <w:rPr>
          <w:i/>
          <w:iCs/>
        </w:rPr>
        <w:t xml:space="preserve">[FIGURE 2.1 — PLACEHOLDER]</w:t>
      </w:r>
    </w:p>
    <w:p>
      <w:pPr>
        <w:spacing w:after="160"/>
      </w:pPr>
      <w:r>
        <w:rPr>
          <w:i/>
          <w:iCs/>
        </w:rPr>
        <w:t xml:space="preserve">Illustration of ray-tracing propagation mechanisms in an urban street canyon: direct/LOS ray, specular reflection off a façade, edge diffraction at a rooftop or corner, and diffuse scattering off a rough surface. To be inserted.</w:t>
      </w:r>
    </w:p>
    <w:p>
      <w:pPr>
        <w:spacing w:after="160"/>
      </w:pPr>
      <w:r>
        <w:t xml:space="preserve">RT models three principal interaction mechanisms:</w:t>
      </w:r>
    </w:p>
    <w:p>
      <w:pPr>
        <w:spacing w:after="160"/>
      </w:pPr>
      <w:r>
        <w:t xml:space="preserve">• </w:t>
      </w:r>
      <w:r>
        <w:rPr>
          <w:b/>
          <w:bCs/>
        </w:rPr>
        <w:t xml:space="preserve">Reflection</w:t>
      </w:r>
      <w:r>
        <w:t xml:space="preserve"> — governed by Snell's law and the Fresnel equations, which relate reflected and transmitted field amplitude to the incidence angle and the material's electromagnetic properties [2].</w:t>
      </w:r>
    </w:p>
    <w:p>
      <w:pPr>
        <w:spacing w:after="160"/>
      </w:pPr>
      <w:r>
        <w:t xml:space="preserve">• </w:t>
      </w:r>
      <w:r>
        <w:rPr>
          <w:b/>
          <w:bCs/>
        </w:rPr>
        <w:t xml:space="preserve">Diffraction</w:t>
      </w:r>
      <w:r>
        <w:t xml:space="preserve"> — commonly modelled using the Uniform Theory of Diffraction (UTD), which extends geometrical optics to the shadow and reflection-boundary transition regions around edges such as rooftops and building corners, and is essential for representing non-line-of-sight propagation around urban corners [23].</w:t>
      </w:r>
    </w:p>
    <w:p>
      <w:pPr>
        <w:spacing w:after="160"/>
      </w:pPr>
      <w:r>
        <w:t xml:space="preserve">• </w:t>
      </w:r>
      <w:r>
        <w:rPr>
          <w:b/>
          <w:bCs/>
        </w:rPr>
        <w:t xml:space="preserve">Scattering</w:t>
      </w:r>
      <w:r>
        <w:t xml:space="preserve"> — handled through empirical or surface-roughness-based models representing diffuse re-radiation from irregular surfaces (brickwork, foliage, vegetation) that cannot be captured by specular reflection alone [2].</w:t>
      </w:r>
    </w:p>
    <w:p>
      <w:pPr>
        <w:spacing w:after="160"/>
      </w:pPr>
      <w:r>
        <w:t xml:space="preserve">Together these mechanisms give RT significantly improved spatial resolution and explicit material sensitivity compared with the classical empirical models of Section 2.1.1, at the cost of requiring accurate three-dimensional geometry and calibrated material data as direct inputs [2].</w:t>
      </w:r>
    </w:p>
    <w:p>
      <w:pPr>
        <w:pStyle w:val="Heading3"/>
      </w:pPr>
      <w:r>
        <w:t xml:space="preserve">2.1.3 Material Modeling and Spatial Resolution</w:t>
      </w:r>
    </w:p>
    <w:p>
      <w:pPr>
        <w:spacing w:after="160"/>
      </w:pPr>
      <w:r>
        <w:t xml:space="preserve">Accurate RT simulation requires precise characterisation of the electromagnetic properties of the materials present in the scene: surfaces such as brick, concrete, and glass interact with incident waves differently, and these differences materially affect predicted path loss.</w:t>
      </w:r>
    </w:p>
    <w:p>
      <w:pPr>
        <w:spacing w:after="160"/>
      </w:pPr>
      <w:r>
        <w:rPr>
          <w:b/>
          <w:bCs/>
        </w:rPr>
        <w:t xml:space="preserve">ITU-R material standards.</w:t>
      </w:r>
      <w:r>
        <w:t xml:space="preserve"> ITU-R Recommendation P.2040 provides standardised methods and reference values for the permittivity, conductivity, and reflection/transmission behaviour of common building materials as a function of frequency [17], [22]. Example reflection-loss figures at 2.4 GHz are sometimes quoted for brick, glass, and concrete walls in secondary literature discussing this recommendation.</w:t>
      </w:r>
    </w:p>
    <w:p>
      <w:pPr>
        <w:spacing w:after="160"/>
      </w:pPr>
      <w:r>
        <w:t xml:space="preserve">&gt; </w:t>
      </w:r>
      <w:r>
        <w:rPr>
          <w:b/>
          <w:bCs/>
        </w:rPr>
        <w:t xml:space="preserve">Caution — unverified figures.</w:t>
      </w:r>
      <w:r>
        <w:t xml:space="preserve"> I could not independently confirm specific numeric reflection-loss values (e.g., "brick ≈ 8 dB," "glass ≈ 4 dB," "concrete ≈ 10–12 dB" at 2.4 GHz) against the primary ITU-R P.2040-1 [22] document or any secondary source in this session's research. Per this project's citation-verification rule, these figures should not be presented as confirmed ITU-R values until checked directly against the recommendation's own tables — see </w:t>
      </w:r>
      <w:r>
        <w:rPr>
          <w:rFonts w:ascii="Consolas" w:hAnsi="Consolas"/>
        </w:rPr>
        <w:t xml:space="preserve">references.md</w:t>
      </w:r>
      <w:r>
        <w:t xml:space="preserve">, entry [22]. This thesis's own calibration work (Chapters 4–5) instead derives material permittivity, conductivity, and scattering coefficients directly from measurement-based Powell optimisation, referencing ITU-R P.2040-2 [17] and P.833-10 [16] only for initial parameter bounds — so the specific values used later in the thesis do not depend on resolving this citation.</w:t>
      </w:r>
    </w:p>
    <w:p>
      <w:pPr>
        <w:spacing w:after="160"/>
      </w:pPr>
      <w:r>
        <w:rPr>
          <w:i/>
          <w:iCs/>
        </w:rPr>
        <w:t xml:space="preserve">[TABLE 2.2 — PLACEHOLDER]</w:t>
      </w:r>
    </w:p>
    <w:p>
      <w:pPr>
        <w:spacing w:after="160"/>
      </w:pPr>
      <w:r>
        <w:rPr>
          <w:i/>
          <w:iCs/>
        </w:rPr>
        <w:t xml:space="preserve">Literature-reported material reflection-loss/EM-property values by frequency (brick, concrete, glass) once the ITU-R P.2040-1 [22] figures above are verified against the primary source, alongside this thesis's own calibrated values from Chapter 5 for comparison. To be inserted.</w:t>
      </w:r>
    </w:p>
    <w:p>
      <w:pPr>
        <w:spacing w:after="160"/>
      </w:pPr>
      <w:r>
        <w:rPr>
          <w:b/>
          <w:bCs/>
        </w:rPr>
        <w:t xml:space="preserve">Importance of geometry fidelity.</w:t>
      </w:r>
      <w:r>
        <w:t xml:space="preserve"> Spatial accuracy in the scene model is as important as material accuracy. In this thesis, the Nottingham (dense urban) and Scar Hill (rural) scenes are built from UK Environment Agency LiDAR digital terrain and surface models [8] combined with OpenStreetMap building footprints, preserving building outlines, terrain relief, and vegetation canopy structure at metre-scale resolution (Chapter 3 describes this scene-construction pipeline in full, including the role of Blender in material/texture preparation rather than manual building-by-building modelling).</w:t>
      </w:r>
    </w:p>
    <w:p>
      <w:pPr>
        <w:pStyle w:val="Heading3"/>
      </w:pPr>
      <w:r>
        <w:t xml:space="preserve">2.1.4 Vegetation Attenuation, Terrain Effects, and Differentiable Ray Tracing</w:t>
      </w:r>
    </w:p>
    <w:p>
      <w:pPr>
        <w:spacing w:after="160"/>
      </w:pPr>
      <w:r>
        <w:t xml:space="preserve">Three further considerations recur throughout the literature and are directly relevant to this thesis's scope.</w:t>
      </w:r>
    </w:p>
    <w:p>
      <w:pPr>
        <w:spacing w:after="160"/>
      </w:pPr>
      <w:r>
        <w:rPr>
          <w:b/>
          <w:bCs/>
        </w:rPr>
        <w:t xml:space="preserve">Vegetation attenuation.</w:t>
      </w:r>
      <w:r>
        <w:t xml:space="preserve"> Foliage introduces attenuation that is difficult to model geometrically: the empirical Weissberger model, developed from measurements between 230 MHz and 95 GHz, was among the first widely used formulations for foliage-obstructed links [18], and has since been supplemented by the more recent ITU-R Recommendation P.833-10, which extends vegetation attenuation modelling up to 100 GHz using a saturating exponential form [16]. Both remain empirical corrections layered on top of, rather than derived from, the underlying geometric propagation mechanism described in Section 2.1.2. (The dual-slope breakpoint distance that also recurs in this literature is treated separately, with its formula, in Section 2.1.8.)</w:t>
      </w:r>
    </w:p>
    <w:p>
      <w:pPr>
        <w:spacing w:after="160"/>
      </w:pPr>
      <w:r>
        <w:rPr>
          <w:b/>
          <w:bCs/>
        </w:rPr>
        <w:t xml:space="preserve">Terrain effects and elevation data quality.</w:t>
      </w:r>
      <w:r>
        <w:t xml:space="preserve"> Ray-tracing-based path-loss prediction depends on terrain elevation to determine line-of-sight and diffraction geometry, so the accuracy of the underlying terrain model directly bounds achievable prediction accuracy — a consideration that becomes dominant in rural, terrain-driven environments in a way it does not in dense urban settings where building geometry is the primary influence. Terrain data sources vary substantially in quality: a comprehensive comparison of freely available global digital elevation models against LiDAR-grade reference data found the 30 m SRTM product carries vertical error on the order of several metres — worse over higher-slope terrain — against sub-metre-to-few-metre accuracy for airborne LiDAR-derived digital terrain models [30]. This resolution gap is directly relevant to this thesis's own site comparison: the Nottingham and London scenes use 1 m EA LiDAR terrain data, while the Scar Hill rural site relies on 30 m SRTM data (EA LiDAR coverage does not extend north of approximately 55.9°N), providing a natural test of how terrain data resolution constrains achievable accuracy independent of the calibration methodology itself (Chapters 3–5).</w:t>
      </w:r>
    </w:p>
    <w:p>
      <w:pPr>
        <w:spacing w:after="160"/>
      </w:pPr>
      <w:r>
        <w:rPr>
          <w:b/>
          <w:bCs/>
        </w:rPr>
        <w:t xml:space="preserve">Differentiable Ray Tracing.</w:t>
      </w:r>
      <w:r>
        <w:t xml:space="preserve"> Recent years have also seen the emergence of GPU-accelerated, differentiable ray tracers, notably Sionna RT, built on the Mitsuba 3 rendering engine [13] and the Dr.Jit differentiable compiler [12], which make gradient-based calibration of material and scene parameters computationally practical at a scale not previously accessible [3]. This capability is what this thesis's own calibration methodology (Section 3.4) relies on.</w:t>
      </w:r>
    </w:p>
    <w:p>
      <w:pPr>
        <w:pStyle w:val="Heading3"/>
      </w:pPr>
      <w:r>
        <w:t xml:space="preserve">2.1.5 Path Loss Computation and Summation Methods in Ray Tracing</w:t>
      </w:r>
    </w:p>
    <w:p>
      <w:pPr>
        <w:spacing w:after="160"/>
      </w:pPr>
      <w:r>
        <w:t xml:space="preserve">Section 2.1.2 introduced the total field as a sum of *n* discrete ray contributions (Equation 2.3). This section makes explicit how that sum becomes a path loss figure in dB, and — critically for this thesis, since the choice recurs throughout Chapters 4–5 as a per-frequency modelling decision — the difference between *coherent* and *incoherent* summation of those contributions.</w:t>
      </w:r>
    </w:p>
    <w:p>
      <w:pPr>
        <w:spacing w:after="160"/>
      </w:pPr>
      <w:r>
        <w:rPr>
          <w:b/>
          <w:bCs/>
        </w:rPr>
        <w:t xml:space="preserve">Channel impulse response and path gain.</w:t>
      </w:r>
      <w:r>
        <w:t xml:space="preserve"> </w:t>
      </w:r>
      <w:r>
        <w:rPr>
          <w:rFonts w:ascii="Consolas" w:hAnsi="Consolas"/>
        </w:rPr>
        <w:t xml:space="preserve">PathSolver</w:t>
      </w:r>
      <w:r>
        <w:t xml:space="preserve"> in Sionna RT returns, for each resolved propagation path *i*, a complex baseband path coefficient *aᵢ* and a delay *τᵢ*. The channel frequency response at carrier frequency *f* is:</w:t>
      </w:r>
    </w:p>
    <w:p>
      <w:pPr>
        <w:spacing w:after="160"/>
      </w:pPr>
      <w:r>
        <w:rPr>
          <w:b/>
          <w:bCs/>
        </w:rPr>
        <w:t xml:space="preserve">Equation (2.4):</w:t>
      </w:r>
      <w:r>
        <w:t xml:space="preserve"> h(f) = Σᵢ₌₀^(M−1) aᵢ · e^(−j2πfτᵢ)</w:t>
      </w:r>
    </w:p>
    <w:p>
      <w:pPr>
        <w:spacing w:after="160"/>
      </w:pPr>
      <w:r>
        <w:t xml:space="preserve">where *M* is the number of resolved paths between transmitter and receiver. This is the discrete form of Equation (2.3), with *aᵢ* absorbing free-space spreading loss, reflection/transmission/diffraction coefficients, and (where active) scattering loss along path *i*.</w:t>
      </w:r>
    </w:p>
    <w:p>
      <w:pPr>
        <w:spacing w:after="160"/>
      </w:pPr>
      <w:r>
        <w:rPr>
          <w:b/>
          <w:bCs/>
        </w:rPr>
        <w:t xml:space="preserve">Path loss from channel gain.</w:t>
      </w:r>
      <w:r>
        <w:t xml:space="preserve"> Received power follows the link-budget relation P_rx = P_tx + G_tx + G_rx − PL (in dB), where the path loss itself is obtained from the magnitude of the total channel gain:</w:t>
      </w:r>
    </w:p>
    <w:p>
      <w:pPr>
        <w:spacing w:after="160"/>
      </w:pPr>
      <w:r>
        <w:rPr>
          <w:b/>
          <w:bCs/>
        </w:rPr>
        <w:t xml:space="preserve">Equation (2.5):</w:t>
      </w:r>
      <w:r>
        <w:t xml:space="preserve"> PL (dB) = −20 log₁₀ |h(f)|</w:t>
      </w:r>
    </w:p>
    <w:p>
      <w:pPr>
        <w:spacing w:after="160"/>
      </w:pPr>
      <w:r>
        <w:rPr>
          <w:b/>
          <w:bCs/>
        </w:rPr>
        <w:t xml:space="preserve">Coherent summation.</w:t>
      </w:r>
      <w:r>
        <w:t xml:space="preserve"> If the complex path coefficients are summed with their relative phase intact — as in Equation (2.4) directly — the result is sensitive to small path-length differences (a shift of a fraction of a wavelength can change *τᵢ* enough to flip the sign of a phase term), which can cause constructive or destructive interference between paths:</w:t>
      </w:r>
    </w:p>
    <w:p>
      <w:pPr>
        <w:spacing w:after="160"/>
      </w:pPr>
      <w:r>
        <w:rPr>
          <w:b/>
          <w:bCs/>
        </w:rPr>
        <w:t xml:space="preserve">Equation (2.6):</w:t>
      </w:r>
      <w:r>
        <w:t xml:space="preserve"> P_coh = |Σᵢ aᵢ e^(−j2πfτᵢ)|²</w:t>
      </w:r>
    </w:p>
    <w:p>
      <w:pPr>
        <w:spacing w:after="160"/>
      </w:pPr>
      <w:r>
        <w:rPr>
          <w:b/>
          <w:bCs/>
        </w:rPr>
        <w:t xml:space="preserve">Incoherent summation.</w:t>
      </w:r>
      <w:r>
        <w:t xml:space="preserve"> An alternative is to sum the *power* contributed by each path, discarding relative phase entirely:</w:t>
      </w:r>
    </w:p>
    <w:p>
      <w:pPr>
        <w:spacing w:after="160"/>
      </w:pPr>
      <w:r>
        <w:rPr>
          <w:b/>
          <w:bCs/>
        </w:rPr>
        <w:t xml:space="preserve">Equation (2.7):</w:t>
      </w:r>
      <w:r>
        <w:t xml:space="preserve"> P_incoh = Σᵢ |aᵢ|²</w:t>
      </w:r>
    </w:p>
    <w:p>
      <w:pPr>
        <w:spacing w:after="160"/>
      </w:pPr>
      <w:r>
        <w:t xml:space="preserve">Coherent summation (Equation 2.6) is the physically complete representation of narrowband received power and is appropriate when path geometry is known precisely relative to the wavelength. Incoherent summation (Equation 2.7) discards phase information but is far less sensitive to small geometric errors in the scene or the receiver's exact sub-wavelength position — a practical advantage when many nominally similar scatterers (e.g., thousands of individually modelled tree crowns) make the coherent sum numerically unstable. Throughout this project's own results (Chapters 4–5, referenced here as "ON/OFF" and "coh/incoh" in the calibration notebooks), the choice between these two methods — and between scattering enabled ("ON") or disabled ("OFF") in the material model — is itself found to be frequency- and scene-dependent rather than fixed, which Section 2.3 revisits as an open methodological question the existing literature does not settle in general.</w:t>
      </w:r>
    </w:p>
    <w:p>
      <w:pPr>
        <w:spacing w:after="160"/>
      </w:pPr>
      <w:r>
        <w:rPr>
          <w:b/>
          <w:bCs/>
        </w:rPr>
        <w:t xml:space="preserve">Maxwell-derived material parameters: ε, σ, and S.</w:t>
      </w:r>
      <w:r>
        <w:t xml:space="preserve"> The path coefficients *aᵢ* in Equation (2.4) depend, at each reflection, on the electromagnetic properties of the material struck. Following Maxwell's equations for a lossy dielectric, a material's response to a time-harmonic field is captured by a single complex relative permittivity:</w:t>
      </w:r>
    </w:p>
    <w:p>
      <w:pPr>
        <w:spacing w:after="160"/>
      </w:pPr>
      <w:r>
        <w:rPr>
          <w:b/>
          <w:bCs/>
        </w:rPr>
        <w:t xml:space="preserve">Equation (2.8):</w:t>
      </w:r>
      <w:r>
        <w:t xml:space="preserve"> ε_complex = ε_r − j · σ / (ω ε₀)</w:t>
      </w:r>
    </w:p>
    <w:p>
      <w:pPr>
        <w:spacing w:after="160"/>
      </w:pPr>
      <w:r>
        <w:t xml:space="preserve">where *ε_r* is the (real) relative permittivity, *σ* is the conductivity in S/m, *ω* = 2π*f* is the angular frequency, and *ε₀* ≈ 8.854×10⁻¹² F/m is the permittivity of free space. The imaginary term represents Ohmic loss and is what makes a material absorptive rather than purely reflective. This complex permittivity determines the material's wave impedance and, through the Fresnel equations (Section 2.1.2), its reflection and transmission coefficients as a function of incidence angle and polarisation [17], [22]. ITU-R P.2040 tabulates *ε_r* and *σ* for common building materials on exactly this basis [17].</w:t>
      </w:r>
    </w:p>
    <w:p>
      <w:pPr>
        <w:spacing w:after="160"/>
      </w:pPr>
      <w:r>
        <w:t xml:space="preserve">The third material parameter used throughout this thesis's calibration, the scattering coefficient *S* ∈ [0, 1], is not a Maxwell-equation quantity in the same sense — smooth-surface Fresnel reflection is deterministic and specular. *S* is instead an empirical extension for rough or heterogeneous surfaces, following the Effective Roughness model of Degli-Esposti et al.: a fraction *S* of the reflected power is redirected into a diffuse scattering lobe (Lambertian or directive) rather than the specular direction, with the remaining (1 − *S*) fraction reflected specularly according to the Fresnel coefficients derived from Equation (2.8) [27]. This is the *S* parameter reported alongside *ε_r* and *σ* in this thesis's calibrated material tables (Chapter 5) and is what the "ON"/"OFF" scattering toggle in Section 2.1.5 above switches on and off.</w:t>
      </w:r>
    </w:p>
    <w:p>
      <w:pPr>
        <w:pStyle w:val="Heading3"/>
      </w:pPr>
      <w:r>
        <w:t xml:space="preserve">2.1.6 Fresnel Reflection Coefficients</w:t>
      </w:r>
    </w:p>
    <w:p>
      <w:pPr>
        <w:spacing w:after="160"/>
      </w:pPr>
      <w:r>
        <w:t xml:space="preserve">The specular reflection introduced qualitatively in Section 2.1.2 is quantified by the Fresnel equations, giving the (generally complex-valued) reflection coefficient as a function of incidence angle *α* and the complex relative permittivity *ε* = ε_complex from Equation (2.8). For perpendicular ("s") polarisation:</w:t>
      </w:r>
    </w:p>
    <w:p>
      <w:pPr>
        <w:spacing w:after="160"/>
      </w:pPr>
      <w:r>
        <w:rPr>
          <w:b/>
          <w:bCs/>
        </w:rPr>
        <w:t xml:space="preserve">Equation (2.9):</w:t>
      </w:r>
      <w:r>
        <w:t xml:space="preserve"> R_s = (√(ε − sin²α) − cos α) / (√(ε − sin²α) + cos α)</w:t>
      </w:r>
    </w:p>
    <w:p>
      <w:pPr>
        <w:spacing w:after="160"/>
      </w:pPr>
      <w:r>
        <w:t xml:space="preserve">and for parallel ("p") polarisation:</w:t>
      </w:r>
    </w:p>
    <w:p>
      <w:pPr>
        <w:spacing w:after="160"/>
      </w:pPr>
      <w:r>
        <w:rPr>
          <w:b/>
          <w:bCs/>
        </w:rPr>
        <w:t xml:space="preserve">Equation (2.10):</w:t>
      </w:r>
      <w:r>
        <w:t xml:space="preserve"> R_p = (ε cos α − √(ε − sin²α)) / (ε cos α + √(ε − sin²α))</w:t>
      </w:r>
    </w:p>
    <w:p>
      <w:pPr>
        <w:spacing w:after="160"/>
      </w:pPr>
      <w:r>
        <w:t xml:space="preserve">Because *ε* is complex whenever conductivity *σ* &gt; 0 (Equation 2.8), these coefficients carry both a magnitude (fraction of power reflected) and a phase shift, both of which propagate into the path coefficient *aᵢ* of Equation (2.4) for every reflected ray. This is the mechanism by which the calibrated material parameters (*ε_r*, *σ*) of Section 2.1.3 directly determine simulated path loss.</w:t>
      </w:r>
    </w:p>
    <w:p>
      <w:pPr>
        <w:pStyle w:val="Heading3"/>
      </w:pPr>
      <w:r>
        <w:t xml:space="preserve">2.1.7 Vegetation Attenuation Formulas</w:t>
      </w:r>
    </w:p>
    <w:p>
      <w:pPr>
        <w:spacing w:after="160"/>
      </w:pPr>
      <w:r>
        <w:t xml:space="preserve">Section 2.1.4 introduced Weissberger's model and ITU-R P.833-10 qualitatively; their exact forms, both used in this project's post-processing (Chapters 4–5), are:</w:t>
      </w:r>
    </w:p>
    <w:p>
      <w:pPr>
        <w:spacing w:after="160"/>
      </w:pPr>
      <w:r>
        <w:rPr>
          <w:b/>
          <w:bCs/>
        </w:rPr>
        <w:t xml:space="preserve">Weissberger's Modified Exponential Decay model</w:t>
      </w:r>
      <w:r>
        <w:t xml:space="preserve"> [18]:</w:t>
      </w:r>
    </w:p>
    <w:p>
      <w:pPr>
        <w:spacing w:after="160"/>
      </w:pPr>
      <w:r>
        <w:rPr>
          <w:b/>
          <w:bCs/>
        </w:rPr>
        <w:t xml:space="preserve">Equation (2.11):</w:t>
      </w:r>
      <w:r>
        <w:t xml:space="preserve"> A (dB) = 1.33 · f^0.284 · d^0.588,  for 14 m &lt; d ≤ 400 m</w:t>
      </w:r>
    </w:p>
    <w:p>
      <w:pPr>
        <w:spacing w:after="160"/>
      </w:pPr>
      <w:r>
        <w:t xml:space="preserve">A (dB) = 0.45 · f^0.284 · d,  for 0 &lt; d ≤ 14 m</w:t>
      </w:r>
    </w:p>
    <w:p>
      <w:pPr>
        <w:spacing w:after="160"/>
      </w:pPr>
      <w:r>
        <w:t xml:space="preserve">where *f* is frequency in GHz and *d* is the foliage depth traversed, in metres.</w:t>
      </w:r>
    </w:p>
    <w:p>
      <w:pPr>
        <w:spacing w:after="160"/>
      </w:pPr>
      <w:r>
        <w:rPr>
          <w:b/>
          <w:bCs/>
        </w:rPr>
        <w:t xml:space="preserve">ITU-R P.833-10 vegetation attenuation</w:t>
      </w:r>
      <w:r>
        <w:t xml:space="preserve"> [16]:</w:t>
      </w:r>
    </w:p>
    <w:p>
      <w:pPr>
        <w:spacing w:after="160"/>
      </w:pPr>
      <w:r>
        <w:rPr>
          <w:b/>
          <w:bCs/>
        </w:rPr>
        <w:t xml:space="preserve">Equation (2.12):</w:t>
      </w:r>
      <w:r>
        <w:t xml:space="preserve"> A (dB) = A_m · (1 − exp(−d · γ / A_m))</w:t>
      </w:r>
    </w:p>
    <w:p>
      <w:pPr>
        <w:spacing w:after="160"/>
      </w:pPr>
      <w:r>
        <w:t xml:space="preserve">where *A_m* is the maximum attenuation for a given vegetation type (≈ 25 dB is typical near 3 GHz) and *γ* is the specific attenuation for very short vegetation depths (≈ 2.0 dB/m near 3 GHz), both frequency- and vegetation-type-dependent per the recommendation's tables. Unlike Weissberger's power-law form (Equation 2.11), Equation (2.12) saturates at *A_m* as depth increases, which this project uses per-path (applied to individual ray segments via their intersected vegetation depth) at 2695 MHz and 3602 MHz, where Weissberger is known to under-estimate attenuation by around 40% [16].</w:t>
      </w:r>
    </w:p>
    <w:p>
      <w:pPr>
        <w:pStyle w:val="Heading3"/>
      </w:pPr>
      <w:r>
        <w:t xml:space="preserve">2.1.8 Dual-Slope Breakpoint Distance</w:t>
      </w:r>
    </w:p>
    <w:p>
      <w:pPr>
        <w:spacing w:after="160"/>
      </w:pPr>
      <w:r>
        <w:t xml:space="preserve">The breakpoint distance introduced conceptually in Section 2.1.4 is calculated, per the standard two-ray/dual-slope geometry adopted by ITU-R P.1411-10 [15] (and consistently with 3GPP TR 38.901's equivalent formulation [6]), as:</w:t>
      </w:r>
    </w:p>
    <w:p>
      <w:pPr>
        <w:spacing w:after="160"/>
      </w:pPr>
      <w:r>
        <w:rPr>
          <w:b/>
          <w:bCs/>
        </w:rPr>
        <w:t xml:space="preserve">Equation (2.13):</w:t>
      </w:r>
      <w:r>
        <w:t xml:space="preserve"> R_bp = 4 · h_BS · h_UT · f / c</w:t>
      </w:r>
    </w:p>
    <w:p>
      <w:pPr>
        <w:spacing w:after="160"/>
      </w:pPr>
      <w:r>
        <w:t xml:space="preserve">where *h_BS* and *h_UT* are base-station and user-terminal antenna heights in metres, *f* is frequency in Hz, and *c* is the speed of light. This project's own reported breakpoints (e.g., R_bp ≈ 311 m at 915 MHz, 916 m at 2695 MHz, for h_BS = 17 m, h_UT = 1.5 m) follow directly from Equation (2.13) and are used to bound the calibration distance range at each frequency, as discussed in Section 2.3.</w:t>
      </w:r>
    </w:p>
    <w:p>
      <w:pPr>
        <w:pStyle w:val="Heading3"/>
      </w:pPr>
      <w:r>
        <w:t xml:space="preserve">2.1.9 Evaluation Metrics</w:t>
      </w:r>
    </w:p>
    <w:p>
      <w:pPr>
        <w:spacing w:after="160"/>
      </w:pPr>
      <w:r>
        <w:t xml:space="preserve">Throughout this thesis, simulated path loss PL_sim is compared against measured path loss PL_meas (from the Ofcom 2018 dataset [5]) at each receiver *i* = 1...N using three standard goodness-of-fit statistics:</w:t>
      </w:r>
    </w:p>
    <w:p>
      <w:pPr>
        <w:spacing w:after="160"/>
      </w:pPr>
      <w:r>
        <w:rPr>
          <w:b/>
          <w:bCs/>
        </w:rPr>
        <w:t xml:space="preserve">Equation (2.14) — Bias:</w:t>
      </w:r>
      <w:r>
        <w:t xml:space="preserve"> Bias (dB) = (1/N) Σᵢ (PL_sim,i − PL_meas,i)</w:t>
      </w:r>
    </w:p>
    <w:p>
      <w:pPr>
        <w:spacing w:after="160"/>
      </w:pPr>
      <w:r>
        <w:rPr>
          <w:b/>
          <w:bCs/>
        </w:rPr>
        <w:t xml:space="preserve">Equation (2.15) — RMSE:</w:t>
      </w:r>
      <w:r>
        <w:t xml:space="preserve"> RMSE (dB) = √[(1/N) Σᵢ (PL_sim,i − PL_meas,i)²]</w:t>
      </w:r>
    </w:p>
    <w:p>
      <w:pPr>
        <w:spacing w:after="160"/>
      </w:pPr>
      <w:r>
        <w:rPr>
          <w:b/>
          <w:bCs/>
        </w:rPr>
        <w:t xml:space="preserve">Equation (2.16) — Coefficient of determination:</w:t>
      </w:r>
      <w:r>
        <w:t xml:space="preserve"> R² = 1 − [Σᵢ (PL_meas,i − PL_sim,i)²] / [Σᵢ (PL_meas,i − PL̄_meas)²]</w:t>
      </w:r>
    </w:p>
    <w:p>
      <w:pPr>
        <w:spacing w:after="160"/>
      </w:pPr>
      <w:r>
        <w:t xml:space="preserve">where PL̄_meas is the mean of the measured path loss over the receiver set considered. These are the metrics reported for every frequency, site, and distance range in Chapters 4–5.</w:t>
      </w:r>
    </w:p>
    <w:p>
      <w:pPr>
        <w:pStyle w:val="Heading2"/>
      </w:pPr>
      <w:r>
        <w:t xml:space="preserve">2.2 Review of Existing Approaches</w:t>
      </w:r>
    </w:p>
    <w:p>
      <w:pPr>
        <w:spacing w:after="160"/>
      </w:pPr>
      <w:r>
        <w:rPr>
          <w:b/>
          <w:bCs/>
        </w:rPr>
        <w:t xml:space="preserve">Classical empirical approaches.</w:t>
      </w:r>
      <w:r>
        <w:t xml:space="preserve"> Okumura–Hata [9] and its COST-231 extension [10] remain widely used for macro-level network planning because of their low computational cost and minimal input data requirements, but as discussed in Section 2.1.1 they operate at coarse spatial resolution and cannot represent site-specific geometry.</w:t>
      </w:r>
    </w:p>
    <w:p>
      <w:pPr>
        <w:spacing w:after="160"/>
      </w:pPr>
      <w:r>
        <w:rPr>
          <w:b/>
          <w:bCs/>
        </w:rPr>
        <w:t xml:space="preserve">Deterministic ray tracing and its calibration.</w:t>
      </w:r>
      <w:r>
        <w:t xml:space="preserve"> Site-specific ray tracing has a long history in radio propagation research [2], and recent work has focused heavily on *calibrating* ray tracers against real measurements rather than relying on generic material assumptions. Kanhere, Poddar, and Rappaport calibrated NYURay, a 3D mmWave and sub-THz ray tracer, against 28 GHz, 73 GHz, and 142 GHz channel measurements collected in indoor, outdoor, and factory scenarios, obtaining a standard deviation in directional multipath power error of under 3 dB indoors and under 2 dB outdoors and in factory environments after calibration [19]. Separately, Hoydis et al. introduced a gradient-based calibration method for Sionna RT that jointly optimises differentiable parametrisations of material properties, scattering, and antenna patterns against measured channel impulse responses, validating it on synthetic data and real indoor measurements from a distributed MIMO channel sounder [21].</w:t>
      </w:r>
    </w:p>
    <w:p>
      <w:pPr>
        <w:spacing w:after="160"/>
      </w:pPr>
      <w:r>
        <w:rPr>
          <w:b/>
          <w:bCs/>
        </w:rPr>
        <w:t xml:space="preserve">Data-driven alternatives.</w:t>
      </w:r>
      <w:r>
        <w:t xml:space="preserve"> A parallel body of work addresses propagation prediction with machine learning rather than explicit geometric simulation. Levie et al.'s RadioUNet uses a convolutional neural network trained on a large simulated dataset (RadioMapSeer) to estimate 2D radio maps directly from city geometry, reporting strong accuracy at a fraction of the computational cost of full ray tracing [20]. Such approaches trade physical interpretability and generalisation to unseen geometries for prediction speed.</w:t>
      </w:r>
    </w:p>
    <w:p>
      <w:pPr>
        <w:spacing w:after="160"/>
      </w:pPr>
      <w:r>
        <w:rPr>
          <w:b/>
          <w:bCs/>
        </w:rPr>
        <w:t xml:space="preserve">Validation against real urban measurements.</w:t>
      </w:r>
      <w:r>
        <w:t xml:space="preserve"> Fewer studies validate ray-tracing fidelity directly against real outdoor cellular measurements at sub-6 GHz frequencies. Manukyan et al. evaluated Sionna-based ray tracing against real 4G/5G measurements collected across six base stations in Rome (0.8–4 GHz), using Spearman rank correlation between measured and simulated received power and k-nearest-neighbour localisation accuracy as fidelity metrics, and found that antenna location and orientation assumptions were decisive to simulator fidelity — greedy re-optimisation of these assumptions alone improved correlation by 5% to 130% depending on the base station [7].</w:t>
      </w:r>
    </w:p>
    <w:p>
      <w:pPr>
        <w:spacing w:after="160"/>
      </w:pPr>
      <w:r>
        <w:rPr>
          <w:i/>
          <w:iCs/>
        </w:rPr>
        <w:t xml:space="preserve">[FIGURE 2.2 — PLACEHOLDER]</w:t>
      </w:r>
    </w:p>
    <w:p>
      <w:pPr>
        <w:spacing w:after="160"/>
      </w:pPr>
      <w:r>
        <w:rPr>
          <w:i/>
          <w:iCs/>
        </w:rPr>
        <w:t xml:space="preserve">Taxonomy of propagation modelling approaches: Empirical (Okumura–Hata, COST-231, FSPL) / Deterministic Ray Tracing (image-based, SBR, Sionna RT) / Data-driven (RadioUNet). To be inserted.</w:t>
      </w:r>
    </w:p>
    <w:p>
      <w:pPr>
        <w:spacing w:after="160"/>
      </w:pPr>
      <w:r>
        <w:rPr>
          <w:i/>
          <w:iCs/>
        </w:rPr>
        <w:t xml:space="preserve">[TABLE 2.3 — PLACEHOLDER]</w:t>
      </w:r>
    </w:p>
    <w:p>
      <w:pPr>
        <w:spacing w:after="160"/>
      </w:pPr>
      <w:r>
        <w:rPr>
          <w:i/>
          <w:iCs/>
        </w:rPr>
        <w:t xml:space="preserve">Comparison of reviewed calibration studies: NYURay [19] / Sionna RT gradient-based calibration [21] / RadioUNet [20] — columns: frequency range, environment type, calibration method, reported accuracy metric. To be inserted.</w:t>
      </w:r>
    </w:p>
    <w:p>
      <w:pPr>
        <w:pStyle w:val="Heading2"/>
      </w:pPr>
      <w:r>
        <w:t xml:space="preserve">2.3 Critical Analysis of Existing Work</w:t>
      </w:r>
    </w:p>
    <w:p>
      <w:pPr>
        <w:spacing w:after="160"/>
      </w:pPr>
      <w:r>
        <w:t xml:space="preserve">The reviewed literature establishes that calibrated ray tracing can achieve strong accuracy, but this has predominantly been demonstrated in two settings that differ from the one this thesis addresses. NYURay's calibration results are strongest at mmWave and sub-THz frequencies (28–142 GHz) over indoor, outdoor-microcell, and factory distances [19], while the Sionna RT differentiable calibration method has so far been validated primarily on synthetic scenes and a single real indoor MIMO measurement set [21]. Neither directly demonstrates calibration accuracy across multiple sub-6 GHz macrocell frequencies at the same outdoor urban site — the regime in which the ITU-R P.1411 dual-slope breakpoint [15] and vegetation attenuation [16], [18] are most consequential, since breakpoint distances at these frequencies (hundreds of metres to just over a kilometre, given typical macrocell heights) fall inside the range of interest for network planning rather than being negligible as at mmWave.</w:t>
      </w:r>
    </w:p>
    <w:p>
      <w:pPr>
        <w:spacing w:after="160"/>
      </w:pPr>
      <w:r>
        <w:t xml:space="preserve">The vegetation and dual-slope literature itself provides physical models but not a systematic account of how they interact with ray-tracer calibration. Weissberger [18] and ITU-R P.833-10 [16] specify attenuation as a function of foliage depth, but neither addresses how attenuation should be combined with a surface-based ray tracer that, by construction, computes electromagnetic interactions only at discrete surface intersections (Section 2.1.2) and cannot represent volumetric absorption through a tree canopy directly — a limitation that becomes more severe as wavelength shrinks toward the physical scale of vegetation structures. Similarly, ITU-R P.1411-10's breakpoint formula [15] defines where LOS and NLOS regimes separate, but the literature reviewed here does not address the practical calibration consequence: fitting a ray tracer's free parameters to measurements spanning both regimes risks averaging over two physically distinct propagation mechanisms.</w:t>
      </w:r>
    </w:p>
    <w:p>
      <w:pPr>
        <w:spacing w:after="160"/>
      </w:pPr>
      <w:r>
        <w:t xml:space="preserve">The data-driven alternative represented by RadioUNet [20] achieves high accuracy efficiently, but at the cost of requiring large, environment-specific training data and offering limited insight into which physical mechanism (reflection, diffraction, vegetation attenuation) is responsible for a given prediction error — a diagnostic capability that a calibrated ray tracer retains by construction (Table 2.1, Section 2.1.1).</w:t>
      </w:r>
    </w:p>
    <w:p>
      <w:pPr>
        <w:spacing w:after="160"/>
      </w:pPr>
      <w:r>
        <w:t xml:space="preserve">Finally, Manukyan et al.'s finding that ray-tracing fidelity against real measurements is highly sensitive to antenna placement and orientation assumptions [7] is a caution rather than a solution: it demonstrates that ray-tracing accuracy cannot be assumed from the simulator alone and must be established empirically for each deployment scenario, but its evaluation metrics (rank correlation, localisation accuracy) do not directly report the path-loss-level accuracy metrics (R², RMSE, bias) that are standard in network planning and that this thesis uses throughout.</w:t>
      </w:r>
    </w:p>
    <w:p>
      <w:pPr>
        <w:pStyle w:val="Heading2"/>
      </w:pPr>
      <w:r>
        <w:t xml:space="preserve">2.4 Identification of Research Gap</w:t>
      </w:r>
    </w:p>
    <w:p>
      <w:pPr>
        <w:spacing w:after="160"/>
      </w:pPr>
      <w:r>
        <w:t xml:space="preserve">Taken together, the reviewed literature has separately established: (i) that ray tracing can be calibrated to real measurements with strong accuracy at mmWave/sub-THz frequencies and short-to-medium range [19]; (ii) that gradient-based, differentiable calibration is computationally practical using modern frameworks such as Sionna RT [3], [21]; (iii) physical models for vegetation attenuation [16], [18] and dual-slope breakpoint behaviour [15] at sub-6 GHz; and (iv) that ray-tracing fidelity against real urban measurements is sensitive to scene and antenna assumptions and must be empirically validated rather than assumed [7].</w:t>
      </w:r>
    </w:p>
    <w:p>
      <w:pPr>
        <w:spacing w:after="160"/>
      </w:pPr>
      <w:r>
        <w:t xml:space="preserve">No study identified in this review combines these elements into a single, systematic evaluation: a purely geometric, calibrated ray tracer validated against a large, public, multi-frequency measurement dataset spanning sub-6 GHz macrocell frequencies (915 MHz–3602 MHz) at the same dense urban site, extended to a rural comparison site, with explicit attention to how vegetation modelling choice and dual-slope-aware calibration range affect the resulting accuracy at each frequency. This is the gap this thesis addresses, directly motivating the research questions and objectives set out in Section 1.5: quantifying how calibrated ray-tracing accuracy varies with frequency, establishing what scene and vegetation modelling choices are required as wavelength decreases, and identifying the accuracy ceiling achievable through geometry-and-material calibration alone before any learned or statistical residual correction is introduced.</w:t>
      </w:r>
    </w:p>
    <w:p>
      <w:pPr>
        <w:pStyle w:val="Heading2"/>
      </w:pPr>
      <w:r>
        <w:t xml:space="preserve">2.5 Sionna RT: Simulation Framework and Real Pipeline</w:t>
      </w:r>
    </w:p>
    <w:p>
      <w:pPr>
        <w:spacing w:after="160"/>
      </w:pPr>
      <w:r>
        <w:t xml:space="preserve">Sionna RT, developed by NVIDIA, is the open-source Python library used throughout this thesis, integrating the Mitsuba 3 rendering engine [13] and the Dr.Jit differentiable compiler [12] for GPU-accelerated ray-tracing simulation [3].</w:t>
      </w:r>
    </w:p>
    <w:p>
      <w:pPr>
        <w:pStyle w:val="Heading3"/>
      </w:pPr>
      <w:r>
        <w:t xml:space="preserve">2.5.1 Components and Capabilities</w:t>
      </w:r>
    </w:p>
    <w:p>
      <w:pPr>
        <w:spacing w:after="160"/>
      </w:pPr>
      <w:r>
        <w:t xml:space="preserve">Sionna RT's Python API exposes four components relevant to this thesis: a scene-description format (Mitsuba-compatible XML, importing arbitrary PLY geometry), a </w:t>
      </w:r>
      <w:r>
        <w:rPr>
          <w:rFonts w:ascii="Consolas" w:hAnsi="Consolas"/>
        </w:rPr>
        <w:t xml:space="preserve">RadioMaterial</w:t>
      </w:r>
      <w:r>
        <w:t xml:space="preserve"> abstraction for the electromagnetic surface properties of Section 2.1.3, a </w:t>
      </w:r>
      <w:r>
        <w:rPr>
          <w:rFonts w:ascii="Consolas" w:hAnsi="Consolas"/>
        </w:rPr>
        <w:t xml:space="preserve">PathSolver</w:t>
      </w:r>
      <w:r>
        <w:t xml:space="preserve"> implementing the ray-tracing mechanisms of Section 2.1.2, and a </w:t>
      </w:r>
      <w:r>
        <w:rPr>
          <w:rFonts w:ascii="Consolas" w:hAnsi="Consolas"/>
        </w:rPr>
        <w:t xml:space="preserve">RadioMapSolver</w:t>
      </w:r>
      <w:r>
        <w:t xml:space="preserve"> for generating spatially continuous coverage predictions rather than only per-receiver path loss. Together these components make it possible to construct a scene from independently sourced geometry (terrain, buildings, vegetation), assign and later calibrate material parameters against measurement data, and evaluate the resulting model at the receiver locations of an arbitrary measurement campaign — precisely the capability profile the gap identified in Section 2.4 requires. The specific procedure by which this project uses these components — the scene-construction pipeline, calibration algorithm, and evaluation protocol — is the subject of Chapter 3 and is not repeated here.</w:t>
      </w:r>
    </w:p>
    <w:p>
      <w:pPr>
        <w:pStyle w:val="Heading3"/>
      </w:pPr>
      <w:r>
        <w:t xml:space="preserve">2.5.2 Hardware and Software Environment</w:t>
      </w:r>
    </w:p>
    <w:p>
      <w:pPr>
        <w:spacing w:after="160"/>
      </w:pPr>
      <w:r>
        <w:t xml:space="preserve">The GPU-accelerated compute platform and the pinned software environment (Sionna, Mitsuba, Dr.Jit, and supporting library versions) are documented in full in Chapter 4, Section 4.2, alongside the simulation-architecture configuration values they support — placing the setup detail there keeps it next to the experimental parameters it underpins, rather than separated from them by two chapters. As open-source software, Sionna RT supports academic rigour, reproducibility, and flexibility relative to proprietary ray-tracing tools, which is part of why it was selected for this project [3].</w:t>
      </w:r>
    </w:p>
    <w:p>
      <w:pPr>
        <w:pStyle w:val="Heading2"/>
      </w:pPr>
      <w:r>
        <w:t xml:space="preserve">2.6 Related Research and Relevance</w:t>
      </w:r>
    </w:p>
    <w:p>
      <w:pPr>
        <w:spacing w:after="160"/>
      </w:pPr>
      <w:r>
        <w:t xml:space="preserve">Beyond the calibration-focused studies already reviewed in Section 2.2, several earlier works established that site-specific, geometry-aware modelling is necessary to capture real urban propagation behaviour. Chizhik et al. measured MIMO channels in Manhattan and demonstrated substantial, geometry-driven variation in angular and delay spread between sites — variation that classical statistical models cannot reproduce because they do not represent individual street and building geometry [24]. Rappaport et al.'s wideband millimetre-wave measurement campaign further showed that propagation characteristics are highly sensitive to the specific materials and geometry of the measurement environment, reinforcing the case for material-aware, site-specific simulation rather than generic path-loss exponents [25].</w:t>
      </w:r>
    </w:p>
    <w:p>
      <w:pPr>
        <w:spacing w:after="160"/>
      </w:pPr>
      <w:r>
        <w:t xml:space="preserve">More directly comparable to this thesis is a 2025 University of Bologna undergraduate/master's thesis that used Sionna RT to generate high-resolution radio environmental maps for Bologna's historic centre, with building geometry authored in Blender and CPU-based ray-tracing execution [26]. That work demonstrates Sionna RT's applicability to architecturally complex, dense historic urban environments and reports qualitative phenomena such as waveguiding beneath porticoes and diffraction in narrow alleyways. It differs from this thesis in three respects relevant to the research gap identified in Section 2.4: it targets a single frequency and city rather than a multi-frequency, multi-site comparison; it does not calibrate material properties against an independent, public path-loss measurement dataset (relying instead on qualitative/simulated observations); and its CPU-based execution limits the sample counts practical for Monte Carlo path solving, whereas this thesis's GPU-accelerated pipeline (Section 2.5.2) supports the 30–100 million sample counts used for calibration and evaluation in Chapters 4–5.</w:t>
      </w:r>
    </w:p>
    <w:p>
      <w:pPr>
        <w:spacing w:after="160"/>
      </w:pPr>
      <w:r>
        <w:t xml:space="preserve">This chapter has critically reviewed classical propagation models and their limitations, introduced Ray Tracing as a deterministic, geometry-aware alternative, discussed material and geometry modelling considerations, described the Sionna RT simulation framework and this thesis's own pipeline, and situated this work relative to related studies. Together with the research gap identified in Section 2.4, these findings directly inform the methodology developed in Chapter 3.</w:t>
      </w:r>
    </w:p>
    <w:p>
      <w:pPr>
        <w:spacing w:after="160"/>
      </w:pPr>
      <w:r>
        <w:rPr>
          <w:i/>
          <w:iCs/>
        </w:rPr>
        <w:t xml:space="preserve">References for this chapter reuse [2], [3], [5], [6], [7], [8]-[13] from Chapter 1 and add [15]-[27], [30]. See `references.md` for the full, verified reference list shared across all chapters. Note: a "Loyka &amp; Kouki (2008)" citation appearing in an earlier draft could not be verified and has been omitted; see `references.md`, "Not used" section.</w:t>
      </w:r>
    </w:p>
    <w:p>
      <w:r>
        <w:br w:type="page"/>
      </w:r>
    </w:p>
    <w:p>
      <w:pPr>
        <w:pStyle w:val="Heading1"/>
      </w:pPr>
      <w:r>
        <w:t xml:space="preserve">Research Methodology</w:t>
      </w:r>
    </w:p>
    <w:p>
      <w:pPr>
        <w:spacing w:after="160"/>
      </w:pPr>
      <w:r>
        <w:t xml:space="preserve">This chapter explains how the research problem and objectives set out in Chapter 1, and the gap identified in Chapter 2, were actually investigated: the overall research strategy, the tools and data used and why, the assumptions and constraints that bound the work, and the step-by-step procedure followed — in enough detail that another researcher could reproduce it. Every feature and processing step actually implemented in this project's notebooks is highlighted here, not only the headline result.</w:t>
      </w:r>
    </w:p>
    <w:p>
      <w:pPr>
        <w:pStyle w:val="Heading2"/>
      </w:pPr>
      <w:r>
        <w:t xml:space="preserve">3.1 General Methodological Approach</w:t>
      </w:r>
    </w:p>
    <w:p>
      <w:pPr>
        <w:spacing w:after="160"/>
      </w:pPr>
      <w:r>
        <w:t xml:space="preserve">This is </w:t>
      </w:r>
      <w:r>
        <w:rPr>
          <w:b/>
          <w:bCs/>
        </w:rPr>
        <w:t xml:space="preserve">simulation-based, model-driven quantitative research</w:t>
      </w:r>
      <w:r>
        <w:t xml:space="preserve">, combining deterministic electromagnetic ray tracing with empirical calibration against independent real-world measurements. It is neither purely analytical (the propagation environments are too geometrically complex for closed-form solution) nor purely empirical/statistical (Chapter 2 established that classical empirical models cannot answer this thesis's research questions about frequency-dependent, site-specific failure modes). Instead, a physics-based simulator (Sionna RT [3]) is used to generate predictions from an explicit 3D representation of each site, and those predictions are calibrated and validated against a large, independent, public measurement dataset (Ofcom 2018 [5]) — directly the combination Chapter 2 found under-represented in the literature at sub-6 GHz macrocell frequencies.</w:t>
      </w:r>
    </w:p>
    <w:p>
      <w:pPr>
        <w:spacing w:after="160"/>
      </w:pPr>
      <w:r>
        <w:t xml:space="preserve">Two software generations were used across the project's timeline: an initial </w:t>
      </w:r>
      <w:r>
        <w:rPr>
          <w:b/>
          <w:bCs/>
        </w:rPr>
        <w:t xml:space="preserve">Sionna 0.19</w:t>
      </w:r>
      <w:r>
        <w:t xml:space="preserve"> pipeline (TensorFlow backend, Mitsuba 2.1.0-format </w:t>
      </w:r>
      <w:r>
        <w:rPr>
          <w:rFonts w:ascii="Consolas" w:hAnsi="Consolas"/>
        </w:rPr>
        <w:t xml:space="preserve">scene.xml</w:t>
      </w:r>
      <w:r>
        <w:t xml:space="preserve">), later migrated to </w:t>
      </w:r>
      <w:r>
        <w:rPr>
          <w:b/>
          <w:bCs/>
        </w:rPr>
        <w:t xml:space="preserve">Sionna 2.0</w:t>
      </w:r>
      <w:r>
        <w:t xml:space="preserve"> (Mitsuba 3.5.2/Dr.Jit backend, </w:t>
      </w:r>
      <w:r>
        <w:rPr>
          <w:rFonts w:ascii="Consolas" w:hAnsi="Consolas"/>
        </w:rPr>
        <w:t xml:space="preserve">scene_sionna2.xml</w:t>
      </w:r>
      <w:r>
        <w:t xml:space="preserve">) using a dedicated migration script, once the newer engine's GPU performance and differentiable-calibration support proved necessary for the sample counts this thesis required (Section 4.2).</w:t>
      </w:r>
    </w:p>
    <w:p>
      <w:pPr>
        <w:spacing w:after="160"/>
      </w:pPr>
      <w:r>
        <w:t xml:space="preserve">The overall workflow, applied independently at each site/frequency combination — Nottingham at 915/1802/2695/3602 MHz, London at 915/1802 MHz (2695 MHz calibration in progress at the time of writing), Scar Hill at 915 MHz, and Stevenage at 915/1802/2695/3602 MHz — follows the pipeline detailed in full in Section 3.4 (Figure 3.2). Figure 3.1 shows the geographic distribution and environment type of these four originally-selected sites. A fifth site, Southampton (915/1802 MHz, with 2695/3602 MHz notebooks in progress at the time of writing), was added later in the project and is reported alongside the others in Chapters 4–5; its transmitter coordinates (50.9464°N, −1.3101°E, from the site's own CSV header) have since been confirmed, but it is not shown in Figure 3.1, which was produced before that confirmation and has not been regenerated.</w:t>
      </w:r>
    </w:p>
    <w:p>
      <w:pPr>
        <w:spacing w:after="160"/>
      </w:pPr>
      <w:r>
        <w:rPr>
          <w:i/>
          <w:iCs/>
        </w:rPr>
        <w:t xml:space="preserve">[FIGURE PLACEHOLDER] Figure 3.1 — Ofcom 2018 measurement sites used in this thesis</w:t>
      </w:r>
    </w:p>
    <w:p>
      <w:pPr>
        <w:spacing w:after="160"/>
      </w:pPr>
      <w:r>
        <w:rPr>
          <w:i/>
          <w:iCs/>
        </w:rPr>
        <w:t xml:space="preserve">Figure 3.1 — The four Ofcom 2018 measurement sites used in this thesis, spanning dense urban (Nottingham, London), suburban/new-town (Stevenage), and rural hilltop (Scar Hill) environments. London's marker uses an approximate site coordinate, as the exact transmitter location is documented in the site-specific CSV header rather than reproduced here. Site plotted with Cartopy/Natural Earth coastline data.</w:t>
      </w:r>
    </w:p>
    <w:p>
      <w:pPr>
        <w:spacing w:after="160"/>
      </w:pPr>
      <w:r>
        <w:t xml:space="preserve">1. Construct a 3D scene from terrain, building, and vegetation data for the site.</w:t>
      </w:r>
    </w:p>
    <w:p>
      <w:pPr>
        <w:spacing w:after="160"/>
      </w:pPr>
      <w:r>
        <w:t xml:space="preserve">2. Assign initial material electromagnetic properties from ITU-R reference values.</w:t>
      </w:r>
    </w:p>
    <w:p>
      <w:pPr>
        <w:spacing w:after="160"/>
      </w:pPr>
      <w:r>
        <w:t xml:space="preserve">3. Place the transmitter and receivers, with automated height selection and geometric validity checks.</w:t>
      </w:r>
    </w:p>
    <w:p>
      <w:pPr>
        <w:spacing w:after="160"/>
      </w:pPr>
      <w:r>
        <w:t xml:space="preserve">4. Calibrate material properties against a subset of the site's measurements using gradient-free optimisation.</w:t>
      </w:r>
    </w:p>
    <w:p>
      <w:pPr>
        <w:spacing w:after="160"/>
      </w:pPr>
      <w:r>
        <w:t xml:space="preserve">5. Apply post-processing corrections (vegetation attenuation, distance-bin and LOS/NLOS adjustments) informed by the theory in Sections 2.1.7–2.1.8.</w:t>
      </w:r>
    </w:p>
    <w:p>
      <w:pPr>
        <w:spacing w:after="160"/>
      </w:pPr>
      <w:r>
        <w:t xml:space="preserve">6. Evaluate the calibrated, corrected model against the full measurement set using the metrics defined in Section 2.1.9, across cumulative distance ranges, and generate spatial coverage maps.</w:t>
      </w:r>
    </w:p>
    <w:p>
      <w:pPr>
        <w:spacing w:after="160"/>
      </w:pPr>
      <w:r>
        <w:t xml:space="preserve">This approach is appropriate to the research questions (Section 1.4) for three reasons. First, RQ1 and RQ3 ask how accuracy varies with frequency and what ceiling geometry-and-material calibration alone can reach — answering this requires an actual calibrated simulator producing quantitative R²/RMSE/bias figures, not a qualitative or purely theoretical argument. Second, RQ2 (vegetation modelling as wavelength decreases) requires comparing multiple concrete modelling choices (disc geometry vs. transparent canopy vs. post-hoc correction) under otherwise identical conditions — only possible with a working simulation pipeline that can be reconfigured and re-run. Third, RQ4 (urban vs. rural generalisation) requires applying the same methodology to sites with fundamentally different terrain data availability (metre-scale LiDAR vs. 30 m SRTM), which is a controlled comparison a simulation-based approach can isolate in a way a single-site experimental measurement campaign cannot.</w:t>
      </w:r>
    </w:p>
    <w:p>
      <w:pPr>
        <w:spacing w:after="160"/>
      </w:pPr>
      <w:r>
        <w:t xml:space="preserve">Within this overall strategy, the work also proceeded </w:t>
      </w:r>
      <w:r>
        <w:rPr>
          <w:b/>
          <w:bCs/>
        </w:rPr>
        <w:t xml:space="preserve">iteratively rather than in one pass</w:t>
      </w:r>
      <w:r>
        <w:t xml:space="preserve">: for the Nottingham 915 MHz site, the scene was built up feature-by-feature (buildings and terrain only → adding vegetation → adding roads, water, bridges, and railways), with accuracy re-evaluated at each stage before proceeding (Table 3.1). This incremental approach is itself methodologically deliberate: it isolates which scene features improve or degrade accuracy, rather than only reporting a single end-to-end result whose sensitivity to individual modelling choices would otherwise be unknown.</w:t>
      </w:r>
    </w:p>
    <w:p>
      <w:pPr>
        <w:spacing w:after="160"/>
      </w:pPr>
      <w:r>
        <w:rPr>
          <w:i/>
          <w:iCs/>
        </w:rPr>
        <w:t xml:space="preserve">[TABLE 3.1]</w:t>
      </w:r>
    </w:p>
    <w:tbl>
      <w:tblPr>
        <w:tblW w:w="9500" w:type="dxa"/>
        <w:tblBorders>
          <w:top w:val="single" w:sz="6" w:space="0" w:color="D1D9E0"/>
          <w:left w:val="single" w:sz="6" w:space="0" w:color="D1D9E0"/>
          <w:bottom w:val="single" w:sz="6" w:space="0" w:color="D1D9E0"/>
          <w:right w:val="single" w:sz="6" w:space="0" w:color="D1D9E0"/>
          <w:insideH w:val="single" w:sz="6" w:space="0" w:color="D1D9E0"/>
          <w:insideV w:val="single" w:sz="6" w:space="0" w:color="D1D9E0"/>
        </w:tblBorders>
        <w:tblCellMar>
          <w:top w:w="60" w:type="dxa"/>
          <w:left w:w="100" w:type="dxa"/>
          <w:bottom w:w="60" w:type="dxa"/>
          <w:right w:w="100" w:type="dxa"/>
        </w:tblCellMar>
        <w:tblLook w:val="04A0" w:firstRow="1" w:lastRow="0" w:firstColumn="1" w:lastColumn="0" w:noHBand="0" w:noVBand="1"/>
      </w:tblPr>
      <w:tblGrid>
        <w:gridCol w:w="2375"/>
        <w:gridCol w:w="2375"/>
        <w:gridCol w:w="2375"/>
        <w:gridCol w:w="2375"/>
      </w:tblGrid>
      <w:tr>
        <w:tc>
          <w:tcPr>
            <w:tcW w:w="2375" w:type="dxa"/>
          </w:tcPr>
          <w:p>
            <w:r>
              <w:rPr>
                <w:b/>
                <w:bCs/>
              </w:rPr>
              <w:t xml:space="preserve">Scene configuration</w:t>
            </w:r>
          </w:p>
        </w:tc>
        <w:tc>
          <w:tcPr>
            <w:tcW w:w="2375" w:type="dxa"/>
          </w:tcPr>
          <w:p>
            <w:r>
              <w:rPr>
                <w:b/>
                <w:bCs/>
              </w:rPr>
              <w:t xml:space="preserve">R² @ 0–750 m</w:t>
            </w:r>
          </w:p>
        </w:tc>
        <w:tc>
          <w:tcPr>
            <w:tcW w:w="2375" w:type="dxa"/>
          </w:tcPr>
          <w:p>
            <w:r>
              <w:rPr>
                <w:b/>
                <w:bCs/>
              </w:rPr>
              <w:t xml:space="preserve">R² @ 0–1000 m</w:t>
            </w:r>
          </w:p>
        </w:tc>
        <w:tc>
          <w:tcPr>
            <w:tcW w:w="2375" w:type="dxa"/>
          </w:tcPr>
          <w:p>
            <w:r>
              <w:rPr>
                <w:b/>
                <w:bCs/>
              </w:rPr>
              <w:t xml:space="preserve">R² @ 0–1250 m</w:t>
            </w:r>
          </w:p>
        </w:tc>
      </w:tr>
      <w:tr>
        <w:tc>
          <w:tcPr>
            <w:tcW w:w="2375" w:type="dxa"/>
          </w:tcPr>
          <w:p>
            <w:r>
              <w:t xml:space="preserve">Buildings + terrain only (baseline)</w:t>
            </w:r>
          </w:p>
        </w:tc>
        <w:tc>
          <w:tcPr>
            <w:tcW w:w="2375" w:type="dxa"/>
          </w:tcPr>
          <w:p>
            <w:r>
              <w:t xml:space="preserve">0.716</w:t>
            </w:r>
          </w:p>
        </w:tc>
        <w:tc>
          <w:tcPr>
            <w:tcW w:w="2375" w:type="dxa"/>
          </w:tcPr>
          <w:p>
            <w:r>
              <w:t xml:space="preserve">0.679</w:t>
            </w:r>
          </w:p>
        </w:tc>
        <w:tc>
          <w:tcPr>
            <w:tcW w:w="2375" w:type="dxa"/>
          </w:tcPr>
          <w:p>
            <w:r>
              <w:t xml:space="preserve">0.496</w:t>
            </w:r>
          </w:p>
        </w:tc>
      </w:tr>
      <w:tr>
        <w:tc>
          <w:tcPr>
            <w:tcW w:w="2375" w:type="dxa"/>
          </w:tcPr>
          <w:p>
            <w:r>
              <w:t xml:space="preserve">+ grid-disc vegetation</w:t>
            </w:r>
          </w:p>
        </w:tc>
        <w:tc>
          <w:tcPr>
            <w:tcW w:w="2375" w:type="dxa"/>
          </w:tcPr>
          <w:p>
            <w:r>
              <w:t xml:space="preserve">0.692</w:t>
            </w:r>
          </w:p>
        </w:tc>
        <w:tc>
          <w:tcPr>
            <w:tcW w:w="2375" w:type="dxa"/>
          </w:tcPr>
          <w:p>
            <w:r>
              <w:t xml:space="preserve">0.691</w:t>
            </w:r>
          </w:p>
        </w:tc>
        <w:tc>
          <w:tcPr>
            <w:tcW w:w="2375" w:type="dxa"/>
          </w:tcPr>
          <w:p>
            <w:r>
              <w:t xml:space="preserve">0.383</w:t>
            </w:r>
          </w:p>
        </w:tc>
      </w:tr>
      <w:tr>
        <w:tc>
          <w:tcPr>
            <w:tcW w:w="2375" w:type="dxa"/>
          </w:tcPr>
          <w:p>
            <w:r>
              <w:t xml:space="preserve">+ roads, water, vegetation (calibrated)</w:t>
            </w:r>
          </w:p>
        </w:tc>
        <w:tc>
          <w:tcPr>
            <w:tcW w:w="2375" w:type="dxa"/>
          </w:tcPr>
          <w:p>
            <w:r>
              <w:t xml:space="preserve">0.696</w:t>
            </w:r>
          </w:p>
        </w:tc>
        <w:tc>
          <w:tcPr>
            <w:tcW w:w="2375" w:type="dxa"/>
          </w:tcPr>
          <w:p>
            <w:r>
              <w:t xml:space="preserve">0.609</w:t>
            </w:r>
          </w:p>
        </w:tc>
        <w:tc>
          <w:tcPr>
            <w:tcW w:w="2375" w:type="dxa"/>
          </w:tcPr>
          <w:p>
            <w:r>
              <w:t xml:space="preserve">0.401</w:t>
            </w:r>
          </w:p>
        </w:tc>
      </w:tr>
      <w:tr>
        <w:tc>
          <w:tcPr>
            <w:tcW w:w="2375" w:type="dxa"/>
          </w:tcPr>
          <w:p>
            <w:r>
              <w:t xml:space="preserve">+ bridges, railways (uncalibrated)</w:t>
            </w:r>
          </w:p>
        </w:tc>
        <w:tc>
          <w:tcPr>
            <w:tcW w:w="2375" w:type="dxa"/>
          </w:tcPr>
          <w:p>
            <w:r>
              <w:t xml:space="preserve">0.555</w:t>
            </w:r>
          </w:p>
        </w:tc>
        <w:tc>
          <w:tcPr>
            <w:tcW w:w="2375" w:type="dxa"/>
          </w:tcPr>
          <w:p>
            <w:r>
              <w:t xml:space="preserve">0.530</w:t>
            </w:r>
          </w:p>
        </w:tc>
        <w:tc>
          <w:tcPr>
            <w:tcW w:w="2375" w:type="dxa"/>
          </w:tcPr>
          <w:p>
            <w:r>
              <w:t xml:space="preserve">0.487</w:t>
            </w:r>
          </w:p>
        </w:tc>
      </w:tr>
      <w:tr>
        <w:tc>
          <w:tcPr>
            <w:tcW w:w="2375" w:type="dxa"/>
          </w:tcPr>
          <w:p>
            <w:r>
              <w:t xml:space="preserve">Full scene, recalibrated (100M eval samples, 0.15 km near-field floor)</w:t>
            </w:r>
          </w:p>
        </w:tc>
        <w:tc>
          <w:tcPr>
            <w:tcW w:w="2375" w:type="dxa"/>
          </w:tcPr>
          <w:p>
            <w:r>
              <w:rPr>
                <w:b/>
                <w:bCs/>
              </w:rPr>
              <w:t xml:space="preserve">0.835</w:t>
            </w:r>
          </w:p>
        </w:tc>
        <w:tc>
          <w:tcPr>
            <w:tcW w:w="2375" w:type="dxa"/>
          </w:tcPr>
          <w:p>
            <w:r>
              <w:rPr>
                <w:b/>
                <w:bCs/>
              </w:rPr>
              <w:t xml:space="preserve">0.813</w:t>
            </w:r>
          </w:p>
        </w:tc>
        <w:tc>
          <w:tcPr>
            <w:tcW w:w="2375" w:type="dxa"/>
          </w:tcPr>
          <w:p>
            <w:r>
              <w:rPr>
                <w:b/>
                <w:bCs/>
              </w:rPr>
              <w:t xml:space="preserve">0.741</w:t>
            </w:r>
          </w:p>
        </w:tc>
      </w:tr>
    </w:tbl>
    <w:p/>
    <w:p>
      <w:pPr>
        <w:spacing w:after="160"/>
      </w:pPr>
      <w:r>
        <w:rPr>
          <w:i/>
          <w:iCs/>
        </w:rPr>
        <w:t xml:space="preserve">Table 3.1 — Iterative scene-evolution methodology, Nottingham 915 MHz (ON incoherent method). Each row adds scene features to the previous configuration and re-evaluates against the Ofcom measurements before proceeding, isolating the effect of each addition rather than reporting only a final combined result.</w:t>
      </w:r>
    </w:p>
    <w:p>
      <w:pPr>
        <w:pStyle w:val="Heading2"/>
      </w:pPr>
      <w:r>
        <w:t xml:space="preserve">3.2 Tools, Models, Software, and Data Used</w:t>
      </w:r>
    </w:p>
    <w:tbl>
      <w:tblPr>
        <w:tblW w:w="9500" w:type="dxa"/>
        <w:tblBorders>
          <w:top w:val="single" w:sz="6" w:space="0" w:color="D1D9E0"/>
          <w:left w:val="single" w:sz="6" w:space="0" w:color="D1D9E0"/>
          <w:bottom w:val="single" w:sz="6" w:space="0" w:color="D1D9E0"/>
          <w:right w:val="single" w:sz="6" w:space="0" w:color="D1D9E0"/>
          <w:insideH w:val="single" w:sz="6" w:space="0" w:color="D1D9E0"/>
          <w:insideV w:val="single" w:sz="6" w:space="0" w:color="D1D9E0"/>
        </w:tblBorders>
        <w:tblCellMar>
          <w:top w:w="60" w:type="dxa"/>
          <w:left w:w="100" w:type="dxa"/>
          <w:bottom w:w="60" w:type="dxa"/>
          <w:right w:w="100" w:type="dxa"/>
        </w:tblCellMar>
        <w:tblLook w:val="04A0" w:firstRow="1" w:lastRow="0" w:firstColumn="1" w:lastColumn="0" w:noHBand="0" w:noVBand="1"/>
      </w:tblPr>
      <w:tblGrid>
        <w:gridCol w:w="2375"/>
        <w:gridCol w:w="2375"/>
        <w:gridCol w:w="2375"/>
        <w:gridCol w:w="2375"/>
      </w:tblGrid>
      <w:tr>
        <w:tc>
          <w:tcPr>
            <w:tcW w:w="2375" w:type="dxa"/>
          </w:tcPr>
          <w:p>
            <w:r>
              <w:rPr>
                <w:b/>
                <w:bCs/>
              </w:rPr>
              <w:t xml:space="preserve">Tool / Data</w:t>
            </w:r>
          </w:p>
        </w:tc>
        <w:tc>
          <w:tcPr>
            <w:tcW w:w="2375" w:type="dxa"/>
          </w:tcPr>
          <w:p>
            <w:r>
              <w:rPr>
                <w:b/>
                <w:bCs/>
              </w:rPr>
              <w:t xml:space="preserve">Role in this research</w:t>
            </w:r>
          </w:p>
        </w:tc>
        <w:tc>
          <w:tcPr>
            <w:tcW w:w="2375" w:type="dxa"/>
          </w:tcPr>
          <w:p>
            <w:r>
              <w:rPr>
                <w:b/>
                <w:bCs/>
              </w:rPr>
              <w:t xml:space="preserve">Why appropriate</w:t>
            </w:r>
          </w:p>
        </w:tc>
        <w:tc>
          <w:tcPr>
            <w:tcW w:w="2375" w:type="dxa"/>
          </w:tcPr>
          <w:p>
            <w:r>
              <w:rPr>
                <w:b/>
                <w:bCs/>
              </w:rPr>
              <w:t xml:space="preserve">Reference</w:t>
            </w:r>
          </w:p>
        </w:tc>
      </w:tr>
      <w:tr>
        <w:tc>
          <w:tcPr>
            <w:tcW w:w="2375" w:type="dxa"/>
          </w:tcPr>
          <w:p>
            <w:r>
              <w:rPr>
                <w:b/>
                <w:bCs/>
              </w:rPr>
              <w:t xml:space="preserve">Sionna RT 2.0</w:t>
            </w:r>
            <w:r>
              <w:t xml:space="preserve"> (migrated from an earlier Sionna 0.19 pipeline via a dedicated migration script)</w:t>
            </w:r>
          </w:p>
        </w:tc>
        <w:tc>
          <w:tcPr>
            <w:tcW w:w="2375" w:type="dxa"/>
          </w:tcPr>
          <w:p>
            <w:r>
              <w:t xml:space="preserve">Core ray-tracing engine: resolves reflection, diffraction, and scattering paths between transmitter and receivers</w:t>
            </w:r>
          </w:p>
        </w:tc>
        <w:tc>
          <w:tcPr>
            <w:tcW w:w="2375" w:type="dxa"/>
          </w:tcPr>
          <w:p>
            <w:r>
              <w:t xml:space="preserve">GPU-accelerated, differentiable, open-source — supports the sample counts (up to 100M per evaluation) and repeated re-calibration this thesis requires, and its </w:t>
            </w:r>
            <w:r>
              <w:rPr>
                <w:rFonts w:ascii="Consolas" w:hAnsi="Consolas"/>
              </w:rPr>
              <w:t xml:space="preserve">RadioMaterial</w:t>
            </w:r>
            <w:r>
              <w:t xml:space="preserve">/</w:t>
            </w:r>
            <w:r>
              <w:rPr>
                <w:rFonts w:ascii="Consolas" w:hAnsi="Consolas"/>
              </w:rPr>
              <w:t xml:space="preserve">PathSolver</w:t>
            </w:r>
            <w:r>
              <w:t xml:space="preserve">/</w:t>
            </w:r>
            <w:r>
              <w:rPr>
                <w:rFonts w:ascii="Consolas" w:hAnsi="Consolas"/>
              </w:rPr>
              <w:t xml:space="preserve">RadioMapSolver</w:t>
            </w:r>
            <w:r>
              <w:t xml:space="preserve"> API directly implements the theory in Sections 2.1.2–2.1.6</w:t>
            </w:r>
          </w:p>
        </w:tc>
        <w:tc>
          <w:tcPr>
            <w:tcW w:w="2375" w:type="dxa"/>
          </w:tcPr>
          <w:p>
            <w:r>
              <w:t xml:space="preserve">[3]</w:t>
            </w:r>
          </w:p>
        </w:tc>
      </w:tr>
      <w:tr>
        <w:tc>
          <w:tcPr>
            <w:tcW w:w="2375" w:type="dxa"/>
          </w:tcPr>
          <w:p>
            <w:r>
              <w:rPr>
                <w:b/>
                <w:bCs/>
              </w:rPr>
              <w:t xml:space="preserve">Mitsuba 3</w:t>
            </w:r>
            <w:r>
              <w:t xml:space="preserve"> + </w:t>
            </w:r>
            <w:r>
              <w:rPr>
                <w:b/>
                <w:bCs/>
              </w:rPr>
              <w:t xml:space="preserve">Dr.Jit</w:t>
            </w:r>
          </w:p>
        </w:tc>
        <w:tc>
          <w:tcPr>
            <w:tcW w:w="2375" w:type="dxa"/>
          </w:tcPr>
          <w:p>
            <w:r>
              <w:t xml:space="preserve">Rendering/geometry backend and differentiable JIT compiler underlying Sionna RT</w:t>
            </w:r>
          </w:p>
        </w:tc>
        <w:tc>
          <w:tcPr>
            <w:tcW w:w="2375" w:type="dxa"/>
          </w:tcPr>
          <w:p>
            <w:r>
              <w:t xml:space="preserve">Required dependency of Sionna RT; </w:t>
            </w:r>
            <w:r>
              <w:rPr>
                <w:rFonts w:ascii="Consolas" w:hAnsi="Consolas"/>
              </w:rPr>
              <w:t xml:space="preserve">cuda_ad_rgb</w:t>
            </w:r>
            <w:r>
              <w:t xml:space="preserve"> variant enables GPU execution (Section 4.2)</w:t>
            </w:r>
          </w:p>
        </w:tc>
        <w:tc>
          <w:tcPr>
            <w:tcW w:w="2375" w:type="dxa"/>
          </w:tcPr>
          <w:p>
            <w:r>
              <w:t xml:space="preserve">[12], [13]</w:t>
            </w:r>
          </w:p>
        </w:tc>
      </w:tr>
      <w:tr>
        <w:tc>
          <w:tcPr>
            <w:tcW w:w="2375" w:type="dxa"/>
          </w:tcPr>
          <w:p>
            <w:r>
              <w:rPr>
                <w:b/>
                <w:bCs/>
              </w:rPr>
              <w:t xml:space="preserve">UK Environment Agency LiDAR</w:t>
            </w:r>
            <w:r>
              <w:t xml:space="preserve"> (1 m DTM/DSM, merged and nDSM-derived)</w:t>
            </w:r>
          </w:p>
        </w:tc>
        <w:tc>
          <w:tcPr>
            <w:tcW w:w="2375" w:type="dxa"/>
          </w:tcPr>
          <w:p>
            <w:r>
              <w:t xml:space="preserve">Terrain elevation and vegetation-canopy-height data for scene construction (Nottingham, London, Stevenage — Hertfordshire is within EA coverage, confirmed against the Stevenage-specific scene-builder notebook, Table 4.6)</w:t>
            </w:r>
          </w:p>
        </w:tc>
        <w:tc>
          <w:tcPr>
            <w:tcW w:w="2375" w:type="dxa"/>
          </w:tcPr>
          <w:p>
            <w:r>
              <w:t xml:space="preserve">Highest-resolution open terrain data available for England; nDSM (DSM − DTM) recovers above-ground clutter height not present in OSM tags</w:t>
            </w:r>
          </w:p>
        </w:tc>
        <w:tc>
          <w:tcPr>
            <w:tcW w:w="2375" w:type="dxa"/>
          </w:tcPr>
          <w:p>
            <w:r>
              <w:t xml:space="preserve">[8]</w:t>
            </w:r>
          </w:p>
        </w:tc>
      </w:tr>
      <w:tr>
        <w:tc>
          <w:tcPr>
            <w:tcW w:w="2375" w:type="dxa"/>
          </w:tcPr>
          <w:p>
            <w:r>
              <w:rPr>
                <w:b/>
                <w:bCs/>
              </w:rPr>
              <w:t xml:space="preserve">SRTM 30 m DEM</w:t>
            </w:r>
          </w:p>
        </w:tc>
        <w:tc>
          <w:tcPr>
            <w:tcW w:w="2375" w:type="dxa"/>
          </w:tcPr>
          <w:p>
            <w:r>
              <w:t xml:space="preserve">Terrain elevation data for Scar Hill (Scotland, north of the EA LiDAR coverage boundary at ~55.9°N)</w:t>
            </w:r>
          </w:p>
        </w:tc>
        <w:tc>
          <w:tcPr>
            <w:tcW w:w="2375" w:type="dxa"/>
          </w:tcPr>
          <w:p>
            <w:r>
              <w:t xml:space="preserve">Only terrain source available for this site at project time; its coarser resolution is treated as an explicit constraint (Section 3.3), not silently absorbed into the result</w:t>
            </w:r>
          </w:p>
        </w:tc>
        <w:tc>
          <w:tcPr>
            <w:tcW w:w="2375" w:type="dxa"/>
          </w:tcPr>
          <w:p>
            <w:r>
              <w:t xml:space="preserve">—</w:t>
            </w:r>
          </w:p>
        </w:tc>
      </w:tr>
      <w:tr>
        <w:tc>
          <w:tcPr>
            <w:tcW w:w="2375" w:type="dxa"/>
          </w:tcPr>
          <w:p>
            <w:r>
              <w:rPr>
                <w:b/>
                <w:bCs/>
              </w:rPr>
              <w:t xml:space="preserve">OpenStreetMap</w:t>
            </w:r>
            <w:r>
              <w:t xml:space="preserve"> (via </w:t>
            </w:r>
            <w:r>
              <w:rPr>
                <w:rFonts w:ascii="Consolas" w:hAnsi="Consolas"/>
              </w:rPr>
              <w:t xml:space="preserve">osmnx</w:t>
            </w:r>
            <w:r>
              <w:t xml:space="preserve">, </w:t>
            </w:r>
            <w:r>
              <w:rPr>
                <w:rFonts w:ascii="Consolas" w:hAnsi="Consolas"/>
              </w:rPr>
              <w:t xml:space="preserve">geopandas</w:t>
            </w:r>
            <w:r>
              <w:t xml:space="preserve">)</w:t>
            </w:r>
          </w:p>
        </w:tc>
        <w:tc>
          <w:tcPr>
            <w:tcW w:w="2375" w:type="dxa"/>
          </w:tcPr>
          <w:p>
            <w:r>
              <w:t xml:space="preserve">Building footprints, road, water, and land-use polygons</w:t>
            </w:r>
          </w:p>
        </w:tc>
        <w:tc>
          <w:tcPr>
            <w:tcW w:w="2375" w:type="dxa"/>
          </w:tcPr>
          <w:p>
            <w:r>
              <w:t xml:space="preserve">Free, continuously updated, and already the standard geometry source paired with LiDAR in the literature (Section 2.1.3)</w:t>
            </w:r>
          </w:p>
        </w:tc>
        <w:tc>
          <w:tcPr>
            <w:tcW w:w="2375" w:type="dxa"/>
          </w:tcPr>
          <w:p>
            <w:r>
              <w:t xml:space="preserve">OpenStreetMap contributors</w:t>
            </w:r>
          </w:p>
        </w:tc>
      </w:tr>
      <w:tr>
        <w:tc>
          <w:tcPr>
            <w:tcW w:w="2375" w:type="dxa"/>
          </w:tcPr>
          <w:p>
            <w:r>
              <w:rPr>
                <w:b/>
                <w:bCs/>
              </w:rPr>
              <w:t xml:space="preserve">Blender</w:t>
            </w:r>
          </w:p>
        </w:tc>
        <w:tc>
          <w:tcPr>
            <w:tcW w:w="2375" w:type="dxa"/>
          </w:tcPr>
          <w:p>
            <w:r>
              <w:t xml:space="preserve">Authoring/refining building geometry beyond raw OSM footprints; standardising material names to Sionna's taxonomy and exporting per-material PLY meshes</w:t>
            </w:r>
          </w:p>
        </w:tc>
        <w:tc>
          <w:tcPr>
            <w:tcW w:w="2375" w:type="dxa"/>
          </w:tcPr>
          <w:p>
            <w:r>
              <w:t xml:space="preserve">Needed where OSM footprint/height data alone is insufficient for a given building; the dedicated Blender→Sionna 2.0 baking guide documents this as a repeatable, three-phase procedure (preserve original → standardise materials → export PLYs per material)</w:t>
            </w:r>
          </w:p>
        </w:tc>
        <w:tc>
          <w:tcPr>
            <w:tcW w:w="2375" w:type="dxa"/>
          </w:tcPr>
          <w:p>
            <w:r>
              <w:t xml:space="preserve">—</w:t>
            </w:r>
          </w:p>
        </w:tc>
      </w:tr>
      <w:tr>
        <w:tc>
          <w:tcPr>
            <w:tcW w:w="2375" w:type="dxa"/>
          </w:tcPr>
          <w:p>
            <w:r>
              <w:rPr>
                <w:b/>
                <w:bCs/>
              </w:rPr>
              <w:t xml:space="preserve">Ofcom 2018 UK Radiowave Propagation Measurement dataset</w:t>
            </w:r>
          </w:p>
        </w:tc>
        <w:tc>
          <w:tcPr>
            <w:tcW w:w="2375" w:type="dxa"/>
          </w:tcPr>
          <w:p>
            <w:r>
              <w:t xml:space="preserve">Ground-truth path-loss measurements for calibration and evaluation</w:t>
            </w:r>
          </w:p>
        </w:tc>
        <w:tc>
          <w:tcPr>
            <w:tcW w:w="2375" w:type="dxa"/>
          </w:tcPr>
          <w:p>
            <w:r>
              <w:t xml:space="preserve">Large (8.2M measurements), public, multi-frequency (six bands, 449 MHz–5850 MHz), multi-site — the only dataset identified in Chapter 2 combining these properties at sub-6 GHz</w:t>
            </w:r>
          </w:p>
        </w:tc>
        <w:tc>
          <w:tcPr>
            <w:tcW w:w="2375" w:type="dxa"/>
          </w:tcPr>
          <w:p>
            <w:r>
              <w:t xml:space="preserve">[5]</w:t>
            </w:r>
          </w:p>
        </w:tc>
      </w:tr>
      <w:tr>
        <w:tc>
          <w:tcPr>
            <w:tcW w:w="2375" w:type="dxa"/>
          </w:tcPr>
          <w:p>
            <w:r>
              <w:rPr>
                <w:b/>
                <w:bCs/>
              </w:rPr>
              <w:t xml:space="preserve">ITU-R P.2040-2</w:t>
            </w:r>
          </w:p>
        </w:tc>
        <w:tc>
          <w:tcPr>
            <w:tcW w:w="2375" w:type="dxa"/>
          </w:tcPr>
          <w:p>
            <w:r>
              <w:t xml:space="preserve">Initial (pre-calibration) material permittivity/conductivity values</w:t>
            </w:r>
          </w:p>
        </w:tc>
        <w:tc>
          <w:tcPr>
            <w:tcW w:w="2375" w:type="dxa"/>
          </w:tcPr>
          <w:p>
            <w:r>
              <w:t xml:space="preserve">Standard, citable reference values rather than arbitrary starting points for the Powell optimiser</w:t>
            </w:r>
          </w:p>
        </w:tc>
        <w:tc>
          <w:tcPr>
            <w:tcW w:w="2375" w:type="dxa"/>
          </w:tcPr>
          <w:p>
            <w:r>
              <w:t xml:space="preserve">[17]</w:t>
            </w:r>
          </w:p>
        </w:tc>
      </w:tr>
      <w:tr>
        <w:tc>
          <w:tcPr>
            <w:tcW w:w="2375" w:type="dxa"/>
          </w:tcPr>
          <w:p>
            <w:r>
              <w:rPr>
                <w:b/>
                <w:bCs/>
              </w:rPr>
              <w:t xml:space="preserve">ITU-R P.833-10</w:t>
            </w:r>
            <w:r>
              <w:t xml:space="preserve"> / </w:t>
            </w:r>
            <w:r>
              <w:rPr>
                <w:b/>
                <w:bCs/>
              </w:rPr>
              <w:t xml:space="preserve">Weissberger's model</w:t>
            </w:r>
          </w:p>
        </w:tc>
        <w:tc>
          <w:tcPr>
            <w:tcW w:w="2375" w:type="dxa"/>
          </w:tcPr>
          <w:p>
            <w:r>
              <w:t xml:space="preserve">Vegetation attenuation post-processing</w:t>
            </w:r>
          </w:p>
        </w:tc>
        <w:tc>
          <w:tcPr>
            <w:tcW w:w="2375" w:type="dxa"/>
          </w:tcPr>
          <w:p>
            <w:r>
              <w:t xml:space="preserve">Weissberger used at 915/1802 MHz (its original validated range); ITU-R P.833-10 preferred at 2695/3602 MHz where Weissberger is known to under-estimate attenuation by ~40% (Section 2.1.7)</w:t>
            </w:r>
          </w:p>
        </w:tc>
        <w:tc>
          <w:tcPr>
            <w:tcW w:w="2375" w:type="dxa"/>
          </w:tcPr>
          <w:p>
            <w:r>
              <w:t xml:space="preserve">[16], [18]</w:t>
            </w:r>
          </w:p>
        </w:tc>
      </w:tr>
      <w:tr>
        <w:tc>
          <w:tcPr>
            <w:tcW w:w="2375" w:type="dxa"/>
          </w:tcPr>
          <w:p>
            <w:r>
              <w:rPr>
                <w:b/>
                <w:bCs/>
              </w:rPr>
              <w:t xml:space="preserve">ITU-R P.1411-10</w:t>
            </w:r>
            <w:r>
              <w:t xml:space="preserve"> / </w:t>
            </w:r>
            <w:r>
              <w:rPr>
                <w:b/>
                <w:bCs/>
              </w:rPr>
              <w:t xml:space="preserve">3GPP TR 38.901</w:t>
            </w:r>
          </w:p>
        </w:tc>
        <w:tc>
          <w:tcPr>
            <w:tcW w:w="2375" w:type="dxa"/>
          </w:tcPr>
          <w:p>
            <w:r>
              <w:t xml:space="preserve">Dual-slope breakpoint distance formula (Equation 2.13)</w:t>
            </w:r>
          </w:p>
        </w:tc>
        <w:tc>
          <w:tcPr>
            <w:tcW w:w="2375" w:type="dxa"/>
          </w:tcPr>
          <w:p>
            <w:r>
              <w:t xml:space="preserve">Determines the LOS-regime distance bound used to scope calibration at each frequency (Section 3.3)</w:t>
            </w:r>
          </w:p>
        </w:tc>
        <w:tc>
          <w:tcPr>
            <w:tcW w:w="2375" w:type="dxa"/>
          </w:tcPr>
          <w:p>
            <w:r>
              <w:t xml:space="preserve">[15], [6]</w:t>
            </w:r>
          </w:p>
        </w:tc>
      </w:tr>
      <w:tr>
        <w:tc>
          <w:tcPr>
            <w:tcW w:w="2375" w:type="dxa"/>
          </w:tcPr>
          <w:p>
            <w:r>
              <w:rPr>
                <w:b/>
                <w:bCs/>
              </w:rPr>
              <w:t xml:space="preserve">Powell's conjugate-direction method</w:t>
            </w:r>
            <w:r>
              <w:t xml:space="preserve"> (via </w:t>
            </w:r>
            <w:r>
              <w:rPr>
                <w:rFonts w:ascii="Consolas" w:hAnsi="Consolas"/>
              </w:rPr>
              <w:t xml:space="preserve">scipy.optimize</w:t>
            </w:r>
            <w:r>
              <w:t xml:space="preserve">)</w:t>
            </w:r>
          </w:p>
        </w:tc>
        <w:tc>
          <w:tcPr>
            <w:tcW w:w="2375" w:type="dxa"/>
          </w:tcPr>
          <w:p>
            <w:r>
              <w:t xml:space="preserve">Material-parameter calibration algorithm</w:t>
            </w:r>
          </w:p>
        </w:tc>
        <w:tc>
          <w:tcPr>
            <w:tcW w:w="2375" w:type="dxa"/>
          </w:tcPr>
          <w:p>
            <w:r>
              <w:t xml:space="preserve">Derivative-free, well-suited to a black-box objective (simulated vs. measured RMSE) where gradients of the full ray-tracing pipeline are not exposed in the Sionna 0.19-era pipeline used for several sites</w:t>
            </w:r>
          </w:p>
        </w:tc>
        <w:tc>
          <w:tcPr>
            <w:tcW w:w="2375" w:type="dxa"/>
          </w:tcPr>
          <w:p>
            <w:r>
              <w:t xml:space="preserve">[28]</w:t>
            </w:r>
          </w:p>
        </w:tc>
      </w:tr>
      <w:tr>
        <w:tc>
          <w:tcPr>
            <w:tcW w:w="2375" w:type="dxa"/>
          </w:tcPr>
          <w:p>
            <w:r>
              <w:rPr>
                <w:b/>
                <w:bCs/>
              </w:rPr>
              <w:t xml:space="preserve">Python geospatial stack</w:t>
            </w:r>
            <w:r>
              <w:t xml:space="preserve"> (</w:t>
            </w:r>
            <w:r>
              <w:rPr>
                <w:rFonts w:ascii="Consolas" w:hAnsi="Consolas"/>
              </w:rPr>
              <w:t xml:space="preserve">geopandas</w:t>
            </w:r>
            <w:r>
              <w:t xml:space="preserve">, </w:t>
            </w:r>
            <w:r>
              <w:rPr>
                <w:rFonts w:ascii="Consolas" w:hAnsi="Consolas"/>
              </w:rPr>
              <w:t xml:space="preserve">rasterio</w:t>
            </w:r>
            <w:r>
              <w:t xml:space="preserve">, </w:t>
            </w:r>
            <w:r>
              <w:rPr>
                <w:rFonts w:ascii="Consolas" w:hAnsi="Consolas"/>
              </w:rPr>
              <w:t xml:space="preserve">pyproj</w:t>
            </w:r>
            <w:r>
              <w:t xml:space="preserve">, </w:t>
            </w:r>
            <w:r>
              <w:rPr>
                <w:rFonts w:ascii="Consolas" w:hAnsi="Consolas"/>
              </w:rPr>
              <w:t xml:space="preserve">shapely</w:t>
            </w:r>
            <w:r>
              <w:t xml:space="preserve">, pinned versions in </w:t>
            </w:r>
            <w:r>
              <w:rPr>
                <w:rFonts w:ascii="Consolas" w:hAnsi="Consolas"/>
              </w:rPr>
              <w:t xml:space="preserve">requirements_sionna019.txt</w:t>
            </w:r>
            <w:r>
              <w:t xml:space="preserve">)</w:t>
            </w:r>
          </w:p>
        </w:tc>
        <w:tc>
          <w:tcPr>
            <w:tcW w:w="2375" w:type="dxa"/>
          </w:tcPr>
          <w:p>
            <w:r>
              <w:t xml:space="preserve">Coordinate transforms (WGS84 ↔ EPSG:27700 British National Grid ↔ local scene metres), raster/vector data handling</w:t>
            </w:r>
          </w:p>
        </w:tc>
        <w:tc>
          <w:tcPr>
            <w:tcW w:w="2375" w:type="dxa"/>
          </w:tcPr>
          <w:p>
            <w:r>
              <w:t xml:space="preserve">Standard, well-maintained libraries for exactly this class of geospatial processing; exact pinned versions documented for reproducibility (Section 4.2)</w:t>
            </w:r>
          </w:p>
        </w:tc>
        <w:tc>
          <w:tcPr>
            <w:tcW w:w="2375" w:type="dxa"/>
          </w:tcPr>
          <w:p>
            <w:r>
              <w:t xml:space="preserve">—</w:t>
            </w:r>
          </w:p>
        </w:tc>
      </w:tr>
      <w:tr>
        <w:tc>
          <w:tcPr>
            <w:tcW w:w="2375" w:type="dxa"/>
          </w:tcPr>
          <w:p>
            <w:r>
              <w:rPr>
                <w:b/>
                <w:bCs/>
              </w:rPr>
              <w:t xml:space="preserve">NVIDIA Tesla V100-SXM2-16GB GPU</w:t>
            </w:r>
            <w:r>
              <w:t xml:space="preserve">, 12-vCPU Xeon Platinum 8176, 62 GiB RAM VM</w:t>
            </w:r>
          </w:p>
        </w:tc>
        <w:tc>
          <w:tcPr>
            <w:tcW w:w="2375" w:type="dxa"/>
          </w:tcPr>
          <w:p>
            <w:r>
              <w:t xml:space="preserve">Compute platform for all ray-tracing runs</w:t>
            </w:r>
          </w:p>
        </w:tc>
        <w:tc>
          <w:tcPr>
            <w:tcW w:w="2375" w:type="dxa"/>
          </w:tcPr>
          <w:p>
            <w:r>
              <w:t xml:space="preserve">Confirmed via </w:t>
            </w:r>
            <w:r>
              <w:rPr>
                <w:rFonts w:ascii="Consolas" w:hAnsi="Consolas"/>
              </w:rPr>
              <w:t xml:space="preserve">nvidia-smi</w:t>
            </w:r>
            <w:r>
              <w:t xml:space="preserve">/</w:t>
            </w:r>
            <w:r>
              <w:rPr>
                <w:rFonts w:ascii="Consolas" w:hAnsi="Consolas"/>
              </w:rPr>
              <w:t xml:space="preserve">lscpu</w:t>
            </w:r>
            <w:r>
              <w:t xml:space="preserve">/</w:t>
            </w:r>
            <w:r>
              <w:rPr>
                <w:rFonts w:ascii="Consolas" w:hAnsi="Consolas"/>
              </w:rPr>
              <w:t xml:space="preserve">free -h</w:t>
            </w:r>
            <w:r>
              <w:t xml:space="preserve"> (Section 4.2); GPU acceleration is what makes the 30–100 million sample counts used here practical</w:t>
            </w:r>
          </w:p>
        </w:tc>
        <w:tc>
          <w:tcPr>
            <w:tcW w:w="2375" w:type="dxa"/>
          </w:tcPr>
          <w:p>
            <w:r>
              <w:t xml:space="preserve">—</w:t>
            </w:r>
          </w:p>
        </w:tc>
      </w:tr>
    </w:tbl>
    <w:p/>
    <w:p>
      <w:pPr>
        <w:spacing w:after="160"/>
      </w:pPr>
      <w:r>
        <w:rPr>
          <w:i/>
          <w:iCs/>
        </w:rPr>
        <w:t xml:space="preserve">[TABLE 3.2]</w:t>
      </w:r>
    </w:p>
    <w:tbl>
      <w:tblPr>
        <w:tblW w:w="9500" w:type="dxa"/>
        <w:tblBorders>
          <w:top w:val="single" w:sz="6" w:space="0" w:color="D1D9E0"/>
          <w:left w:val="single" w:sz="6" w:space="0" w:color="D1D9E0"/>
          <w:bottom w:val="single" w:sz="6" w:space="0" w:color="D1D9E0"/>
          <w:right w:val="single" w:sz="6" w:space="0" w:color="D1D9E0"/>
          <w:insideH w:val="single" w:sz="6" w:space="0" w:color="D1D9E0"/>
          <w:insideV w:val="single" w:sz="6" w:space="0" w:color="D1D9E0"/>
        </w:tblBorders>
        <w:tblCellMar>
          <w:top w:w="60" w:type="dxa"/>
          <w:left w:w="100" w:type="dxa"/>
          <w:bottom w:w="60" w:type="dxa"/>
          <w:right w:w="100" w:type="dxa"/>
        </w:tblCellMar>
        <w:tblLook w:val="04A0" w:firstRow="1" w:lastRow="0" w:firstColumn="1" w:lastColumn="0" w:noHBand="0" w:noVBand="1"/>
      </w:tblPr>
      <w:tblGrid>
        <w:gridCol w:w="1900"/>
        <w:gridCol w:w="1900"/>
        <w:gridCol w:w="1900"/>
        <w:gridCol w:w="1900"/>
        <w:gridCol w:w="1900"/>
      </w:tblGrid>
      <w:tr>
        <w:tc>
          <w:tcPr>
            <w:tcW w:w="1900" w:type="dxa"/>
          </w:tcPr>
          <w:p>
            <w:r>
              <w:rPr>
                <w:b/>
                <w:bCs/>
              </w:rPr>
              <w:t xml:space="preserve">Material</w:t>
            </w:r>
          </w:p>
        </w:tc>
        <w:tc>
          <w:tcPr>
            <w:tcW w:w="1900" w:type="dxa"/>
          </w:tcPr>
          <w:p>
            <w:r>
              <w:rPr>
                <w:b/>
                <w:bCs/>
              </w:rPr>
              <w:t xml:space="preserve">ε_r</w:t>
            </w:r>
          </w:p>
        </w:tc>
        <w:tc>
          <w:tcPr>
            <w:tcW w:w="1900" w:type="dxa"/>
          </w:tcPr>
          <w:p>
            <w:r>
              <w:rPr>
                <w:b/>
                <w:bCs/>
              </w:rPr>
              <w:t xml:space="preserve">σ (S/m)</w:t>
            </w:r>
          </w:p>
        </w:tc>
        <w:tc>
          <w:tcPr>
            <w:tcW w:w="1900" w:type="dxa"/>
          </w:tcPr>
          <w:p>
            <w:r>
              <w:rPr>
                <w:b/>
                <w:bCs/>
              </w:rPr>
              <w:t xml:space="preserve">S</w:t>
            </w:r>
          </w:p>
        </w:tc>
        <w:tc>
          <w:tcPr>
            <w:tcW w:w="1900" w:type="dxa"/>
          </w:tcPr>
          <w:p>
            <w:r>
              <w:rPr>
                <w:b/>
                <w:bCs/>
              </w:rPr>
              <w:t xml:space="preserve">Role</w:t>
            </w:r>
          </w:p>
        </w:tc>
      </w:tr>
      <w:tr>
        <w:tc>
          <w:tcPr>
            <w:tcW w:w="1900" w:type="dxa"/>
          </w:tcPr>
          <w:p>
            <w:r>
              <w:t xml:space="preserve">itu_brick</w:t>
            </w:r>
          </w:p>
        </w:tc>
        <w:tc>
          <w:tcPr>
            <w:tcW w:w="1900" w:type="dxa"/>
          </w:tcPr>
          <w:p>
            <w:r>
              <w:t xml:space="preserve">3.02</w:t>
            </w:r>
          </w:p>
        </w:tc>
        <w:tc>
          <w:tcPr>
            <w:tcW w:w="1900" w:type="dxa"/>
          </w:tcPr>
          <w:p>
            <w:r>
              <w:t xml:space="preserve">0.0723</w:t>
            </w:r>
          </w:p>
        </w:tc>
        <w:tc>
          <w:tcPr>
            <w:tcW w:w="1900" w:type="dxa"/>
          </w:tcPr>
          <w:p>
            <w:r>
              <w:t xml:space="preserve">0.509</w:t>
            </w:r>
          </w:p>
        </w:tc>
        <w:tc>
          <w:tcPr>
            <w:tcW w:w="1900" w:type="dxa"/>
          </w:tcPr>
          <w:p>
            <w:r>
              <w:t xml:space="preserve">Buildings</w:t>
            </w:r>
          </w:p>
        </w:tc>
      </w:tr>
      <w:tr>
        <w:tc>
          <w:tcPr>
            <w:tcW w:w="1900" w:type="dxa"/>
          </w:tcPr>
          <w:p>
            <w:r>
              <w:t xml:space="preserve">itu_concrete</w:t>
            </w:r>
          </w:p>
        </w:tc>
        <w:tc>
          <w:tcPr>
            <w:tcW w:w="1900" w:type="dxa"/>
          </w:tcPr>
          <w:p>
            <w:r>
              <w:t xml:space="preserve">6.34</w:t>
            </w:r>
          </w:p>
        </w:tc>
        <w:tc>
          <w:tcPr>
            <w:tcW w:w="1900" w:type="dxa"/>
          </w:tcPr>
          <w:p>
            <w:r>
              <w:t xml:space="preserve">0.1233</w:t>
            </w:r>
          </w:p>
        </w:tc>
        <w:tc>
          <w:tcPr>
            <w:tcW w:w="1900" w:type="dxa"/>
          </w:tcPr>
          <w:p>
            <w:r>
              <w:t xml:space="preserve">0.513</w:t>
            </w:r>
          </w:p>
        </w:tc>
        <w:tc>
          <w:tcPr>
            <w:tcW w:w="1900" w:type="dxa"/>
          </w:tcPr>
          <w:p>
            <w:r>
              <w:t xml:space="preserve">Buildings, bridges</w:t>
            </w:r>
          </w:p>
        </w:tc>
      </w:tr>
      <w:tr>
        <w:tc>
          <w:tcPr>
            <w:tcW w:w="1900" w:type="dxa"/>
          </w:tcPr>
          <w:p>
            <w:r>
              <w:t xml:space="preserve">itu_glass</w:t>
            </w:r>
          </w:p>
        </w:tc>
        <w:tc>
          <w:tcPr>
            <w:tcW w:w="1900" w:type="dxa"/>
          </w:tcPr>
          <w:p>
            <w:r>
              <w:t xml:space="preserve">7.49</w:t>
            </w:r>
          </w:p>
        </w:tc>
        <w:tc>
          <w:tcPr>
            <w:tcW w:w="1900" w:type="dxa"/>
          </w:tcPr>
          <w:p>
            <w:r>
              <w:t xml:space="preserve">0.0209</w:t>
            </w:r>
          </w:p>
        </w:tc>
        <w:tc>
          <w:tcPr>
            <w:tcW w:w="1900" w:type="dxa"/>
          </w:tcPr>
          <w:p>
            <w:r>
              <w:t xml:space="preserve">0.409</w:t>
            </w:r>
          </w:p>
        </w:tc>
        <w:tc>
          <w:tcPr>
            <w:tcW w:w="1900" w:type="dxa"/>
          </w:tcPr>
          <w:p>
            <w:r>
              <w:t xml:space="preserve">Buildings</w:t>
            </w:r>
          </w:p>
        </w:tc>
      </w:tr>
      <w:tr>
        <w:tc>
          <w:tcPr>
            <w:tcW w:w="1900" w:type="dxa"/>
          </w:tcPr>
          <w:p>
            <w:r>
              <w:t xml:space="preserve">itu_metal</w:t>
            </w:r>
          </w:p>
        </w:tc>
        <w:tc>
          <w:tcPr>
            <w:tcW w:w="1900" w:type="dxa"/>
          </w:tcPr>
          <w:p>
            <w:r>
              <w:t xml:space="preserve">1.00</w:t>
            </w:r>
          </w:p>
        </w:tc>
        <w:tc>
          <w:tcPr>
            <w:tcW w:w="1900" w:type="dxa"/>
          </w:tcPr>
          <w:p>
            <w:r>
              <w:t xml:space="preserve">1×10⁷</w:t>
            </w:r>
          </w:p>
        </w:tc>
        <w:tc>
          <w:tcPr>
            <w:tcW w:w="1900" w:type="dxa"/>
          </w:tcPr>
          <w:p>
            <w:r>
              <w:t xml:space="preserve">0.050</w:t>
            </w:r>
          </w:p>
        </w:tc>
        <w:tc>
          <w:tcPr>
            <w:tcW w:w="1900" w:type="dxa"/>
          </w:tcPr>
          <w:p>
            <w:r>
              <w:t xml:space="preserve">Buildings, railways (near-perfect conductor)</w:t>
            </w:r>
          </w:p>
        </w:tc>
      </w:tr>
      <w:tr>
        <w:tc>
          <w:tcPr>
            <w:tcW w:w="1900" w:type="dxa"/>
          </w:tcPr>
          <w:p>
            <w:r>
              <w:t xml:space="preserve">trunk_itu_wood</w:t>
            </w:r>
          </w:p>
        </w:tc>
        <w:tc>
          <w:tcPr>
            <w:tcW w:w="1900" w:type="dxa"/>
          </w:tcPr>
          <w:p>
            <w:r>
              <w:t xml:space="preserve">1.99</w:t>
            </w:r>
          </w:p>
        </w:tc>
        <w:tc>
          <w:tcPr>
            <w:tcW w:w="1900" w:type="dxa"/>
          </w:tcPr>
          <w:p>
            <w:r>
              <w:t xml:space="preserve">0.0136</w:t>
            </w:r>
          </w:p>
        </w:tc>
        <w:tc>
          <w:tcPr>
            <w:tcW w:w="1900" w:type="dxa"/>
          </w:tcPr>
          <w:p>
            <w:r>
              <w:t xml:space="preserve">0.150</w:t>
            </w:r>
          </w:p>
        </w:tc>
        <w:tc>
          <w:tcPr>
            <w:tcW w:w="1900" w:type="dxa"/>
          </w:tcPr>
          <w:p>
            <w:r>
              <w:t xml:space="preserve">Tree trunks</w:t>
            </w:r>
          </w:p>
        </w:tc>
      </w:tr>
      <w:tr>
        <w:tc>
          <w:tcPr>
            <w:tcW w:w="1900" w:type="dxa"/>
          </w:tcPr>
          <w:p>
            <w:r>
              <w:t xml:space="preserve">itu_wet_ground</w:t>
            </w:r>
          </w:p>
        </w:tc>
        <w:tc>
          <w:tcPr>
            <w:tcW w:w="1900" w:type="dxa"/>
          </w:tcPr>
          <w:p>
            <w:r>
              <w:t xml:space="preserve">24.10</w:t>
            </w:r>
          </w:p>
        </w:tc>
        <w:tc>
          <w:tcPr>
            <w:tcW w:w="1900" w:type="dxa"/>
          </w:tcPr>
          <w:p>
            <w:r>
              <w:t xml:space="preserve">0.1855</w:t>
            </w:r>
          </w:p>
        </w:tc>
        <w:tc>
          <w:tcPr>
            <w:tcW w:w="1900" w:type="dxa"/>
          </w:tcPr>
          <w:p>
            <w:r>
              <w:t xml:space="preserve">0.250</w:t>
            </w:r>
          </w:p>
        </w:tc>
        <w:tc>
          <w:tcPr>
            <w:tcW w:w="1900" w:type="dxa"/>
          </w:tcPr>
          <w:p>
            <w:r>
              <w:t xml:space="preserve">Terrain</w:t>
            </w:r>
          </w:p>
        </w:tc>
      </w:tr>
      <w:tr>
        <w:tc>
          <w:tcPr>
            <w:tcW w:w="1900" w:type="dxa"/>
          </w:tcPr>
          <w:p>
            <w:r>
              <w:t xml:space="preserve">itu_very_dry_ground</w:t>
            </w:r>
          </w:p>
        </w:tc>
        <w:tc>
          <w:tcPr>
            <w:tcW w:w="1900" w:type="dxa"/>
          </w:tcPr>
          <w:p>
            <w:r>
              <w:t xml:space="preserve">3.58</w:t>
            </w:r>
          </w:p>
        </w:tc>
        <w:tc>
          <w:tcPr>
            <w:tcW w:w="1900" w:type="dxa"/>
          </w:tcPr>
          <w:p>
            <w:r>
              <w:t xml:space="preserve">0.0250</w:t>
            </w:r>
          </w:p>
        </w:tc>
        <w:tc>
          <w:tcPr>
            <w:tcW w:w="1900" w:type="dxa"/>
          </w:tcPr>
          <w:p>
            <w:r>
              <w:t xml:space="preserve">0.279</w:t>
            </w:r>
          </w:p>
        </w:tc>
        <w:tc>
          <w:tcPr>
            <w:tcW w:w="1900" w:type="dxa"/>
          </w:tcPr>
          <w:p>
            <w:r>
              <w:t xml:space="preserve">Terrain</w:t>
            </w:r>
          </w:p>
        </w:tc>
      </w:tr>
      <w:tr>
        <w:tc>
          <w:tcPr>
            <w:tcW w:w="1900" w:type="dxa"/>
          </w:tcPr>
          <w:p>
            <w:r>
              <w:t xml:space="preserve">water_rt</w:t>
            </w:r>
          </w:p>
        </w:tc>
        <w:tc>
          <w:tcPr>
            <w:tcW w:w="1900" w:type="dxa"/>
          </w:tcPr>
          <w:p>
            <w:r>
              <w:t xml:space="preserve">61.11</w:t>
            </w:r>
          </w:p>
        </w:tc>
        <w:tc>
          <w:tcPr>
            <w:tcW w:w="1900" w:type="dxa"/>
          </w:tcPr>
          <w:p>
            <w:r>
              <w:t xml:space="preserve">0.0294</w:t>
            </w:r>
          </w:p>
        </w:tc>
        <w:tc>
          <w:tcPr>
            <w:tcW w:w="1900" w:type="dxa"/>
          </w:tcPr>
          <w:p>
            <w:r>
              <w:t xml:space="preserve">0.224</w:t>
            </w:r>
          </w:p>
        </w:tc>
        <w:tc>
          <w:tcPr>
            <w:tcW w:w="1900" w:type="dxa"/>
          </w:tcPr>
          <w:p>
            <w:r>
              <w:t xml:space="preserve">River Trent</w:t>
            </w:r>
          </w:p>
        </w:tc>
      </w:tr>
      <w:tr>
        <w:tc>
          <w:tcPr>
            <w:tcW w:w="1900" w:type="dxa"/>
          </w:tcPr>
          <w:p>
            <w:r>
              <w:t xml:space="preserve">canopy_itu_vegetation</w:t>
            </w:r>
          </w:p>
        </w:tc>
        <w:tc>
          <w:tcPr>
            <w:tcW w:w="1900" w:type="dxa"/>
          </w:tcPr>
          <w:p>
            <w:r>
              <w:t xml:space="preserve">1.50</w:t>
            </w:r>
          </w:p>
        </w:tc>
        <w:tc>
          <w:tcPr>
            <w:tcW w:w="1900" w:type="dxa"/>
          </w:tcPr>
          <w:p>
            <w:r>
              <w:t xml:space="preserve">0.0033</w:t>
            </w:r>
          </w:p>
        </w:tc>
        <w:tc>
          <w:tcPr>
            <w:tcW w:w="1900" w:type="dxa"/>
          </w:tcPr>
          <w:p>
            <w:r>
              <w:t xml:space="preserve">0.400</w:t>
            </w:r>
          </w:p>
        </w:tc>
        <w:tc>
          <w:tcPr>
            <w:tcW w:w="1900" w:type="dxa"/>
          </w:tcPr>
          <w:p>
            <w:r>
              <w:t xml:space="preserve">3D tree canopy geometry</w:t>
            </w:r>
          </w:p>
        </w:tc>
      </w:tr>
      <w:tr>
        <w:tc>
          <w:tcPr>
            <w:tcW w:w="1900" w:type="dxa"/>
          </w:tcPr>
          <w:p>
            <w:r>
              <w:t xml:space="preserve">concrete_barrier</w:t>
            </w:r>
          </w:p>
        </w:tc>
        <w:tc>
          <w:tcPr>
            <w:tcW w:w="1900" w:type="dxa"/>
          </w:tcPr>
          <w:p>
            <w:r>
              <w:t xml:space="preserve">5.31</w:t>
            </w:r>
          </w:p>
        </w:tc>
        <w:tc>
          <w:tcPr>
            <w:tcW w:w="1900" w:type="dxa"/>
          </w:tcPr>
          <w:p>
            <w:r>
              <w:t xml:space="preserve">0.0727</w:t>
            </w:r>
          </w:p>
        </w:tc>
        <w:tc>
          <w:tcPr>
            <w:tcW w:w="1900" w:type="dxa"/>
          </w:tcPr>
          <w:p>
            <w:r>
              <w:t xml:space="preserve">0.300</w:t>
            </w:r>
          </w:p>
        </w:tc>
        <w:tc>
          <w:tcPr>
            <w:tcW w:w="1900" w:type="dxa"/>
          </w:tcPr>
          <w:p>
            <w:r>
              <w:t xml:space="preserve">Highway/motorway barriers</w:t>
            </w:r>
          </w:p>
        </w:tc>
      </w:tr>
      <w:tr>
        <w:tc>
          <w:tcPr>
            <w:tcW w:w="1900" w:type="dxa"/>
          </w:tcPr>
          <w:p>
            <w:r>
              <w:t xml:space="preserve">itu_ceiling_board</w:t>
            </w:r>
          </w:p>
        </w:tc>
        <w:tc>
          <w:tcPr>
            <w:tcW w:w="1900" w:type="dxa"/>
          </w:tcPr>
          <w:p>
            <w:r>
              <w:t xml:space="preserve">1.00</w:t>
            </w:r>
          </w:p>
        </w:tc>
        <w:tc>
          <w:tcPr>
            <w:tcW w:w="1900" w:type="dxa"/>
          </w:tcPr>
          <w:p>
            <w:r>
              <w:t xml:space="preserve">0.0000</w:t>
            </w:r>
          </w:p>
        </w:tc>
        <w:tc>
          <w:tcPr>
            <w:tcW w:w="1900" w:type="dxa"/>
          </w:tcPr>
          <w:p>
            <w:r>
              <w:t xml:space="preserve">0.050</w:t>
            </w:r>
          </w:p>
        </w:tc>
        <w:tc>
          <w:tcPr>
            <w:tcW w:w="1900" w:type="dxa"/>
          </w:tcPr>
          <w:p>
            <w:r>
              <w:t xml:space="preserve">Vegetation discs (made fully transparent when </w:t>
            </w:r>
            <w:r>
              <w:rPr>
                <w:rFonts w:ascii="Consolas" w:hAnsi="Consolas"/>
              </w:rPr>
              <w:t xml:space="preserve">DISABLE_VEG_DISCS=True</w:t>
            </w:r>
            <w:r>
              <w:t xml:space="preserve">)</w:t>
            </w:r>
          </w:p>
        </w:tc>
      </w:tr>
    </w:tbl>
    <w:p/>
    <w:p>
      <w:pPr>
        <w:spacing w:after="160"/>
      </w:pPr>
      <w:r>
        <w:rPr>
          <w:i/>
          <w:iCs/>
        </w:rPr>
        <w:t xml:space="preserve">Table 3.2 — Full calibrated material set (Nottingham 2695 MHz, Run 3), reused as the initial parameter set for other frequencies at the same site. Six materials are free parameters in the Powell calibration (Section 3.4): itu_brick, itu_concrete, itu_glass, itu_wet_ground, itu_very_dry_ground, and water_rt. The remaining materials — itu_ceiling_board, itu_asphalt (locked, not shown), itu_metal, canopy_itu_vegetation, and trunk_itu_wood — are held fixed at their ITU-R-derived or physically constrained values (e.g. itu_metal as a near-perfect conductor) throughout calibration.</w:t>
      </w:r>
    </w:p>
    <w:p>
      <w:pPr>
        <w:pStyle w:val="Heading2"/>
      </w:pPr>
      <w:r>
        <w:t xml:space="preserve">3.3 Assumptions, Parameters, and Constraints</w:t>
      </w:r>
    </w:p>
    <w:p>
      <w:pPr>
        <w:spacing w:after="160"/>
      </w:pPr>
      <w:r>
        <w:rPr>
          <w:b/>
          <w:bCs/>
        </w:rPr>
        <w:t xml:space="preserve">Physical/modelling approximations.</w:t>
      </w:r>
    </w:p>
    <w:p>
      <w:pPr>
        <w:spacing w:after="160"/>
      </w:pPr>
      <w:r>
        <w:t xml:space="preserve">• Sionna RT is a </w:t>
      </w:r>
      <w:r>
        <w:rPr>
          <w:b/>
          <w:bCs/>
        </w:rPr>
        <w:t xml:space="preserve">surface-based</w:t>
      </w:r>
      <w:r>
        <w:t xml:space="preserve"> ray tracer: electromagnetic interactions are computed only at discrete surface intersections, with no volumetric path integral through a medium (Section 2.1.7). This is the single most consequential approximation in this thesis, since it means vegetation — a volumetric absorber in reality — must be represented either as scattering surfaces (discs/canopy geometry) or handled entirely as a post-hoc statistical correction (Weissberger [18] / ITU-R P.833-10 [16]), never both consistently at the ray level except where per-path correction is explicitly implemented (Section 3.4).</w:t>
      </w:r>
    </w:p>
    <w:p>
      <w:pPr>
        <w:spacing w:after="160"/>
      </w:pPr>
      <w:r>
        <w:t xml:space="preserve">• Vegetation is represented by </w:t>
      </w:r>
      <w:r>
        <w:rPr>
          <w:b/>
          <w:bCs/>
        </w:rPr>
        <w:t xml:space="preserve">three complementary geometric sources</w:t>
      </w:r>
      <w:r>
        <w:t xml:space="preserve">, combined so that no green area is missed: OSM-tagged polygons (parks, forests, named green areas), LiDAR-derived canopy polygons ("VOM", from EA data), and an additional nDSM scan that captures vegetation not tagged in OSM/VOM (road verges, garden trees, motorway corridor belts). All three are rendered as horizontal discs on a regular grid (disc spacing and per-polygon disc caps are explicit parameters, below) because Sionna RT has no volumetric absorption — a solid slab would simply add more scattering surface without representing depth-dependent attenuation, so bulk attenuation is handled by the post-hoc vegetation formulas instead (Section 2.1.7). For the higher-frequency shared scene (2695/3602 MHz), this was refined further to </w:t>
      </w:r>
      <w:r>
        <w:rPr>
          <w:b/>
          <w:bCs/>
        </w:rPr>
        <w:t xml:space="preserve">three stacked disc layers per tree crown</w:t>
      </w:r>
      <w:r>
        <w:t xml:space="preserve"> (at 30%, 65%, and 100% of crown depth below the canopy top) on a denser horizontal grid, to better approximate the vertical structure a single flat disc layer could not (Figure 3.4).</w:t>
      </w:r>
    </w:p>
    <w:p>
      <w:pPr>
        <w:spacing w:after="160"/>
      </w:pPr>
      <w:r>
        <w:rPr>
          <w:i/>
          <w:iCs/>
        </w:rPr>
        <w:t xml:space="preserve">[FIGURE PLACEHOLDER] Figure 3.4 — Vegetation canopy disc-layer geometry</w:t>
      </w:r>
    </w:p>
    <w:p>
      <w:pPr>
        <w:spacing w:after="160"/>
      </w:pPr>
      <w:r>
        <w:rPr>
          <w:i/>
          <w:iCs/>
        </w:rPr>
        <w:t xml:space="preserve">Figure 3.4 — Vegetation canopy representation: (a) single flat disc at canopy top, used for the 915/1802 MHz scenes; (b) three stacked discs at 30%, 65%, and 100% of crown depth below the canopy top, used for the shared 2695/3602 MHz scene. Both are surface-scattering approximations of a volumetric canopy (Section 2.1.7) — bulk attenuation is still applied post-hoc via Weissberger/ITU-R P.833-10, not by the disc geometry itself.</w:t>
      </w:r>
    </w:p>
    <w:p>
      <w:pPr>
        <w:spacing w:after="160"/>
      </w:pPr>
      <w:r>
        <w:t xml:space="preserve">• Coherent summation (Equation 2.6) is the physically complete narrowband model but becomes numerically unstable once scene complexity (e.g., thousands of individually modelled tree crowns) makes small path-length errors comparable to a wavelength; incoherent summation (Equation 2.7) is used as the primary reported method throughout when this instability is observed, with the choice treated as a per-frequency empirical finding rather than fixed in advance.</w:t>
      </w:r>
    </w:p>
    <w:p>
      <w:pPr>
        <w:spacing w:after="160"/>
      </w:pPr>
      <w:r>
        <w:t xml:space="preserve">• Calibration is restricted to receivers within the LOS regime relative to the ITU-R P.1411-10/3GPP breakpoint distance R_bp (Equation 2.13) at each frequency, to avoid fitting a single set of material parameters across two physically distinct propagation regimes (Section 2.1.8; e.g., R_bp ≈ 916 m at 2695 MHz bounds </w:t>
      </w:r>
      <w:r>
        <w:rPr>
          <w:rFonts w:ascii="Consolas" w:hAnsi="Consolas"/>
        </w:rPr>
        <w:t xml:space="preserve">CAL_MAX_DIST_KM</w:t>
      </w:r>
      <w:r>
        <w:t xml:space="preserve"> to 1.0 km for that frequency).</w:t>
      </w:r>
    </w:p>
    <w:p>
      <w:pPr>
        <w:spacing w:after="160"/>
      </w:pPr>
      <w:r>
        <w:t xml:space="preserve">• Transmit and receive antennas use </w:t>
      </w:r>
      <w:r>
        <w:rPr>
          <w:b/>
          <w:bCs/>
        </w:rPr>
        <w:t xml:space="preserve">custom radiation patterns matching the Ofcom measurement equipment</w:t>
      </w:r>
      <w:r>
        <w:t xml:space="preserve">, rather than Sionna's default isotropic/dipole patterns, for consistency with how the ground-truth measurements were actually collected.</w:t>
      </w:r>
    </w:p>
    <w:p>
      <w:pPr>
        <w:spacing w:after="160"/>
      </w:pPr>
      <w:r>
        <w:rPr>
          <w:b/>
          <w:bCs/>
        </w:rPr>
        <w:t xml:space="preserve">Key parameters</w:t>
      </w:r>
      <w:r>
        <w:t xml:space="preserve"> (representative; full per-site values are documented in the corresponding simulation notebooks):</w:t>
      </w:r>
    </w:p>
    <w:tbl>
      <w:tblPr>
        <w:tblW w:w="9500" w:type="dxa"/>
        <w:tblBorders>
          <w:top w:val="single" w:sz="6" w:space="0" w:color="D1D9E0"/>
          <w:left w:val="single" w:sz="6" w:space="0" w:color="D1D9E0"/>
          <w:bottom w:val="single" w:sz="6" w:space="0" w:color="D1D9E0"/>
          <w:right w:val="single" w:sz="6" w:space="0" w:color="D1D9E0"/>
          <w:insideH w:val="single" w:sz="6" w:space="0" w:color="D1D9E0"/>
          <w:insideV w:val="single" w:sz="6" w:space="0" w:color="D1D9E0"/>
        </w:tblBorders>
        <w:tblCellMar>
          <w:top w:w="60" w:type="dxa"/>
          <w:left w:w="100" w:type="dxa"/>
          <w:bottom w:w="60" w:type="dxa"/>
          <w:right w:w="100" w:type="dxa"/>
        </w:tblCellMar>
        <w:tblLook w:val="04A0" w:firstRow="1" w:lastRow="0" w:firstColumn="1" w:lastColumn="0" w:noHBand="0" w:noVBand="1"/>
      </w:tblPr>
      <w:tblGrid>
        <w:gridCol w:w="3166"/>
        <w:gridCol w:w="3166"/>
        <w:gridCol w:w="3166"/>
      </w:tblGrid>
      <w:tr>
        <w:tc>
          <w:tcPr>
            <w:tcW w:w="3166" w:type="dxa"/>
          </w:tcPr>
          <w:p>
            <w:r>
              <w:rPr>
                <w:b/>
                <w:bCs/>
              </w:rPr>
              <w:t xml:space="preserve">Parameter</w:t>
            </w:r>
          </w:p>
        </w:tc>
        <w:tc>
          <w:tcPr>
            <w:tcW w:w="3166" w:type="dxa"/>
          </w:tcPr>
          <w:p>
            <w:r>
              <w:rPr>
                <w:b/>
                <w:bCs/>
              </w:rPr>
              <w:t xml:space="preserve">Value(s) used</w:t>
            </w:r>
          </w:p>
        </w:tc>
        <w:tc>
          <w:tcPr>
            <w:tcW w:w="3166" w:type="dxa"/>
          </w:tcPr>
          <w:p>
            <w:r>
              <w:rPr>
                <w:b/>
                <w:bCs/>
              </w:rPr>
              <w:t xml:space="preserve">Source/rationale</w:t>
            </w:r>
          </w:p>
        </w:tc>
      </w:tr>
      <w:tr>
        <w:tc>
          <w:tcPr>
            <w:tcW w:w="3166" w:type="dxa"/>
          </w:tcPr>
          <w:p>
            <w:r>
              <w:t xml:space="preserve">TX antenna height (AGL)</w:t>
            </w:r>
          </w:p>
        </w:tc>
        <w:tc>
          <w:tcPr>
            <w:tcW w:w="3166" w:type="dxa"/>
          </w:tcPr>
          <w:p>
            <w:r>
              <w:t xml:space="preserve">Selected from a candidate set (e.g. </w:t>
            </w:r>
            <w:r>
              <w:rPr>
                <w:rFonts w:ascii="Consolas" w:hAnsi="Consolas"/>
              </w:rPr>
              <w:t xml:space="preserve">[15, 17, 20, 25, 30]</w:t>
            </w:r>
            <w:r>
              <w:t xml:space="preserve"> m) by an automated scan requiring ≥80% valid-path coverage (</w:t>
            </w:r>
            <w:r>
              <w:rPr>
                <w:rFonts w:ascii="Consolas" w:hAnsi="Consolas"/>
              </w:rPr>
              <w:t xml:space="preserve">TX_AGL_MIN_COVERAGE</w:t>
            </w:r>
            <w:r>
              <w:t xml:space="preserve">), not simply the height with most raw valid paths</w:t>
            </w:r>
          </w:p>
        </w:tc>
        <w:tc>
          <w:tcPr>
            <w:tcW w:w="3166" w:type="dxa"/>
          </w:tcPr>
          <w:p>
            <w:r>
              <w:t xml:space="preserve">Prevents the near-LOS artefact described below (see London case)</w:t>
            </w:r>
          </w:p>
        </w:tc>
      </w:tr>
      <w:tr>
        <w:tc>
          <w:tcPr>
            <w:tcW w:w="3166" w:type="dxa"/>
          </w:tcPr>
          <w:p>
            <w:r>
              <w:t xml:space="preserve">RX antenna height (AGL)</w:t>
            </w:r>
          </w:p>
        </w:tc>
        <w:tc>
          <w:tcPr>
            <w:tcW w:w="3166" w:type="dxa"/>
          </w:tcPr>
          <w:p>
            <w:r>
              <w:t xml:space="preserve">1.5 m (all sites)</w:t>
            </w:r>
          </w:p>
        </w:tc>
        <w:tc>
          <w:tcPr>
            <w:tcW w:w="3166" w:type="dxa"/>
          </w:tcPr>
          <w:p>
            <w:r>
              <w:t xml:space="preserve">Ofcom CSV header</w:t>
            </w:r>
          </w:p>
        </w:tc>
      </w:tr>
      <w:tr>
        <w:tc>
          <w:tcPr>
            <w:tcW w:w="3166" w:type="dxa"/>
          </w:tcPr>
          <w:p>
            <w:r>
              <w:t xml:space="preserve">TX EIRP</w:t>
            </w:r>
          </w:p>
        </w:tc>
        <w:tc>
          <w:tcPr>
            <w:tcW w:w="3166" w:type="dxa"/>
          </w:tcPr>
          <w:p>
            <w:r>
              <w:t xml:space="preserve">Site- and frequency-specific, e.g. 56 dBm (Nottingham 2695 MHz), 54 dBm (Nottingham 3602 MHz), 46.9 dBm (Scar Hill 915 MHz)</w:t>
            </w:r>
          </w:p>
        </w:tc>
        <w:tc>
          <w:tcPr>
            <w:tcW w:w="3166" w:type="dxa"/>
          </w:tcPr>
          <w:p>
            <w:r>
              <w:t xml:space="preserve">Derived from conducted power + antenna gain − cable loss, per Ofcom CSV header</w:t>
            </w:r>
          </w:p>
        </w:tc>
      </w:tr>
      <w:tr>
        <w:tc>
          <w:tcPr>
            <w:tcW w:w="3166" w:type="dxa"/>
          </w:tcPr>
          <w:p>
            <w:r>
              <w:t xml:space="preserve">Noise floor</w:t>
            </w:r>
          </w:p>
        </w:tc>
        <w:tc>
          <w:tcPr>
            <w:tcW w:w="3166" w:type="dxa"/>
          </w:tcPr>
          <w:p>
            <w:r>
              <w:t xml:space="preserve">Site- and frequency-specific, e.g. −120 dBm (Nottingham 2695 MHz), −109 dBm (Nottingham 3602 MHz), −124 dBm (Scar Hill 915 MHz)</w:t>
            </w:r>
          </w:p>
        </w:tc>
        <w:tc>
          <w:tcPr>
            <w:tcW w:w="3166" w:type="dxa"/>
          </w:tcPr>
          <w:p>
            <w:r>
              <w:t xml:space="preserve">Ofcom CSV header</w:t>
            </w:r>
          </w:p>
        </w:tc>
      </w:tr>
      <w:tr>
        <w:tc>
          <w:tcPr>
            <w:tcW w:w="3166" w:type="dxa"/>
          </w:tcPr>
          <w:p>
            <w:r>
              <w:t xml:space="preserve">Coordinate reference system</w:t>
            </w:r>
          </w:p>
        </w:tc>
        <w:tc>
          <w:tcPr>
            <w:tcW w:w="3166" w:type="dxa"/>
          </w:tcPr>
          <w:p>
            <w:r>
              <w:t xml:space="preserve">EPSG:27700 (British National Grid), always_xy=True</w:t>
            </w:r>
          </w:p>
        </w:tc>
        <w:tc>
          <w:tcPr>
            <w:tcW w:w="3166" w:type="dxa"/>
          </w:tcPr>
          <w:p>
            <w:r>
              <w:t xml:space="preserve">Standard UK projected CRS; used throughout to avoid UTM-zone edge effects</w:t>
            </w:r>
          </w:p>
        </w:tc>
      </w:tr>
      <w:tr>
        <w:tc>
          <w:tcPr>
            <w:tcW w:w="3166" w:type="dxa"/>
          </w:tcPr>
          <w:p>
            <w:r>
              <w:t xml:space="preserve">Ray-tracing max interaction depth</w:t>
            </w:r>
          </w:p>
        </w:tc>
        <w:tc>
          <w:tcPr>
            <w:tcW w:w="3166" w:type="dxa"/>
          </w:tcPr>
          <w:p>
            <w:r>
              <w:t xml:space="preserve">8 (Nottingham/London 915–1802 MHz); 20 (2695 MHz)</w:t>
            </w:r>
          </w:p>
        </w:tc>
        <w:tc>
          <w:tcPr>
            <w:tcW w:w="3166" w:type="dxa"/>
          </w:tcPr>
          <w:p>
            <w:r>
              <w:t xml:space="preserve">Empirically: depths beyond 8 introduced additional bounces without accuracy benefit and increased spatial noise (see "ruled out" below)</w:t>
            </w:r>
          </w:p>
        </w:tc>
      </w:tr>
      <w:tr>
        <w:tc>
          <w:tcPr>
            <w:tcW w:w="3166" w:type="dxa"/>
          </w:tcPr>
          <w:p>
            <w:r>
              <w:t xml:space="preserve">Calibration sample count</w:t>
            </w:r>
          </w:p>
        </w:tc>
        <w:tc>
          <w:tcPr>
            <w:tcW w:w="3166" w:type="dxa"/>
          </w:tcPr>
          <w:p>
            <w:r>
              <w:t xml:space="preserve">2M–30M paths per source, depending on site/frequency</w:t>
            </w:r>
          </w:p>
        </w:tc>
        <w:tc>
          <w:tcPr>
            <w:tcW w:w="3166" w:type="dxa"/>
          </w:tcPr>
          <w:p>
            <w:r>
              <w:t xml:space="preserve">Trades Monte Carlo noise floor against calibration runtime; higher counts (30M) reduce the noise floor to ≈±0.12 dB, below which Powell's method cannot further improve the fit</w:t>
            </w:r>
          </w:p>
        </w:tc>
      </w:tr>
      <w:tr>
        <w:tc>
          <w:tcPr>
            <w:tcW w:w="3166" w:type="dxa"/>
          </w:tcPr>
          <w:p>
            <w:r>
              <w:t xml:space="preserve">Evaluation sample count</w:t>
            </w:r>
          </w:p>
        </w:tc>
        <w:tc>
          <w:tcPr>
            <w:tcW w:w="3166" w:type="dxa"/>
          </w:tcPr>
          <w:p>
            <w:r>
              <w:t xml:space="preserve">100M paths per source</w:t>
            </w:r>
          </w:p>
        </w:tc>
        <w:tc>
          <w:tcPr>
            <w:tcW w:w="3166" w:type="dxa"/>
          </w:tcPr>
          <w:p>
            <w:r>
              <w:t xml:space="preserve">Found empirically optimal for the 915 MHz Nottingham site — 90M and 200M gave statistically equivalent or slightly worse results</w:t>
            </w:r>
          </w:p>
        </w:tc>
      </w:tr>
      <w:tr>
        <w:tc>
          <w:tcPr>
            <w:tcW w:w="3166" w:type="dxa"/>
          </w:tcPr>
          <w:p>
            <w:r>
              <w:t xml:space="preserve">Random seed / averaging</w:t>
            </w:r>
          </w:p>
        </w:tc>
        <w:tc>
          <w:tcPr>
            <w:tcW w:w="3166" w:type="dxa"/>
          </w:tcPr>
          <w:p>
            <w:r>
              <w:t xml:space="preserve">Fixed (</w:t>
            </w:r>
            <w:r>
              <w:rPr>
                <w:rFonts w:ascii="Consolas" w:hAnsi="Consolas"/>
              </w:rPr>
              <w:t xml:space="preserve">CAL_FIXED_SEED=42</w:t>
            </w:r>
            <w:r>
              <w:t xml:space="preserve">); single-seed evaluation (</w:t>
            </w:r>
            <w:r>
              <w:rPr>
                <w:rFonts w:ascii="Consolas" w:hAnsi="Consolas"/>
              </w:rPr>
              <w:t xml:space="preserve">N_AVG_SOLVE=1</w:t>
            </w:r>
            <w:r>
              <w:t xml:space="preserve">) found sufficient</w:t>
            </w:r>
          </w:p>
        </w:tc>
        <w:tc>
          <w:tcPr>
            <w:tcW w:w="3166" w:type="dxa"/>
          </w:tcPr>
          <w:p>
            <w:r>
              <w:t xml:space="preserve">Without a fixed seed, repeated evaluations at the same configuration drifted by ±4 dB, preventing Powell's method from resolving a gradient</w:t>
            </w:r>
          </w:p>
        </w:tc>
      </w:tr>
      <w:tr>
        <w:tc>
          <w:tcPr>
            <w:tcW w:w="3166" w:type="dxa"/>
          </w:tcPr>
          <w:p>
            <w:r>
              <w:t xml:space="preserve">Sensitivity probe</w:t>
            </w:r>
          </w:p>
        </w:tc>
        <w:tc>
          <w:tcPr>
            <w:tcW w:w="3166" w:type="dxa"/>
          </w:tcPr>
          <w:p>
            <w:r>
              <w:t xml:space="preserve">Skipped (</w:t>
            </w:r>
            <w:r>
              <w:rPr>
                <w:rFonts w:ascii="Consolas" w:hAnsi="Consolas"/>
              </w:rPr>
              <w:t xml:space="preserve">CAL_SKIP_PROBE=True</w:t>
            </w:r>
            <w:r>
              <w:t xml:space="preserve">)</w:t>
            </w:r>
          </w:p>
        </w:tc>
        <w:tc>
          <w:tcPr>
            <w:tcW w:w="3166" w:type="dxa"/>
          </w:tcPr>
          <w:p>
            <w:r>
              <w:t xml:space="preserve">A warm-prior scattering value (S=0.35) was found to bias the initial sensitivity probe low enough to block Powell from starting correctly, so the probe step is skipped in favour of proceeding directly to Phase 0/2</w:t>
            </w:r>
          </w:p>
        </w:tc>
      </w:tr>
    </w:tbl>
    <w:p/>
    <w:p>
      <w:pPr>
        <w:spacing w:after="160"/>
      </w:pPr>
      <w:r>
        <w:rPr>
          <w:b/>
          <w:bCs/>
        </w:rPr>
        <w:t xml:space="preserve">Design constraints and technical limitations.</w:t>
      </w:r>
    </w:p>
    <w:p>
      <w:pPr>
        <w:spacing w:after="160"/>
      </w:pPr>
      <w:r>
        <w:t xml:space="preserve">• Terrain data resolution differs categorically between sites: 1 m LiDAR DTM/DSM for the English sites (Nottingham, London) versus 30 m SRTM for Scar Hill (Scotland), because EA LiDAR coverage does not extend north of approximately 55.9°N. This is treated explicitly as a constraint on what Scar Hill's results can show, not something the methodology can compensate for within this thesis's scope.</w:t>
      </w:r>
    </w:p>
    <w:p>
      <w:pPr>
        <w:spacing w:after="160"/>
      </w:pPr>
      <w:r>
        <w:t xml:space="preserve">• Only 4 of the 6 frequencies (915, 1802, 2695, 3602 MHz) and 4 of the 7 sites in the full Ofcom 2018 campaign [5] are used, matching the scope defined in Section 1.5.</w:t>
      </w:r>
    </w:p>
    <w:p>
      <w:pPr>
        <w:spacing w:after="160"/>
      </w:pPr>
      <w:r>
        <w:t xml:space="preserve">• An automated transmitter-height selection step at the London site initially selected 45 m AGL based on a raw path-validity fraction, which — because that height sits above most surrounding buildings — produced a near-line-of-sight artefact and a large positive bias; a minimum-coverage-fraction filter (</w:t>
      </w:r>
      <w:r>
        <w:rPr>
          <w:rFonts w:ascii="Consolas" w:hAnsi="Consolas"/>
        </w:rPr>
        <w:t xml:space="preserve">TX_AGL_MIN_COVERAGE = 0.80</w:t>
      </w:r>
      <w:r>
        <w:t xml:space="preserve">) was subsequently added and the height corrected to 25 m. This is documented here as a real methodological failure mode and its fix, not smoothed over, because it illustrates a general risk of automated parameter selection without a sanity constraint.</w:t>
      </w:r>
    </w:p>
    <w:p>
      <w:pPr>
        <w:spacing w:after="160"/>
      </w:pPr>
      <w:r>
        <w:t xml:space="preserve">• Several scene-construction and simulation notebooks are treated as </w:t>
      </w:r>
      <w:r>
        <w:rPr>
          <w:b/>
          <w:bCs/>
        </w:rPr>
        <w:t xml:space="preserve">frozen</w:t>
      </w:r>
      <w:r>
        <w:t xml:space="preserve"> once validated for a given frequency/site (e.g., the Nottingham 915 MHz scene builder and simulation notebook, and the 1802 MHz scene builder), and are never subsequently edited; further changes are made only in newer, versioned notebooks. This is a deliberate reproducibility control, preventing silent drift in a result already reported.</w:t>
      </w:r>
    </w:p>
    <w:p>
      <w:pPr>
        <w:spacing w:after="160"/>
      </w:pPr>
      <w:r>
        <w:t xml:space="preserve">• Certain configurations were tested and explicitly </w:t>
      </w:r>
      <w:r>
        <w:rPr>
          <w:b/>
          <w:bCs/>
        </w:rPr>
        <w:t xml:space="preserve">ruled out</w:t>
      </w:r>
      <w:r>
        <w:t xml:space="preserve"> based on measured evidence rather than assumed: non-zero-scattering disc vegetation geometry (causes a 700×-plus scatter-path-count flood between scattering-on and scattering-off configurations), zero-scattering discs (over-blocks paths, +7.7 dB bias), interaction depth beyond 8 (introduces spatial noise, R² drop), evaluation sample counts beyond 100M (no further systematic accuracy gain), and a calibration near-field floor of 0.30 km (worse than 0.15 km — Powell converged to a substantially higher-RMSE local minimum). Reporting these negative results is itself part of the methodology's rigour — they show the parameter space was searched, not merely assumed.</w:t>
      </w:r>
    </w:p>
    <w:p>
      <w:pPr>
        <w:spacing w:after="160"/>
      </w:pPr>
      <w:r>
        <w:rPr>
          <w:b/>
          <w:bCs/>
        </w:rPr>
        <w:t xml:space="preserve">Practical/ethical constraints.</w:t>
      </w:r>
      <w:r>
        <w:t xml:space="preserve"> All measurement data used (Ofcom 2018 [5]) is public, aggregate radio-propagation data with no personal information; no additional ethical review was required. Compute access was constrained to the single GPU/VM configuration documented in Section 4.2, which bounds how many parallel calibration runs could be executed at once (observed directly via </w:t>
      </w:r>
      <w:r>
        <w:rPr>
          <w:rFonts w:ascii="Consolas" w:hAnsi="Consolas"/>
        </w:rPr>
        <w:t xml:space="preserve">nvidia-smi</w:t>
      </w:r>
      <w:r>
        <w:t xml:space="preserve"> showing four concurrent processes sharing one GPU during overlapping campaigns).</w:t>
      </w:r>
    </w:p>
    <w:p>
      <w:pPr>
        <w:pStyle w:val="Heading2"/>
      </w:pPr>
      <w:r>
        <w:t xml:space="preserve">3.4 Experimental / Numerical / Analytical Procedures</w:t>
      </w:r>
    </w:p>
    <w:p>
      <w:pPr>
        <w:spacing w:after="160"/>
      </w:pPr>
      <w:r>
        <w:t xml:space="preserve">The procedure below is the complete, reproducible specification of this thesis's scene-construction, calibration, and evaluation pipeline, applied independently at each site/frequency combination (Section 3.1).</w:t>
      </w:r>
    </w:p>
    <w:p>
      <w:pPr>
        <w:spacing w:after="160"/>
      </w:pPr>
      <w:r>
        <w:rPr>
          <w:b/>
          <w:bCs/>
        </w:rPr>
        <w:t xml:space="preserve">Figure 3.2 — Scene-construction-to-evaluation pipeline.</w:t>
      </w:r>
    </w:p>
    <w:p>
      <w:pPr>
        <w:spacing w:after="160"/>
      </w:pPr>
      <w:r>
        <w:rPr>
          <w:i/>
          <w:iCs/>
        </w:rPr>
        <w:t xml:space="preserve">[FIGURE PLACEHOLDER] Figure 3.2 — Scene-construction-to-evaluation pipeline</w:t>
      </w:r>
    </w:p>
    <w:p>
      <w:pPr>
        <w:spacing w:after="160"/>
      </w:pPr>
      <w:r>
        <w:rPr>
          <w:i/>
          <w:iCs/>
        </w:rPr>
        <w:t xml:space="preserve">This diagram consolidates the scene-construction detail (LiDAR/OSM/Blender/vegetation sources) with the calibration and evaluation stages into a single reference pipeline for the procedure described in Steps 1–7 below.</w:t>
      </w:r>
    </w:p>
    <w:p>
      <w:pPr>
        <w:spacing w:after="160"/>
      </w:pPr>
      <w:r>
        <w:rPr>
          <w:i/>
          <w:iCs/>
        </w:rPr>
        <w:t xml:space="preserve">[FIGURE 3.3 — PLACEHOLDER — requires a real scene screenshot, not fabricated]</w:t>
      </w:r>
    </w:p>
    <w:p>
      <w:pPr>
        <w:spacing w:after="160"/>
      </w:pPr>
      <w:r>
        <w:rPr>
          <w:i/>
          <w:iCs/>
        </w:rPr>
        <w:t xml:space="preserve">Side-by-side comparison of coarse vs. detailed urban geometry for the Nottingham scene: (a) OSM-only building footprints with default heights, (b) full LiDAR/nDSM-informed geometry with Blender-refined building detail. This environment has no access to the actual 3D scene assets or a running Sionna RT instance, so this cannot be generated here without fabricating a result. To produce it: run `sionna019_scene_builder.ipynb` CELL PREVIEW (or CELL 6c for the 2D OSM+building view) once with `INCLUDE_*` flags limited to OSM footprints only, screenshot it as panel (a); re-run with the full feature set for panel (b); combine side by side.</w:t>
      </w:r>
    </w:p>
    <w:p>
      <w:pPr>
        <w:spacing w:after="160"/>
      </w:pPr>
      <w:r>
        <w:rPr>
          <w:b/>
          <w:bCs/>
        </w:rPr>
        <w:t xml:space="preserve">1. Scene construction.</w:t>
      </w:r>
      <w:r>
        <w:t xml:space="preserve"> Terrain (DTM/DSM/nDSM) and building/vegetation/infrastructure geometry are built as summarised in Figure 3.2. Two consistency rules are enforced before any run: the scene's bounding-box origin (</w:t>
      </w:r>
      <w:r>
        <w:rPr>
          <w:rFonts w:ascii="Consolas" w:hAnsi="Consolas"/>
        </w:rPr>
        <w:t xml:space="preserve">SCENE_WEST</w:t>
      </w:r>
      <w:r>
        <w:t xml:space="preserve">, etc.) must match exactly between the scene-builder and simulation notebooks (a mismatch of 0.025° was found to cause an ~855 m coordinate offset, placing buildings incorrectly), and the terrain mesh and all building/vegetation meshes must share the same scene centre — verified with a bounding-box consistency check comparing the terrain mesh's actual half-span against the value expected from the configured scene extent.</w:t>
      </w:r>
    </w:p>
    <w:p>
      <w:pPr>
        <w:spacing w:after="160"/>
      </w:pPr>
      <w:r>
        <w:rPr>
          <w:b/>
          <w:bCs/>
        </w:rPr>
        <w:t xml:space="preserve">2. Material initialisation.</w:t>
      </w:r>
      <w:r>
        <w:t xml:space="preserve"> Each surface material (Table 3.2) is assigned initial relative permittivity and conductivity from ITU-R P.2040-2 [17], with a scattering coefficient consistent with the Effective Roughness model (Section 2.1.6) [27].</w:t>
      </w:r>
    </w:p>
    <w:p>
      <w:pPr>
        <w:spacing w:after="160"/>
      </w:pPr>
      <w:r>
        <w:rPr>
          <w:b/>
          <w:bCs/>
        </w:rPr>
        <w:t xml:space="preserve">3. Transmitter and receiver placement.</w:t>
      </w:r>
      <w:r>
        <w:t xml:space="preserve"> The transmitter is placed at the site's documented location, with antenna height selected by the coverage-filtered auto-scan described in Section 3.3, and assigned a custom radiation pattern matching the Ofcom measurement equipment. Receivers are parsed from the site's Ofcom drive-test CSV; an early implementation selected the first *N* rows of the raw CSV before filtering to the scene's bounding box, which for routes starting far from the transmitter left the selected receivers entirely outside the scene — corrected by filtering to the bounding box first and only then taking the first *N* receivers in sequential CSV order. Each placed receiver is then validated with a sequence of geometric checks: a DEM sanity check confirming terrain-derived receiver heights are physically reasonable (~1.5 m AGL, catching any terrain-alignment bug), a 2D footprint check for whether a receiver falls inside a building outline, a true 3D ray-cast line-of-sight check using the </w:t>
      </w:r>
      <w:r>
        <w:rPr>
          <w:rFonts w:ascii="Consolas" w:hAnsi="Consolas"/>
        </w:rPr>
        <w:t xml:space="preserve">PathSolver</w:t>
      </w:r>
      <w:r>
        <w:t xml:space="preserve"> itself, and a top-down ray cast specifically testing whether a receiver sits underneath a building roof in 3D. Receivers failing these checks (inside a building, or beyond a maximum distance threshold) are excluded from the calibration/evaluation set, with the exclusion reasons logged for diagnostic review rather than silently dropped.</w:t>
      </w:r>
    </w:p>
    <w:p>
      <w:pPr>
        <w:spacing w:after="160"/>
      </w:pPr>
      <w:r>
        <w:rPr>
          <w:b/>
          <w:bCs/>
        </w:rPr>
        <w:t xml:space="preserve">4. Calibration (Powell optimisation, three phases).</w:t>
      </w:r>
      <w:r>
        <w:t xml:space="preserve"> Let *θ* = (ε_r,1, σ_1, S_1, ..., ε_r,6, σ_6, S_6, s) ∈ ℝ¹⁹ denote the vector of free calibration parameters — permittivity, conductivity, and scattering coefficient for the six unlocked materials of Table 3.2, plus a global scalar offset *s* (dB). Calibration solves:</w:t>
      </w:r>
    </w:p>
    <w:p>
      <w:pPr>
        <w:spacing w:after="160"/>
      </w:pPr>
      <w:r>
        <w:rPr>
          <w:b/>
          <w:bCs/>
        </w:rPr>
        <w:t xml:space="preserve">Equation (3.1):</w:t>
      </w:r>
      <w:r>
        <w:t xml:space="preserve"> θ* = argmin_θ RMSE(θ)</w:t>
      </w:r>
    </w:p>
    <w:p>
      <w:pPr>
        <w:spacing w:after="160"/>
      </w:pPr>
      <w:r>
        <w:t xml:space="preserve">where RMSE(θ) is Equation (2.15), evaluated over a calibration receiver subset restricted to the LOS-regime distance range (Section 3.3), and the minimisation is carried out with Powell's derivative-free conjugate-direction method [28] (via SciPy's optimiser) in three phases (Figure 3.5):</w:t>
      </w:r>
    </w:p>
    <w:p>
      <w:pPr>
        <w:spacing w:after="160"/>
      </w:pPr>
      <w:r>
        <w:rPr>
          <w:b/>
          <w:bCs/>
        </w:rPr>
        <w:t xml:space="preserve">Figure 3.5 — Three-phase Powell calibration procedure.</w:t>
      </w:r>
    </w:p>
    <w:p>
      <w:pPr>
        <w:spacing w:after="160"/>
      </w:pPr>
      <w:r>
        <w:rPr>
          <w:i/>
          <w:iCs/>
        </w:rPr>
        <w:t xml:space="preserve">[FIGURE PLACEHOLDER] Figure 3.5 — Three-phase Powell calibration procedure</w:t>
      </w:r>
    </w:p>
    <w:p>
      <w:pPr>
        <w:spacing w:after="160"/>
      </w:pPr>
      <w:r>
        <w:t xml:space="preserve">• *Phase 0*: the scalar offset *s* alone is fit first (all material parameters held at their ITU-R-derived initial values), absorbing antenna-gain, cable-loss, and absolute-power uncertainty not captured by the geometric model.</w:t>
      </w:r>
    </w:p>
    <w:p>
      <w:pPr>
        <w:spacing w:after="160"/>
      </w:pPr>
      <w:r>
        <w:t xml:space="preserve">• *Phase 1* (coordinate-descent warm-up): skipped in the runs reported in this thesis, based on evidence that it did not improve on Phase 0's starting point for this problem.</w:t>
      </w:r>
    </w:p>
    <w:p>
      <w:pPr>
        <w:spacing w:after="160"/>
      </w:pPr>
      <w:r>
        <w:t xml:space="preserve">• *Phase 2*: joint Powell refinement solving Equation (3.1) over the full 19-dimensional *θ*, with *s* re-optimised jointly with the material parameters.</w:t>
      </w:r>
    </w:p>
    <w:p>
      <w:pPr>
        <w:spacing w:after="160"/>
      </w:pPr>
      <w:r>
        <w:t xml:space="preserve">• Calibration is run at a reduced sample count (2M–30M) relative to final evaluation (100M) for runtime reasons; the corresponding Monte Carlo noise floor (as low as ±0.12 dB at 30M samples) is treated as the practical limit of Powell's achievable fit, below which further "improvement" in Equation (3.1) would be fitting noise rather than signal.</w:t>
      </w:r>
    </w:p>
    <w:p>
      <w:pPr>
        <w:spacing w:after="160"/>
      </w:pPr>
      <w:r>
        <w:rPr>
          <w:b/>
          <w:bCs/>
        </w:rPr>
        <w:t xml:space="preserve">5. Post-processing corrections.</w:t>
      </w:r>
      <w:r>
        <w:t xml:space="preserve"> After calibration, simulated path loss is further corrected as summarised in Figure 3.6: a per-distance-bin mean offset (</w:t>
      </w:r>
      <w:r>
        <w:rPr>
          <w:rFonts w:ascii="Consolas" w:hAnsi="Consolas"/>
        </w:rPr>
        <w:t xml:space="preserve">N_SCALAR_BINS</w:t>
      </w:r>
      <w:r>
        <w:t xml:space="preserve">, e.g. 10–15 bins), a separate LOS/NLOS mean offset split at the breakpoint distance R_bp (Equation 2.13), and vegetation attenuation — either applied per-receiver to the total path (Weissberger [18] at 915/1802 MHz) or per-path to each individual ray segment intersecting vegetation geometry (ITU-R P.833-10 [16] at 2695/3602 MHz, using the </w:t>
      </w:r>
      <w:r>
        <w:rPr>
          <w:rFonts w:ascii="Consolas" w:hAnsi="Consolas"/>
        </w:rPr>
        <w:t xml:space="preserve">PathSolver</w:t>
      </w:r>
      <w:r>
        <w:t xml:space="preserve"> output's per-segment vertex data, with a height filter skipping segments entirely above canopy level to avoid mis-counting rooftop-level paths as vegetation-obstructed). At 3602 MHz specifically, 3D canopy/trunk geometry is made transparent (</w:t>
      </w:r>
      <w:r>
        <w:rPr>
          <w:rFonts w:ascii="Consolas" w:hAnsi="Consolas"/>
        </w:rPr>
        <w:t xml:space="preserve">DISABLE_CANOPY=True</w:t>
      </w:r>
      <w:r>
        <w:t xml:space="preserve">) because at λ = 8.3 cm, solid canopy cones were found to block essentially all rays beyond ~400 m; the per-path correction is what recovers realistic attenuation in that configuration.</w:t>
      </w:r>
    </w:p>
    <w:p>
      <w:pPr>
        <w:spacing w:after="160"/>
      </w:pPr>
      <w:r>
        <w:rPr>
          <w:b/>
          <w:bCs/>
        </w:rPr>
        <w:t xml:space="preserve">Figure 3.6 — Post-processing correction chain.</w:t>
      </w:r>
    </w:p>
    <w:p>
      <w:pPr>
        <w:spacing w:after="160"/>
      </w:pPr>
      <w:r>
        <w:rPr>
          <w:i/>
          <w:iCs/>
        </w:rPr>
        <w:t xml:space="preserve">[FIGURE PLACEHOLDER] Figure 3.6 — Post-processing correction chain</w:t>
      </w:r>
    </w:p>
    <w:p>
      <w:pPr>
        <w:spacing w:after="160"/>
      </w:pPr>
      <w:r>
        <w:rPr>
          <w:b/>
          <w:bCs/>
        </w:rPr>
        <w:t xml:space="preserve">6. Evaluation and coverage mapping.</w:t>
      </w:r>
      <w:r>
        <w:t xml:space="preserve"> The calibrated, corrected model is compared against the full (not just the calibration-subset) Ofcom measurements at each site/frequency, computing bias, RMSE, and R² (Equations 2.14–2.16) over cumulative distance bands (e.g., 0–500 m, 0–750 m, ..., 0–1500 m), and separately for each combination of scattering ON/OFF and coherent/incoherent summation (Section 2.1.5), to identify the best-performing method at each frequency rather than assuming one in advance. Beyond per-receiver statistics, Sionna's </w:t>
      </w:r>
      <w:r>
        <w:rPr>
          <w:rFonts w:ascii="Consolas" w:hAnsi="Consolas"/>
        </w:rPr>
        <w:t xml:space="preserve">RadioMapSolver</w:t>
      </w:r>
      <w:r>
        <w:t xml:space="preserve"> is used to generate spatially continuous 2D/3D coverage maps of the calibrated scene, visualised as colour-coded received-signal-strength heatmaps alongside the discrete drive-test comparison, and an outlier diagnostic lists the worst-performing individual receivers in a chosen distance band for manual inspection. A runtime scattering-coefficient sweep is also used as a targeted sensitivity analysis, independent of the full Powell search, to check how strongly overall accuracy responds to the scattering coefficient alone.</w:t>
      </w:r>
    </w:p>
    <w:p>
      <w:pPr>
        <w:spacing w:after="160"/>
      </w:pPr>
      <w:r>
        <w:rPr>
          <w:i/>
          <w:iCs/>
        </w:rPr>
        <w:t xml:space="preserve">[FIGURE 3.7 — PLACEHOLDER — requires real simulation output, not fabricated]</w:t>
      </w:r>
    </w:p>
    <w:p>
      <w:pPr>
        <w:spacing w:after="160"/>
      </w:pPr>
      <w:r>
        <w:rPr>
          <w:i/>
          <w:iCs/>
        </w:rPr>
        <w:t xml:space="preserve">Coverage map comparison: `RadioMapSolver` 2D received-signal-strength heatmap over the Nottingham scene, overlaid with the Ofcom drive-test receiver points colour-coded by measured RSSI, for visual comparison against the simulated heatmap. This environment has no GPU, no Sionna RT installation, and no access to the calibrated scene/material files needed to run `RadioMapSolver`, so this cannot be generated here without inventing a result. To produce it: run CELL 9 (`RadioMapSolver`) in the relevant simulation notebook after the final calibration is loaded, export the coverage map figure, and overlay the receiver-level measured/simulated comparison from CELL REPORT.</w:t>
      </w:r>
    </w:p>
    <w:p>
      <w:pPr>
        <w:spacing w:after="160"/>
      </w:pPr>
      <w:r>
        <w:rPr>
          <w:b/>
          <w:bCs/>
        </w:rPr>
        <w:t xml:space="preserve">7. Verification and quality-control steps.</w:t>
      </w:r>
      <w:r>
        <w:t xml:space="preserve"> Several checks were built into the pipeline specifically to catch simulation artefacts rather than treat every RMSE change as a genuine physical finding: a 3-probe sensitivity check was added after an early run showed flat RMSE across all Powell evaluations, traced to Dr.Jit kernel caching rather than an actual lack of sensitivity to the parameters being varied; a memory-leak fix was required after </w:t>
      </w:r>
      <w:r>
        <w:rPr>
          <w:rFonts w:ascii="Consolas" w:hAnsi="Consolas"/>
        </w:rPr>
        <w:t xml:space="preserve">PathSolver</w:t>
      </w:r>
      <w:r>
        <w:t xml:space="preserve"> results were found to accumulate in GPU memory across evaluations; and the fixed random seed (Section 3.3) was adopted after an unseeded run showed ±4 dB drift between nominally identical evaluations. A more involved case illustrates why these checks matter: at 2695 MHz, one calibration run (Run 3) silently made the vegetation-disc material transparent (ε_r=1) during Powell optimisation rather than during evaluation, which let the optimiser drive brick/concrete scattering coefficients up to compensate — producing a scene with roughly three times the intended scatter-path count and a fully sign-flipped bias once evaluated with the intended (non-transparent) materials; reverting the material-fixing logic so calibration and evaluation used consistent materials throughout (Run 2) resolved it (Figure 3.8). Each of these was diagnosed by comparing expected versus observed behaviour under a controlled change, consistent with standard debugging/verification practice for a computational pipeline of this complexity.</w:t>
      </w:r>
    </w:p>
    <w:p>
      <w:pPr>
        <w:spacing w:after="160"/>
      </w:pPr>
      <w:r>
        <w:rPr>
          <w:i/>
          <w:iCs/>
        </w:rPr>
        <w:t xml:space="preserve">[FIGURE PLACEHOLDER] Figure 3.8 — Verification artefact: 2695 MHz Run 2 vs. Run 3</w:t>
      </w:r>
    </w:p>
    <w:p>
      <w:pPr>
        <w:spacing w:after="160"/>
      </w:pPr>
      <w:r>
        <w:rPr>
          <w:i/>
          <w:iCs/>
        </w:rPr>
        <w:t xml:space="preserve">Figure 3.8 — Documented evidence of the material-consistency verification case: Run 3's transparent-during-calibration-only vegetation material produced roughly a third of Run 2's scatter-path count and a fully sign-flipped bias, collapsing R² from 0.574 to −0.881 at 0–1250 m. Restoring consistent materials between calibration and evaluation (Run 2) is the result reported in Chapters 4–5.</w:t>
      </w:r>
    </w:p>
    <w:p>
      <w:pPr>
        <w:spacing w:after="160"/>
      </w:pPr>
      <w:r>
        <w:rPr>
          <w:b/>
          <w:bCs/>
        </w:rPr>
        <w:t xml:space="preserve">Reproducibility.</w:t>
      </w:r>
      <w:r>
        <w:t xml:space="preserve"> Every step above is fixed by an explicit, version-controlled artefact rather than an unrecorded manual action: the pinned software environment (Section 4.2), the scene-construction and simulation notebooks themselves (frozen once validated, Section 3.3), the ITU-R-sourced initial material values (Table 3.2), the fixed random seed, and the numbered equations defining every metric and optimisation objective (Equations 2.4–2.16, 3.1) used to accept or reject a given configuration. Taken together, this specification is intended to be sufficient for an independent researcher to reconstruct each site's scene, run the same three-phase calibration, and obtain the same evaluation statistics reported in Chapters 4–5, modulo the residual Monte Carlo noise floor quantified in Section 3.3.</w:t>
      </w:r>
    </w:p>
    <w:p>
      <w:pPr>
        <w:spacing w:after="160"/>
      </w:pPr>
      <w:r>
        <w:rPr>
          <w:i/>
          <w:iCs/>
        </w:rPr>
        <w:t xml:space="preserve">References for this chapter reuse [3], [5], [6], [8], [12], [13], [15], [16], [17], [18], [27], [28] from Chapters 1–2. See `references.md` for the full, verified reference list shared across all chapters.</w:t>
      </w:r>
    </w:p>
    <w:p>
      <w:r>
        <w:br w:type="page"/>
      </w:r>
    </w:p>
    <w:p>
      <w:pPr>
        <w:pStyle w:val="Heading1"/>
      </w:pPr>
      <w:r>
        <w:t xml:space="preserve">Implementation / Experimental Setup / Simulation</w:t>
      </w:r>
    </w:p>
    <w:p>
      <w:pPr>
        <w:spacing w:after="160"/>
      </w:pPr>
      <w:r>
        <w:t xml:space="preserve">Chapter 3 established *what* was done and *why* — the scientific approach, the tools selected, and the seven-step procedure that turns raw geospatial and measurement data into a calibrated, evaluated propagation model (Section 3.4). This chapter documents *how* that procedure was concretely realised in software: the code architecture that implements it (Section 4.1), the exact hardware, software, and per-site configuration values used (Section 4.2), how the three raw data sources were obtained and processed into scene geometry (Section 4.3), and the real technical failures encountered along the way, with root cause, fix, and version-control evidence for each (Section 4.4). Reproducibility is the organising concern throughout: every configuration value, file artefact, and fix reported here is either a directly observed notebook setting or a committed code change, not an inferred or idealised description of the pipeline.</w:t>
      </w:r>
    </w:p>
    <w:p>
      <w:pPr>
        <w:pStyle w:val="Heading2"/>
      </w:pPr>
      <w:r>
        <w:t xml:space="preserve">4.1 Model Development / System Implementation</w:t>
      </w:r>
    </w:p>
    <w:p>
      <w:pPr>
        <w:spacing w:after="160"/>
      </w:pPr>
      <w:r>
        <w:t xml:space="preserve">The methodology of Chapter 3 is implemented as a pair of Jupyter notebooks per site/frequency combination, following a consistent, config-driven architecture (Figure 4.1): a </w:t>
      </w:r>
      <w:r>
        <w:rPr>
          <w:b/>
          <w:bCs/>
        </w:rPr>
        <w:t xml:space="preserve">scene-builder notebook</w:t>
      </w:r>
      <w:r>
        <w:t xml:space="preserve"> that turns raw geospatial data into a Sionna 2.0 scene file, and a </w:t>
      </w:r>
      <w:r>
        <w:rPr>
          <w:b/>
          <w:bCs/>
        </w:rPr>
        <w:t xml:space="preserve">simulation notebook</w:t>
      </w:r>
      <w:r>
        <w:t xml:space="preserve"> that loads that scene, assigns and calibrates materials, places the transmitter and receivers, runs the ray tracer, and evaluates the result. Each notebook follows the same internal convention: a single configuration cell (</w:t>
      </w:r>
      <w:r>
        <w:rPr>
          <w:rFonts w:ascii="Consolas" w:hAnsi="Consolas"/>
        </w:rPr>
        <w:t xml:space="preserve">CELL 0</w:t>
      </w:r>
      <w:r>
        <w:t xml:space="preserve">/</w:t>
      </w:r>
      <w:r>
        <w:rPr>
          <w:rFonts w:ascii="Consolas" w:hAnsi="Consolas"/>
        </w:rPr>
        <w:t xml:space="preserve">CELL 1</w:t>
      </w:r>
      <w:r>
        <w:t xml:space="preserve">) holds every site-specific parameter, and every other cell is a self-contained processing step identified by a stable label (</w:t>
      </w:r>
      <w:r>
        <w:rPr>
          <w:rFonts w:ascii="Consolas" w:hAnsi="Consolas"/>
        </w:rPr>
        <w:t xml:space="preserve">CELL 2b</w:t>
      </w:r>
      <w:r>
        <w:t xml:space="preserve">, </w:t>
      </w:r>
      <w:r>
        <w:rPr>
          <w:rFonts w:ascii="Consolas" w:hAnsi="Consolas"/>
        </w:rPr>
        <w:t xml:space="preserve">CELL 4A</w:t>
      </w:r>
      <w:r>
        <w:t xml:space="preserve">, </w:t>
      </w:r>
      <w:r>
        <w:rPr>
          <w:rFonts w:ascii="Consolas" w:hAnsi="Consolas"/>
        </w:rPr>
        <w:t xml:space="preserve">CELL 8e</w:t>
      </w:r>
      <w:r>
        <w:t xml:space="preserve">, etc.) that this thesis refers to directly — these cell labels are the actual notebook structure, not an abstraction introduced for the write-up.</w:t>
      </w:r>
    </w:p>
    <w:p>
      <w:pPr>
        <w:spacing w:after="160"/>
      </w:pPr>
      <w:r>
        <w:rPr>
          <w:b/>
          <w:bCs/>
        </w:rPr>
        <w:t xml:space="preserve">Figure 4.1 — Code/notebook architecture and data-artefact interfaces.</w:t>
      </w:r>
    </w:p>
    <w:p>
      <w:pPr>
        <w:spacing w:after="160"/>
      </w:pPr>
      <w:r>
        <w:rPr>
          <w:i/>
          <w:iCs/>
        </w:rPr>
        <w:t xml:space="preserve">[FIGURE PLACEHOLDER] Figure 4.1 — Code/notebook architecture and data-artefact interfaces</w:t>
      </w:r>
    </w:p>
    <w:p>
      <w:pPr>
        <w:spacing w:after="160"/>
      </w:pPr>
      <w:r>
        <w:rPr>
          <w:i/>
          <w:iCs/>
        </w:rPr>
        <w:t xml:space="preserve">Figure 4.1 — The scene-builder and simulation notebooks are separate programs connected only through file artefacts (the scene XML, and the calibrated-material/scalar-offset JSON files), not through shared in-memory state or function imports. This lets the expensive scene-construction step (LiDAR download, mesh generation) run once and freeze (Section 3.3), while the simulation notebook is iterated on repeatedly during calibration without ever risking a scene rebuild.</w:t>
      </w:r>
    </w:p>
    <w:p>
      <w:pPr>
        <w:spacing w:after="160"/>
      </w:pPr>
      <w:r>
        <w:t xml:space="preserve">Four implementation components follow directly from Chapter 3's procedure:</w:t>
      </w:r>
    </w:p>
    <w:p>
      <w:pPr>
        <w:spacing w:after="160"/>
      </w:pPr>
      <w:r>
        <w:rPr>
          <w:b/>
          <w:bCs/>
        </w:rPr>
        <w:t xml:space="preserve">Material assignment and calibration (Steps 2 and 4).</w:t>
      </w:r>
      <w:r>
        <w:t xml:space="preserve"> Each surface material is instantiated via Sionna's </w:t>
      </w:r>
      <w:r>
        <w:rPr>
          <w:rFonts w:ascii="Consolas" w:hAnsi="Consolas"/>
        </w:rPr>
        <w:t xml:space="preserve">RadioMaterial</w:t>
      </w:r>
      <w:r>
        <w:t xml:space="preserve"> constructor — e.g. </w:t>
      </w:r>
      <w:r>
        <w:rPr>
          <w:rFonts w:ascii="Consolas" w:hAnsi="Consolas"/>
        </w:rPr>
        <w:t xml:space="preserve">RadioMaterial(name, relative_permittivity=&lt;ε_r&gt;, conductivity=&lt;σ&gt;, scattering_coefficient=&lt;S&gt;)</w:t>
      </w:r>
      <w:r>
        <w:t xml:space="preserve"> — one per entry in Table 3.2, initialised from ITU-R P.2040-2 [17]. Calibration (Equation 3.1) is implemented behind a </w:t>
      </w:r>
      <w:r>
        <w:rPr>
          <w:rFonts w:ascii="Consolas" w:hAnsi="Consolas"/>
        </w:rPr>
        <w:t xml:space="preserve">CAL_OPTIMIZER</w:t>
      </w:r>
      <w:r>
        <w:t xml:space="preserve"> configuration flag selecting between interchangeable back-ends that share the same three-phase structure (Section 3.4, Step 4), the same objective function, and the same output files (</w:t>
      </w:r>
      <w:r>
        <w:rPr>
          <w:rFonts w:ascii="Consolas" w:hAnsi="Consolas"/>
        </w:rPr>
        <w:t xml:space="preserve">calibrated_materials_&lt;freq&gt;.json</w:t>
      </w:r>
      <w:r>
        <w:t xml:space="preserve">, </w:t>
      </w:r>
      <w:r>
        <w:rPr>
          <w:rFonts w:ascii="Consolas" w:hAnsi="Consolas"/>
        </w:rPr>
        <w:t xml:space="preserve">scalar_offset_&lt;freq&gt;.json</w:t>
      </w:r>
      <w:r>
        <w:t xml:space="preserve">). Early development and several per-site runs used </w:t>
      </w:r>
      <w:r>
        <w:rPr>
          <w:rFonts w:ascii="Consolas" w:hAnsi="Consolas"/>
        </w:rPr>
        <w:t xml:space="preserve">scipy.optimize</w:t>
      </w:r>
      <w:r>
        <w:t xml:space="preserve">'s Powell method [28], a derivative-free conjugate-direction search. For sites where the free-parameter space grew large and correlated — up to 18 simultaneous parameters at 1802 MHz, where permittivity, conductivity, and scattering interact through the Fresnel/scattering physics of Section 2.1.4 (Equation 2.16) — the joint-search phase was switched to the </w:t>
      </w:r>
      <w:r>
        <w:rPr>
          <w:b/>
          <w:bCs/>
        </w:rPr>
        <w:t xml:space="preserve">Covariance Matrix Adaptation Evolution Strategy (CMA-ES)</w:t>
      </w:r>
      <w:r>
        <w:t xml:space="preserve"> [31], a population-based global optimiser implemented via the </w:t>
      </w:r>
      <w:r>
        <w:rPr>
          <w:rFonts w:ascii="Consolas" w:hAnsi="Consolas"/>
        </w:rPr>
        <w:t xml:space="preserve">cma</w:t>
      </w:r>
      <w:r>
        <w:t xml:space="preserve"> package that adapts its search covariance to the local objective landscape, a regime Powell's coordinate-wise search handles poorly. A differential-evolution back-end was also implemented and evaluated but converged more slowly (≈5.5 h vs. ≈2–3 h for CMA-ES at matched sample counts) and was not used for the final results. Table 4.4 records which optimiser was adopted at each site.</w:t>
      </w:r>
    </w:p>
    <w:p>
      <w:pPr>
        <w:spacing w:after="160"/>
      </w:pPr>
      <w:r>
        <w:rPr>
          <w:b/>
          <w:bCs/>
        </w:rPr>
        <w:t xml:space="preserve">Building geometry (Figure 4.2).</w:t>
      </w:r>
      <w:r>
        <w:t xml:space="preserve"> In the verified scene-builder notebook </w:t>
      </w:r>
      <w:r>
        <w:rPr>
          <w:rFonts w:ascii="Consolas" w:hAnsi="Consolas"/>
        </w:rPr>
        <w:t xml:space="preserve">sionna019_scene_builder.ipynb</w:t>
      </w:r>
      <w:r>
        <w:t xml:space="preserve">, every building footprint receives a height through a four-level fallback chain, implemented as ordered conditional logic rather than a single lookup: the LiDAR nDSM height at the building centroid when available and physically plausible; otherwise the OSM </w:t>
      </w:r>
      <w:r>
        <w:rPr>
          <w:rFonts w:ascii="Consolas" w:hAnsi="Consolas"/>
        </w:rPr>
        <w:t xml:space="preserve">height=</w:t>
      </w:r>
      <w:r>
        <w:t xml:space="preserve"> tag; otherwise </w:t>
      </w:r>
      <w:r>
        <w:rPr>
          <w:rFonts w:ascii="Consolas" w:hAnsi="Consolas"/>
        </w:rPr>
        <w:t xml:space="preserve">building:levels × 3.5 m</w:t>
      </w:r>
      <w:r>
        <w:t xml:space="preserve">; otherwise a fixed </w:t>
      </w:r>
      <w:r>
        <w:rPr>
          <w:rFonts w:ascii="Consolas" w:hAnsi="Consolas"/>
        </w:rPr>
        <w:t xml:space="preserve">DEFAULT_HEIGHT_M</w:t>
      </w:r>
      <w:r>
        <w:t xml:space="preserve">. nDSM is preferred because OSM height/level tags are too sparse to rely on alone — doing so was found to cause far-field under-attenuation from buildings modelled too short. In the Nottingham scene, 92% of buildings resolve directly to an nDSM height.</w:t>
      </w:r>
    </w:p>
    <w:p>
      <w:pPr>
        <w:spacing w:after="160"/>
      </w:pPr>
      <w:r>
        <w:rPr>
          <w:b/>
          <w:bCs/>
        </w:rPr>
        <w:t xml:space="preserve">Figure 4.2 — Building-height derivation fallback chain.</w:t>
      </w:r>
    </w:p>
    <w:p>
      <w:pPr>
        <w:spacing w:after="160"/>
      </w:pPr>
      <w:r>
        <w:rPr>
          <w:i/>
          <w:iCs/>
        </w:rPr>
        <w:t xml:space="preserve">[FIGURE PLACEHOLDER] Figure 4.2 — Building-height derivation fallback chain</w:t>
      </w:r>
    </w:p>
    <w:p>
      <w:pPr>
        <w:spacing w:after="160"/>
      </w:pPr>
      <w:r>
        <w:rPr>
          <w:i/>
          <w:iCs/>
        </w:rPr>
        <w:t xml:space="preserve">Figure 4.2 — Implemented exactly as documented in `sionna019_scene_builder.ipynb`'s own configuration notes: nDSM is tried first, with three progressively coarser fallbacks so that every building footprint receives a height even where LiDAR/OSM data is incomplete.</w:t>
      </w:r>
    </w:p>
    <w:p>
      <w:pPr>
        <w:spacing w:after="160"/>
      </w:pPr>
      <w:r>
        <w:rPr>
          <w:b/>
          <w:bCs/>
        </w:rPr>
        <w:t xml:space="preserve">Table 4.1 — LiDAR/DEM provider abstraction.</w:t>
      </w:r>
    </w:p>
    <w:tbl>
      <w:tblPr>
        <w:tblW w:w="9500" w:type="dxa"/>
        <w:tblBorders>
          <w:top w:val="single" w:sz="6" w:space="0" w:color="D1D9E0"/>
          <w:left w:val="single" w:sz="6" w:space="0" w:color="D1D9E0"/>
          <w:bottom w:val="single" w:sz="6" w:space="0" w:color="D1D9E0"/>
          <w:right w:val="single" w:sz="6" w:space="0" w:color="D1D9E0"/>
          <w:insideH w:val="single" w:sz="6" w:space="0" w:color="D1D9E0"/>
          <w:insideV w:val="single" w:sz="6" w:space="0" w:color="D1D9E0"/>
        </w:tblBorders>
        <w:tblCellMar>
          <w:top w:w="60" w:type="dxa"/>
          <w:left w:w="100" w:type="dxa"/>
          <w:bottom w:w="60" w:type="dxa"/>
          <w:right w:w="100" w:type="dxa"/>
        </w:tblCellMar>
        <w:tblLook w:val="04A0" w:firstRow="1" w:lastRow="0" w:firstColumn="1" w:lastColumn="0" w:noHBand="0" w:noVBand="1"/>
      </w:tblPr>
      <w:tblGrid>
        <w:gridCol w:w="2375"/>
        <w:gridCol w:w="2375"/>
        <w:gridCol w:w="2375"/>
        <w:gridCol w:w="2375"/>
      </w:tblGrid>
      <w:tr>
        <w:tc>
          <w:tcPr>
            <w:tcW w:w="2375" w:type="dxa"/>
          </w:tcPr>
          <w:p>
            <w:r>
              <w:rPr>
                <w:b/>
                <w:bCs/>
              </w:rPr>
              <w:t xml:space="preserve">`NDSM_PROVIDER`</w:t>
            </w:r>
          </w:p>
        </w:tc>
        <w:tc>
          <w:tcPr>
            <w:tcW w:w="2375" w:type="dxa"/>
          </w:tcPr>
          <w:p>
            <w:r>
              <w:rPr>
                <w:b/>
                <w:bCs/>
              </w:rPr>
              <w:t xml:space="preserve">Coverage</w:t>
            </w:r>
          </w:p>
        </w:tc>
        <w:tc>
          <w:tcPr>
            <w:tcW w:w="2375" w:type="dxa"/>
          </w:tcPr>
          <w:p>
            <w:r>
              <w:rPr>
                <w:b/>
                <w:bCs/>
              </w:rPr>
              <w:t xml:space="preserve">Data source</w:t>
            </w:r>
          </w:p>
        </w:tc>
        <w:tc>
          <w:tcPr>
            <w:tcW w:w="2375" w:type="dxa"/>
          </w:tcPr>
          <w:p>
            <w:r>
              <w:rPr>
                <w:b/>
                <w:bCs/>
              </w:rPr>
              <w:t xml:space="preserve">Resolution</w:t>
            </w:r>
          </w:p>
        </w:tc>
      </w:tr>
      <w:tr>
        <w:tc>
          <w:tcPr>
            <w:tcW w:w="2375" w:type="dxa"/>
          </w:tcPr>
          <w:p>
            <w:r>
              <w:rPr>
                <w:rFonts w:ascii="Consolas" w:hAnsi="Consolas"/>
              </w:rPr>
              <w:t xml:space="preserve">'ea'</w:t>
            </w:r>
          </w:p>
        </w:tc>
        <w:tc>
          <w:tcPr>
            <w:tcW w:w="2375" w:type="dxa"/>
          </w:tcPr>
          <w:p>
            <w:r>
              <w:t xml:space="preserve">England (≤55.9°N)</w:t>
            </w:r>
          </w:p>
        </w:tc>
        <w:tc>
          <w:tcPr>
            <w:tcW w:w="2375" w:type="dxa"/>
          </w:tcPr>
          <w:p>
            <w:r>
              <w:t xml:space="preserve">Environment Agency WCS (free, open)</w:t>
            </w:r>
          </w:p>
        </w:tc>
        <w:tc>
          <w:tcPr>
            <w:tcW w:w="2375" w:type="dxa"/>
          </w:tcPr>
          <w:p>
            <w:r>
              <w:t xml:space="preserve">1 m</w:t>
            </w:r>
          </w:p>
        </w:tc>
      </w:tr>
      <w:tr>
        <w:tc>
          <w:tcPr>
            <w:tcW w:w="2375" w:type="dxa"/>
          </w:tcPr>
          <w:p>
            <w:r>
              <w:rPr>
                <w:rFonts w:ascii="Consolas" w:hAnsi="Consolas"/>
              </w:rPr>
              <w:t xml:space="preserve">'usgs'</w:t>
            </w:r>
          </w:p>
        </w:tc>
        <w:tc>
          <w:tcPr>
            <w:tcW w:w="2375" w:type="dxa"/>
          </w:tcPr>
          <w:p>
            <w:r>
              <w:t xml:space="preserve">USA</w:t>
            </w:r>
          </w:p>
        </w:tc>
        <w:tc>
          <w:tcPr>
            <w:tcW w:w="2375" w:type="dxa"/>
          </w:tcPr>
          <w:p>
            <w:r>
              <w:t xml:space="preserve">USGS 3DEP WCS (free, open)</w:t>
            </w:r>
          </w:p>
        </w:tc>
        <w:tc>
          <w:tcPr>
            <w:tcW w:w="2375" w:type="dxa"/>
          </w:tcPr>
          <w:p>
            <w:r>
              <w:t xml:space="preserve">1 m</w:t>
            </w:r>
          </w:p>
        </w:tc>
      </w:tr>
      <w:tr>
        <w:tc>
          <w:tcPr>
            <w:tcW w:w="2375" w:type="dxa"/>
          </w:tcPr>
          <w:p>
            <w:r>
              <w:rPr>
                <w:rFonts w:ascii="Consolas" w:hAnsi="Consolas"/>
              </w:rPr>
              <w:t xml:space="preserve">'opentopo'</w:t>
            </w:r>
          </w:p>
        </w:tc>
        <w:tc>
          <w:tcPr>
            <w:tcW w:w="2375" w:type="dxa"/>
          </w:tcPr>
          <w:p>
            <w:r>
              <w:t xml:space="preserve">Global fallback</w:t>
            </w:r>
          </w:p>
        </w:tc>
        <w:tc>
          <w:tcPr>
            <w:tcW w:w="2375" w:type="dxa"/>
          </w:tcPr>
          <w:p>
            <w:r>
              <w:t xml:space="preserve">OpenTopography REST API (SRTM)</w:t>
            </w:r>
          </w:p>
        </w:tc>
        <w:tc>
          <w:tcPr>
            <w:tcW w:w="2375" w:type="dxa"/>
          </w:tcPr>
          <w:p>
            <w:r>
              <w:t xml:space="preserve">30 m</w:t>
            </w:r>
          </w:p>
        </w:tc>
      </w:tr>
    </w:tbl>
    <w:p/>
    <w:p>
      <w:pPr>
        <w:spacing w:after="160"/>
      </w:pPr>
      <w:r>
        <w:rPr>
          <w:i/>
          <w:iCs/>
        </w:rPr>
        <w:t xml:space="preserve">Table 4.1 — The provider feeding the height fallback chain above is auto-selected by scene latitude/longitude rather than hard-coded. English sites (Nottingham, London, Stevenage) use `'ea'`; Scar Hill falls through to `'opentopo'`, since it lies north of the EA LiDAR boundary — the source of the terrain-resolution constraint discussed in Section 4.3.</w:t>
      </w:r>
    </w:p>
    <w:p>
      <w:pPr>
        <w:spacing w:after="160"/>
      </w:pPr>
      <w:r>
        <w:rPr>
          <w:b/>
          <w:bCs/>
        </w:rPr>
        <w:t xml:space="preserve">Vegetation geometry.</w:t>
      </w:r>
      <w:r>
        <w:t xml:space="preserve"> Three implementation decisions jointly realise the frequency-dependent vegetation strategy introduced in Section 3.3 (Figure 3.2's decision point). First, disc density and layering are set by a configuration branch: </w:t>
      </w:r>
      <w:r>
        <w:rPr>
          <w:rFonts w:ascii="Consolas" w:hAnsi="Consolas"/>
        </w:rPr>
        <w:t xml:space="preserve">VEG_DISC_LAYERS = 1</w:t>
      </w:r>
      <w:r>
        <w:t xml:space="preserve"> with fixed layer-height fractions for the 915/1802 MHz scenes, versus </w:t>
      </w:r>
      <w:r>
        <w:rPr>
          <w:rFonts w:ascii="Consolas" w:hAnsi="Consolas"/>
        </w:rPr>
        <w:t xml:space="preserve">VEG_DISC_LAYERS = 3</w:t>
      </w:r>
      <w:r>
        <w:t xml:space="preserve"> at fractions </w:t>
      </w:r>
      <w:r>
        <w:rPr>
          <w:rFonts w:ascii="Consolas" w:hAnsi="Consolas"/>
        </w:rPr>
        <w:t xml:space="preserve">[0.30, 0.65, 1.0]</w:t>
      </w:r>
      <w:r>
        <w:t xml:space="preserve"> of crown depth for the shared 2695/3602 MHz scene, spaced four times more densely (10 m vs. 20 m grid spacing) with up to 1,000 discs per polygon rather than 500. Second, individual trees are placed independently from the LiDAR nDSM via local-maximum detection (5 m minimum inter-tree spacing, 3–30 m height band, building-footprint exclusion mask) — 15,486 trees in the Nottingham scene, each a canopy cone (</w:t>
      </w:r>
      <w:r>
        <w:rPr>
          <w:rFonts w:ascii="Consolas" w:hAnsi="Consolas"/>
        </w:rPr>
        <w:t xml:space="preserve">canopy_itu_vegetation</w:t>
      </w:r>
      <w:r>
        <w:t xml:space="preserve">) plus trunk cylinder (</w:t>
      </w:r>
      <w:r>
        <w:rPr>
          <w:rFonts w:ascii="Consolas" w:hAnsi="Consolas"/>
        </w:rPr>
        <w:t xml:space="preserve">trunk_itu_wood</w:t>
      </w:r>
      <w:r>
        <w:t xml:space="preserve">) alongside the disc layer. Third, and most consequentially, all vegetation geometry defaults to </w:t>
      </w:r>
      <w:r>
        <w:rPr>
          <w:b/>
          <w:bCs/>
        </w:rPr>
        <w:t xml:space="preserve">flat, ground-level patches</w:t>
      </w:r>
      <w:r>
        <w:t xml:space="preserve"> rather than extruded 3D canopy volumes: at 915 MHz, a solid extruded canopy was found to be opaque to Sionna's surface-based ray tracer (Section 2.1.7), blocking 100% of rays passing through it and producing −10 to −15 dB of over-attenuation in wooded corridors. Flat patches instead let the </w:t>
      </w:r>
      <w:r>
        <w:rPr>
          <w:rFonts w:ascii="Consolas" w:hAnsi="Consolas"/>
        </w:rPr>
        <w:t xml:space="preserve">itu_vegetation</w:t>
      </w:r>
      <w:r>
        <w:t xml:space="preserve"> scattering material contribute diffuse loss at the ray level, while bulk excess attenuation is added separately in post-processing — Weissberger [18] below ~2 GHz, ITU-R P.833-10 [16] above (Section 4.4 discusses why this correction is applied per-path rather than per-receiver at the higher frequencies).</w:t>
      </w:r>
    </w:p>
    <w:p>
      <w:pPr>
        <w:spacing w:after="160"/>
      </w:pPr>
      <w:r>
        <w:rPr>
          <w:i/>
          <w:iCs/>
        </w:rPr>
        <w:t xml:space="preserve">[FIGURE 4.3 — PLACEHOLDER — requires a real scene screenshot, not fabricated]</w:t>
      </w:r>
    </w:p>
    <w:p>
      <w:pPr>
        <w:spacing w:after="160"/>
      </w:pPr>
      <w:r>
        <w:rPr>
          <w:i/>
          <w:iCs/>
        </w:rPr>
        <w:t xml:space="preserve">3D scene preview (scene-builder notebook, `CELL PREVIEW`) for the Nottingham 915 MHz scene, showing the assembled terrain, building, vegetation-disc, and individual-tree geometry as actually loaded into Sionna RT.</w:t>
      </w:r>
    </w:p>
    <w:p>
      <w:pPr>
        <w:pStyle w:val="Heading2"/>
      </w:pPr>
      <w:r>
        <w:t xml:space="preserve">4.2 Experimental / Simulation Setup</w:t>
      </w:r>
    </w:p>
    <w:p>
      <w:pPr>
        <w:spacing w:after="160"/>
      </w:pPr>
      <w:r>
        <w:rPr>
          <w:b/>
          <w:bCs/>
        </w:rPr>
        <w:t xml:space="preserve">Compute platform.</w:t>
      </w:r>
      <w:r>
        <w:t xml:space="preserve"> Simulations are GPU-accelerated. </w:t>
      </w:r>
      <w:r>
        <w:rPr>
          <w:rFonts w:ascii="Consolas" w:hAnsi="Consolas"/>
        </w:rPr>
        <w:t xml:space="preserve">sionna019_calibration.ipynb</w:t>
      </w:r>
      <w:r>
        <w:t xml:space="preserve"> documents the compute configuration directly — an NVIDIA Tesla V100-SXM2-16GB GPU using Mitsuba's </w:t>
      </w:r>
      <w:r>
        <w:rPr>
          <w:rFonts w:ascii="Consolas" w:hAnsi="Consolas"/>
        </w:rPr>
        <w:t xml:space="preserve">cuda_ad_rgb</w:t>
      </w:r>
      <w:r>
        <w:t xml:space="preserve"> variant with </w:t>
      </w:r>
      <w:r>
        <w:rPr>
          <w:rFonts w:ascii="Consolas" w:hAnsi="Consolas"/>
        </w:rPr>
        <w:t xml:space="preserve">FORCE_CPU_RT=False</w:t>
      </w:r>
      <w:r>
        <w:t xml:space="preserve"> — independently confirmed via a live </w:t>
      </w:r>
      <w:r>
        <w:rPr>
          <w:rFonts w:ascii="Consolas" w:hAnsi="Consolas"/>
        </w:rPr>
        <w:t xml:space="preserve">nvidia-smi</w:t>
      </w:r>
      <w:r>
        <w:t xml:space="preserve"> query on the training VM (hostname </w:t>
      </w:r>
      <w:r>
        <w:rPr>
          <w:rFonts w:ascii="Consolas" w:hAnsi="Consolas"/>
        </w:rPr>
        <w:t xml:space="preserve">sti-virtual-machine</w:t>
      </w:r>
      <w:r>
        <w:t xml:space="preserve">):</w:t>
      </w:r>
    </w:p>
    <w:tbl>
      <w:tblPr>
        <w:tblW w:w="9500" w:type="dxa"/>
        <w:tblBorders>
          <w:top w:val="single" w:sz="6" w:space="0" w:color="D1D9E0"/>
          <w:left w:val="single" w:sz="6" w:space="0" w:color="D1D9E0"/>
          <w:bottom w:val="single" w:sz="6" w:space="0" w:color="D1D9E0"/>
          <w:right w:val="single" w:sz="6" w:space="0" w:color="D1D9E0"/>
          <w:insideH w:val="single" w:sz="6" w:space="0" w:color="D1D9E0"/>
          <w:insideV w:val="single" w:sz="6" w:space="0" w:color="D1D9E0"/>
        </w:tblBorders>
        <w:tblCellMar>
          <w:top w:w="60" w:type="dxa"/>
          <w:left w:w="100" w:type="dxa"/>
          <w:bottom w:w="60" w:type="dxa"/>
          <w:right w:w="100" w:type="dxa"/>
        </w:tblCellMar>
        <w:tblLook w:val="04A0" w:firstRow="1" w:lastRow="0" w:firstColumn="1" w:lastColumn="0" w:noHBand="0" w:noVBand="1"/>
      </w:tblPr>
      <w:tblGrid>
        <w:gridCol w:w="4750"/>
        <w:gridCol w:w="4750"/>
      </w:tblGrid>
      <w:tr>
        <w:tc>
          <w:tcPr>
            <w:tcW w:w="4750" w:type="dxa"/>
          </w:tcPr>
          <w:p>
            <w:r>
              <w:rPr>
                <w:b/>
                <w:bCs/>
              </w:rPr>
              <w:t xml:space="preserve">Parameter</w:t>
            </w:r>
          </w:p>
        </w:tc>
        <w:tc>
          <w:tcPr>
            <w:tcW w:w="4750" w:type="dxa"/>
          </w:tcPr>
          <w:p>
            <w:r>
              <w:rPr>
                <w:b/>
                <w:bCs/>
              </w:rPr>
              <w:t xml:space="preserve">Value</w:t>
            </w:r>
          </w:p>
        </w:tc>
      </w:tr>
      <w:tr>
        <w:tc>
          <w:tcPr>
            <w:tcW w:w="4750" w:type="dxa"/>
          </w:tcPr>
          <w:p>
            <w:r>
              <w:t xml:space="preserve">GPU</w:t>
            </w:r>
          </w:p>
        </w:tc>
        <w:tc>
          <w:tcPr>
            <w:tcW w:w="4750" w:type="dxa"/>
          </w:tcPr>
          <w:p>
            <w:r>
              <w:t xml:space="preserve">NVIDIA Tesla V100-SXM2-16GB</w:t>
            </w:r>
          </w:p>
        </w:tc>
      </w:tr>
      <w:tr>
        <w:tc>
          <w:tcPr>
            <w:tcW w:w="4750" w:type="dxa"/>
          </w:tcPr>
          <w:p>
            <w:r>
              <w:t xml:space="preserve">GPU memory</w:t>
            </w:r>
          </w:p>
        </w:tc>
        <w:tc>
          <w:tcPr>
            <w:tcW w:w="4750" w:type="dxa"/>
          </w:tcPr>
          <w:p>
            <w:r>
              <w:t xml:space="preserve">16,384 MiB (16 GB)</w:t>
            </w:r>
          </w:p>
        </w:tc>
      </w:tr>
      <w:tr>
        <w:tc>
          <w:tcPr>
            <w:tcW w:w="4750" w:type="dxa"/>
          </w:tcPr>
          <w:p>
            <w:r>
              <w:t xml:space="preserve">Driver / CUDA version</w:t>
            </w:r>
          </w:p>
        </w:tc>
        <w:tc>
          <w:tcPr>
            <w:tcW w:w="4750" w:type="dxa"/>
          </w:tcPr>
          <w:p>
            <w:r>
              <w:t xml:space="preserve">580.126.20 / 13.0</w:t>
            </w:r>
          </w:p>
        </w:tc>
      </w:tr>
      <w:tr>
        <w:tc>
          <w:tcPr>
            <w:tcW w:w="4750" w:type="dxa"/>
          </w:tcPr>
          <w:p>
            <w:r>
              <w:t xml:space="preserve">CPU</w:t>
            </w:r>
          </w:p>
        </w:tc>
        <w:tc>
          <w:tcPr>
            <w:tcW w:w="4750" w:type="dxa"/>
          </w:tcPr>
          <w:p>
            <w:r>
              <w:t xml:space="preserve">Intel(R) Xeon(R) Platinum 8176 @ 2.10 GHz, 12 vCPUs</w:t>
            </w:r>
          </w:p>
        </w:tc>
      </w:tr>
      <w:tr>
        <w:tc>
          <w:tcPr>
            <w:tcW w:w="4750" w:type="dxa"/>
          </w:tcPr>
          <w:p>
            <w:r>
              <w:t xml:space="preserve">System RAM</w:t>
            </w:r>
          </w:p>
        </w:tc>
        <w:tc>
          <w:tcPr>
            <w:tcW w:w="4750" w:type="dxa"/>
          </w:tcPr>
          <w:p>
            <w:r>
              <w:t xml:space="preserve">62 GiB total (~43 GiB available at time of query)</w:t>
            </w:r>
          </w:p>
        </w:tc>
      </w:tr>
      <w:tr>
        <w:tc>
          <w:tcPr>
            <w:tcW w:w="4750" w:type="dxa"/>
          </w:tcPr>
          <w:p>
            <w:r>
              <w:t xml:space="preserve">Virtualisation</w:t>
            </w:r>
          </w:p>
        </w:tc>
        <w:tc>
          <w:tcPr>
            <w:tcW w:w="4750" w:type="dxa"/>
          </w:tcPr>
          <w:p>
            <w:r>
              <w:t xml:space="preserve">VMware hypervisor, full virtualisation</w:t>
            </w:r>
          </w:p>
        </w:tc>
      </w:tr>
    </w:tbl>
    <w:p/>
    <w:p>
      <w:pPr>
        <w:spacing w:after="160"/>
      </w:pPr>
      <w:r>
        <w:t xml:space="preserve">At the time of the query, GPU utilisation was at 100% across four concurrent Python processes, consistent with multiple calibration runs (2695 MHz, 3602 MHz, London 915 MHz) executing in parallel on this machine — itself a practical constraint on how many runs could be validated concurrently (Section 5.4).</w:t>
      </w:r>
    </w:p>
    <w:p>
      <w:pPr>
        <w:spacing w:after="160"/>
      </w:pPr>
      <w:r>
        <w:rPr>
          <w:b/>
          <w:bCs/>
        </w:rPr>
        <w:t xml:space="preserve">Software environment.</w:t>
      </w:r>
      <w:r>
        <w:t xml:space="preserve"> The pinned dependency set, documented in </w:t>
      </w:r>
      <w:r>
        <w:rPr>
          <w:rFonts w:ascii="Consolas" w:hAnsi="Consolas"/>
        </w:rPr>
        <w:t xml:space="preserve">requirements_sionna019.txt</w:t>
      </w:r>
      <w:r>
        <w:t xml:space="preserve">, is: </w:t>
      </w:r>
      <w:r>
        <w:rPr>
          <w:rFonts w:ascii="Consolas" w:hAnsi="Consolas"/>
        </w:rPr>
        <w:t xml:space="preserve">sionna==0.19.2</w:t>
      </w:r>
      <w:r>
        <w:t xml:space="preserve">, </w:t>
      </w:r>
      <w:r>
        <w:rPr>
          <w:rFonts w:ascii="Consolas" w:hAnsi="Consolas"/>
        </w:rPr>
        <w:t xml:space="preserve">tensorflow==2.15.0</w:t>
      </w:r>
      <w:r>
        <w:t xml:space="preserve">, </w:t>
      </w:r>
      <w:r>
        <w:rPr>
          <w:rFonts w:ascii="Consolas" w:hAnsi="Consolas"/>
        </w:rPr>
        <w:t xml:space="preserve">mitsuba==3.5.2</w:t>
      </w:r>
      <w:r>
        <w:t xml:space="preserve">, </w:t>
      </w:r>
      <w:r>
        <w:rPr>
          <w:rFonts w:ascii="Consolas" w:hAnsi="Consolas"/>
        </w:rPr>
        <w:t xml:space="preserve">drjit==0.4.6</w:t>
      </w:r>
      <w:r>
        <w:t xml:space="preserve">, </w:t>
      </w:r>
      <w:r>
        <w:rPr>
          <w:rFonts w:ascii="Consolas" w:hAnsi="Consolas"/>
        </w:rPr>
        <w:t xml:space="preserve">numpy==1.26.4</w:t>
      </w:r>
      <w:r>
        <w:t xml:space="preserve">, </w:t>
      </w:r>
      <w:r>
        <w:rPr>
          <w:rFonts w:ascii="Consolas" w:hAnsi="Consolas"/>
        </w:rPr>
        <w:t xml:space="preserve">scipy==1.15.3</w:t>
      </w:r>
      <w:r>
        <w:t xml:space="preserve">, the </w:t>
      </w:r>
      <w:r>
        <w:rPr>
          <w:rFonts w:ascii="Consolas" w:hAnsi="Consolas"/>
        </w:rPr>
        <w:t xml:space="preserve">cma</w:t>
      </w:r>
      <w:r>
        <w:t xml:space="preserve"> package for CMA-ES [31], </w:t>
      </w:r>
      <w:r>
        <w:rPr>
          <w:rFonts w:ascii="Consolas" w:hAnsi="Consolas"/>
        </w:rPr>
        <w:t xml:space="preserve">osmnx==2.0.7</w:t>
      </w:r>
      <w:r>
        <w:t xml:space="preserve">/</w:t>
      </w:r>
      <w:r>
        <w:rPr>
          <w:rFonts w:ascii="Consolas" w:hAnsi="Consolas"/>
        </w:rPr>
        <w:t xml:space="preserve">geopandas==1.1.3</w:t>
      </w:r>
      <w:r>
        <w:t xml:space="preserve">/</w:t>
      </w:r>
      <w:r>
        <w:rPr>
          <w:rFonts w:ascii="Consolas" w:hAnsi="Consolas"/>
        </w:rPr>
        <w:t xml:space="preserve">shapely==2.1.2</w:t>
      </w:r>
      <w:r>
        <w:t xml:space="preserve">/</w:t>
      </w:r>
      <w:r>
        <w:rPr>
          <w:rFonts w:ascii="Consolas" w:hAnsi="Consolas"/>
        </w:rPr>
        <w:t xml:space="preserve">pyproj==3.7.1</w:t>
      </w:r>
      <w:r>
        <w:t xml:space="preserve">/</w:t>
      </w:r>
      <w:r>
        <w:rPr>
          <w:rFonts w:ascii="Consolas" w:hAnsi="Consolas"/>
        </w:rPr>
        <w:t xml:space="preserve">rasterio==1.4.4</w:t>
      </w:r>
      <w:r>
        <w:t xml:space="preserve"> for the geospatial stack, and </w:t>
      </w:r>
      <w:r>
        <w:rPr>
          <w:rFonts w:ascii="Consolas" w:hAnsi="Consolas"/>
        </w:rPr>
        <w:t xml:space="preserve">matplotlib</w:t>
      </w:r>
      <w:r>
        <w:t xml:space="preserve">/</w:t>
      </w:r>
      <w:r>
        <w:rPr>
          <w:rFonts w:ascii="Consolas" w:hAnsi="Consolas"/>
        </w:rPr>
        <w:t xml:space="preserve">pyvista</w:t>
      </w:r>
      <w:r>
        <w:t xml:space="preserve">/</w:t>
      </w:r>
      <w:r>
        <w:rPr>
          <w:rFonts w:ascii="Consolas" w:hAnsi="Consolas"/>
        </w:rPr>
        <w:t xml:space="preserve">open3d</w:t>
      </w:r>
      <w:r>
        <w:t xml:space="preserve">/</w:t>
      </w:r>
      <w:r>
        <w:rPr>
          <w:rFonts w:ascii="Consolas" w:hAnsi="Consolas"/>
        </w:rPr>
        <w:t xml:space="preserve">plotly</w:t>
      </w:r>
      <w:r>
        <w:t xml:space="preserve"> for visualisation. Installation follows the standard workflow (</w:t>
      </w:r>
      <w:r>
        <w:rPr>
          <w:rFonts w:ascii="Consolas" w:hAnsi="Consolas"/>
        </w:rPr>
        <w:t xml:space="preserve">conda create -n sionna019 python=3.10</w:t>
      </w:r>
      <w:r>
        <w:t xml:space="preserve">, then </w:t>
      </w:r>
      <w:r>
        <w:rPr>
          <w:rFonts w:ascii="Consolas" w:hAnsi="Consolas"/>
        </w:rPr>
        <w:t xml:space="preserve">pip install -r requirements_sionna019.txt</w:t>
      </w:r>
      <w:r>
        <w:t xml:space="preserve">). A separate, Sionna 2.0-targeted notebook set (</w:t>
      </w:r>
      <w:r>
        <w:rPr>
          <w:rFonts w:ascii="Consolas" w:hAnsi="Consolas"/>
        </w:rPr>
        <w:t xml:space="preserve">sionna2_*</w:t>
      </w:r>
      <w:r>
        <w:t xml:space="preserve">) uses a newer Sionna/Mitsuba/Dr.Jit combination in an independent environment to avoid version conflicts, matching the scene-format distinction between the legacy Sionna 0.19 XML and the Sionna 2.0 XML written by </w:t>
      </w:r>
      <w:r>
        <w:rPr>
          <w:rFonts w:ascii="Consolas" w:hAnsi="Consolas"/>
        </w:rPr>
        <w:t xml:space="preserve">CELL B3</w:t>
      </w:r>
      <w:r>
        <w:t xml:space="preserve"> (Section 4.3).</w:t>
      </w:r>
    </w:p>
    <w:p>
      <w:pPr>
        <w:spacing w:after="160"/>
      </w:pPr>
      <w:r>
        <w:rPr>
          <w:b/>
          <w:bCs/>
        </w:rPr>
        <w:t xml:space="preserve">Table 4.2 — Ray-tracing and calibration configuration by site and frequency.</w:t>
      </w:r>
      <w:r>
        <w:t xml:space="preserve"> All frequencies share EPSG:27700 (British National Grid, </w:t>
      </w:r>
      <w:r>
        <w:rPr>
          <w:rFonts w:ascii="Consolas" w:hAnsi="Consolas"/>
        </w:rPr>
        <w:t xml:space="preserve">always_xy=True</w:t>
      </w:r>
      <w:r>
        <w:t xml:space="preserve">), </w:t>
      </w:r>
      <w:r>
        <w:rPr>
          <w:rFonts w:ascii="Consolas" w:hAnsi="Consolas"/>
        </w:rPr>
        <w:t xml:space="preserve">MAX_DEPTH=8</w:t>
      </w:r>
      <w:r>
        <w:t xml:space="preserve">, diffraction and edge diffraction enabled, and </w:t>
      </w:r>
      <w:r>
        <w:rPr>
          <w:rFonts w:ascii="Consolas" w:hAnsi="Consolas"/>
        </w:rPr>
        <w:t xml:space="preserve">TERRAIN_PAD_M=3000</w:t>
      </w:r>
      <w:r>
        <w:t xml:space="preserve">. RX AGL = 1.5 m throughout.</w:t>
      </w:r>
    </w:p>
    <w:tbl>
      <w:tblPr>
        <w:tblW w:w="9500" w:type="dxa"/>
        <w:tblBorders>
          <w:top w:val="single" w:sz="6" w:space="0" w:color="D1D9E0"/>
          <w:left w:val="single" w:sz="6" w:space="0" w:color="D1D9E0"/>
          <w:bottom w:val="single" w:sz="6" w:space="0" w:color="D1D9E0"/>
          <w:right w:val="single" w:sz="6" w:space="0" w:color="D1D9E0"/>
          <w:insideH w:val="single" w:sz="6" w:space="0" w:color="D1D9E0"/>
          <w:insideV w:val="single" w:sz="6" w:space="0" w:color="D1D9E0"/>
        </w:tblBorders>
        <w:tblCellMar>
          <w:top w:w="60" w:type="dxa"/>
          <w:left w:w="100" w:type="dxa"/>
          <w:bottom w:w="60" w:type="dxa"/>
          <w:right w:w="100" w:type="dxa"/>
        </w:tblCellMar>
        <w:tblLook w:val="04A0" w:firstRow="1" w:lastRow="0" w:firstColumn="1" w:lastColumn="0" w:noHBand="0" w:noVBand="1"/>
      </w:tblPr>
      <w:tblGrid>
        <w:gridCol w:w="1055"/>
        <w:gridCol w:w="1055"/>
        <w:gridCol w:w="1055"/>
        <w:gridCol w:w="1055"/>
        <w:gridCol w:w="1055"/>
        <w:gridCol w:w="1055"/>
        <w:gridCol w:w="1055"/>
        <w:gridCol w:w="1055"/>
        <w:gridCol w:w="1055"/>
      </w:tblGrid>
      <w:tr>
        <w:tc>
          <w:tcPr>
            <w:tcW w:w="1055" w:type="dxa"/>
          </w:tcPr>
          <w:p>
            <w:r>
              <w:rPr>
                <w:b/>
                <w:bCs/>
              </w:rPr>
              <w:t xml:space="preserve">Parameter</w:t>
            </w:r>
          </w:p>
        </w:tc>
        <w:tc>
          <w:tcPr>
            <w:tcW w:w="1055" w:type="dxa"/>
          </w:tcPr>
          <w:p>
            <w:r>
              <w:rPr>
                <w:b/>
                <w:bCs/>
              </w:rPr>
              <w:t xml:space="preserve">Nottm 915 MHz</w:t>
            </w:r>
          </w:p>
        </w:tc>
        <w:tc>
          <w:tcPr>
            <w:tcW w:w="1055" w:type="dxa"/>
          </w:tcPr>
          <w:p>
            <w:r>
              <w:rPr>
                <w:b/>
                <w:bCs/>
              </w:rPr>
              <w:t xml:space="preserve">Nottm 1802 MHz</w:t>
            </w:r>
          </w:p>
        </w:tc>
        <w:tc>
          <w:tcPr>
            <w:tcW w:w="1055" w:type="dxa"/>
          </w:tcPr>
          <w:p>
            <w:r>
              <w:rPr>
                <w:b/>
                <w:bCs/>
              </w:rPr>
              <w:t xml:space="preserve">Nottm 2695 MHz</w:t>
            </w:r>
          </w:p>
        </w:tc>
        <w:tc>
          <w:tcPr>
            <w:tcW w:w="1055" w:type="dxa"/>
          </w:tcPr>
          <w:p>
            <w:r>
              <w:rPr>
                <w:b/>
                <w:bCs/>
              </w:rPr>
              <w:t xml:space="preserve">Nottm 3602 MHz</w:t>
            </w:r>
          </w:p>
        </w:tc>
        <w:tc>
          <w:tcPr>
            <w:tcW w:w="1055" w:type="dxa"/>
          </w:tcPr>
          <w:p>
            <w:r>
              <w:rPr>
                <w:b/>
                <w:bCs/>
              </w:rPr>
              <w:t xml:space="preserve">London 915 MHz</w:t>
            </w:r>
          </w:p>
        </w:tc>
        <w:tc>
          <w:tcPr>
            <w:tcW w:w="1055" w:type="dxa"/>
          </w:tcPr>
          <w:p>
            <w:r>
              <w:rPr>
                <w:b/>
                <w:bCs/>
              </w:rPr>
              <w:t xml:space="preserve">Scar Hill 915 MHz</w:t>
            </w:r>
          </w:p>
        </w:tc>
        <w:tc>
          <w:tcPr>
            <w:tcW w:w="1055" w:type="dxa"/>
          </w:tcPr>
          <w:p>
            <w:r>
              <w:rPr>
                <w:b/>
                <w:bCs/>
              </w:rPr>
              <w:t xml:space="preserve">Stevenage 915 MHz</w:t>
            </w:r>
          </w:p>
        </w:tc>
        <w:tc>
          <w:tcPr>
            <w:tcW w:w="1055" w:type="dxa"/>
          </w:tcPr>
          <w:p>
            <w:r>
              <w:rPr>
                <w:b/>
                <w:bCs/>
              </w:rPr>
              <w:t xml:space="preserve">Southampton 915 MHz</w:t>
            </w:r>
          </w:p>
        </w:tc>
      </w:tr>
      <w:tr>
        <w:tc>
          <w:tcPr>
            <w:tcW w:w="1055" w:type="dxa"/>
          </w:tcPr>
          <w:p>
            <w:r>
              <w:t xml:space="preserve">TX AGL</w:t>
            </w:r>
          </w:p>
        </w:tc>
        <w:tc>
          <w:tcPr>
            <w:tcW w:w="1055" w:type="dxa"/>
          </w:tcPr>
          <w:p>
            <w:r>
              <w:t xml:space="preserve">17 m</w:t>
            </w:r>
          </w:p>
        </w:tc>
        <w:tc>
          <w:tcPr>
            <w:tcW w:w="1055" w:type="dxa"/>
          </w:tcPr>
          <w:p>
            <w:r>
              <w:t xml:space="preserve">17 m</w:t>
            </w:r>
          </w:p>
        </w:tc>
        <w:tc>
          <w:tcPr>
            <w:tcW w:w="1055" w:type="dxa"/>
          </w:tcPr>
          <w:p>
            <w:r>
              <w:t xml:space="preserve">17 m</w:t>
            </w:r>
          </w:p>
        </w:tc>
        <w:tc>
          <w:tcPr>
            <w:tcW w:w="1055" w:type="dxa"/>
          </w:tcPr>
          <w:p>
            <w:r>
              <w:t xml:space="preserve">17 m</w:t>
            </w:r>
          </w:p>
        </w:tc>
        <w:tc>
          <w:tcPr>
            <w:tcW w:w="1055" w:type="dxa"/>
          </w:tcPr>
          <w:p>
            <w:r>
              <w:t xml:space="preserve">45 m</w:t>
            </w:r>
          </w:p>
        </w:tc>
        <w:tc>
          <w:tcPr>
            <w:tcW w:w="1055" w:type="dxa"/>
          </w:tcPr>
          <w:p>
            <w:r>
              <w:t xml:space="preserve">17 m</w:t>
            </w:r>
          </w:p>
        </w:tc>
        <w:tc>
          <w:tcPr>
            <w:tcW w:w="1055" w:type="dxa"/>
          </w:tcPr>
          <w:p>
            <w:r>
              <w:t xml:space="preserve">— *</w:t>
            </w:r>
          </w:p>
        </w:tc>
        <w:tc>
          <w:tcPr>
            <w:tcW w:w="1055" w:type="dxa"/>
          </w:tcPr>
          <w:p>
            <w:r>
              <w:t xml:space="preserve">— *</w:t>
            </w:r>
          </w:p>
        </w:tc>
      </w:tr>
      <w:tr>
        <w:tc>
          <w:tcPr>
            <w:tcW w:w="1055" w:type="dxa"/>
          </w:tcPr>
          <w:p>
            <w:r>
              <w:t xml:space="preserve">TX EIRP</w:t>
            </w:r>
          </w:p>
        </w:tc>
        <w:tc>
          <w:tcPr>
            <w:tcW w:w="1055" w:type="dxa"/>
          </w:tcPr>
          <w:p>
            <w:r>
              <w:t xml:space="preserve">—</w:t>
            </w:r>
          </w:p>
        </w:tc>
        <w:tc>
          <w:tcPr>
            <w:tcW w:w="1055" w:type="dxa"/>
          </w:tcPr>
          <w:p>
            <w:r>
              <w:t xml:space="preserve">—</w:t>
            </w:r>
          </w:p>
        </w:tc>
        <w:tc>
          <w:tcPr>
            <w:tcW w:w="1055" w:type="dxa"/>
          </w:tcPr>
          <w:p>
            <w:r>
              <w:t xml:space="preserve">56 dBm</w:t>
            </w:r>
          </w:p>
        </w:tc>
        <w:tc>
          <w:tcPr>
            <w:tcW w:w="1055" w:type="dxa"/>
          </w:tcPr>
          <w:p>
            <w:r>
              <w:t xml:space="preserve">54 dBm</w:t>
            </w:r>
          </w:p>
        </w:tc>
        <w:tc>
          <w:tcPr>
            <w:tcW w:w="1055" w:type="dxa"/>
          </w:tcPr>
          <w:p>
            <w:r>
              <w:t xml:space="preserve">49 dBm</w:t>
            </w:r>
          </w:p>
        </w:tc>
        <w:tc>
          <w:tcPr>
            <w:tcW w:w="1055" w:type="dxa"/>
          </w:tcPr>
          <w:p>
            <w:r>
              <w:t xml:space="preserve">46.9 dBm</w:t>
            </w:r>
          </w:p>
        </w:tc>
        <w:tc>
          <w:tcPr>
            <w:tcW w:w="1055" w:type="dxa"/>
          </w:tcPr>
          <w:p>
            <w:r>
              <w:t xml:space="preserve">— *</w:t>
            </w:r>
          </w:p>
        </w:tc>
        <w:tc>
          <w:tcPr>
            <w:tcW w:w="1055" w:type="dxa"/>
          </w:tcPr>
          <w:p>
            <w:r>
              <w:t xml:space="preserve">— *</w:t>
            </w:r>
          </w:p>
        </w:tc>
      </w:tr>
      <w:tr>
        <w:tc>
          <w:tcPr>
            <w:tcW w:w="1055" w:type="dxa"/>
          </w:tcPr>
          <w:p>
            <w:r>
              <w:t xml:space="preserve">Noise floor</w:t>
            </w:r>
          </w:p>
        </w:tc>
        <w:tc>
          <w:tcPr>
            <w:tcW w:w="1055" w:type="dxa"/>
          </w:tcPr>
          <w:p>
            <w:r>
              <w:t xml:space="preserve">−124 dBm</w:t>
            </w:r>
          </w:p>
        </w:tc>
        <w:tc>
          <w:tcPr>
            <w:tcW w:w="1055" w:type="dxa"/>
          </w:tcPr>
          <w:p>
            <w:r>
              <w:t xml:space="preserve">—</w:t>
            </w:r>
          </w:p>
        </w:tc>
        <w:tc>
          <w:tcPr>
            <w:tcW w:w="1055" w:type="dxa"/>
          </w:tcPr>
          <w:p>
            <w:r>
              <w:t xml:space="preserve">−120 dBm</w:t>
            </w:r>
          </w:p>
        </w:tc>
        <w:tc>
          <w:tcPr>
            <w:tcW w:w="1055" w:type="dxa"/>
          </w:tcPr>
          <w:p>
            <w:r>
              <w:t xml:space="preserve">−109 dBm</w:t>
            </w:r>
          </w:p>
        </w:tc>
        <w:tc>
          <w:tcPr>
            <w:tcW w:w="1055" w:type="dxa"/>
          </w:tcPr>
          <w:p>
            <w:r>
              <w:t xml:space="preserve">—</w:t>
            </w:r>
          </w:p>
        </w:tc>
        <w:tc>
          <w:tcPr>
            <w:tcW w:w="1055" w:type="dxa"/>
          </w:tcPr>
          <w:p>
            <w:r>
              <w:t xml:space="preserve">−124 dBm</w:t>
            </w:r>
          </w:p>
        </w:tc>
        <w:tc>
          <w:tcPr>
            <w:tcW w:w="1055" w:type="dxa"/>
          </w:tcPr>
          <w:p>
            <w:r>
              <w:t xml:space="preserve">— *</w:t>
            </w:r>
          </w:p>
        </w:tc>
        <w:tc>
          <w:tcPr>
            <w:tcW w:w="1055" w:type="dxa"/>
          </w:tcPr>
          <w:p>
            <w:r>
              <w:t xml:space="preserve">— *</w:t>
            </w:r>
          </w:p>
        </w:tc>
      </w:tr>
      <w:tr>
        <w:tc>
          <w:tcPr>
            <w:tcW w:w="1055" w:type="dxa"/>
          </w:tcPr>
          <w:p>
            <w:r>
              <w:rPr>
                <w:rFonts w:ascii="Consolas" w:hAnsi="Consolas"/>
              </w:rPr>
              <w:t xml:space="preserve">CAL_SAMPLES_PS</w:t>
            </w:r>
          </w:p>
        </w:tc>
        <w:tc>
          <w:tcPr>
            <w:tcW w:w="1055" w:type="dxa"/>
          </w:tcPr>
          <w:p>
            <w:r>
              <w:t xml:space="preserve">2 M</w:t>
            </w:r>
          </w:p>
        </w:tc>
        <w:tc>
          <w:tcPr>
            <w:tcW w:w="1055" w:type="dxa"/>
          </w:tcPr>
          <w:p>
            <w:r>
              <w:t xml:space="preserve">2 M</w:t>
            </w:r>
          </w:p>
        </w:tc>
        <w:tc>
          <w:tcPr>
            <w:tcW w:w="1055" w:type="dxa"/>
          </w:tcPr>
          <w:p>
            <w:r>
              <w:t xml:space="preserve">10 M</w:t>
            </w:r>
          </w:p>
        </w:tc>
        <w:tc>
          <w:tcPr>
            <w:tcW w:w="1055" w:type="dxa"/>
          </w:tcPr>
          <w:p>
            <w:r>
              <w:t xml:space="preserve">30 M</w:t>
            </w:r>
          </w:p>
        </w:tc>
        <w:tc>
          <w:tcPr>
            <w:tcW w:w="1055" w:type="dxa"/>
          </w:tcPr>
          <w:p>
            <w:r>
              <w:t xml:space="preserve">15 M</w:t>
            </w:r>
          </w:p>
        </w:tc>
        <w:tc>
          <w:tcPr>
            <w:tcW w:w="1055" w:type="dxa"/>
          </w:tcPr>
          <w:p>
            <w:r>
              <w:t xml:space="preserve">10 M</w:t>
            </w:r>
          </w:p>
        </w:tc>
        <w:tc>
          <w:tcPr>
            <w:tcW w:w="1055" w:type="dxa"/>
          </w:tcPr>
          <w:p>
            <w:r>
              <w:t xml:space="preserve">30 M (attempted)</w:t>
            </w:r>
          </w:p>
        </w:tc>
        <w:tc>
          <w:tcPr>
            <w:tcW w:w="1055" w:type="dxa"/>
          </w:tcPr>
          <w:p>
            <w:r>
              <w:t xml:space="preserve">10 M</w:t>
            </w:r>
          </w:p>
        </w:tc>
      </w:tr>
      <w:tr>
        <w:tc>
          <w:tcPr>
            <w:tcW w:w="1055" w:type="dxa"/>
          </w:tcPr>
          <w:p>
            <w:r>
              <w:rPr>
                <w:rFonts w:ascii="Consolas" w:hAnsi="Consolas"/>
              </w:rPr>
              <w:t xml:space="preserve">NUM_SAMPLES_PS</w:t>
            </w:r>
          </w:p>
        </w:tc>
        <w:tc>
          <w:tcPr>
            <w:tcW w:w="1055" w:type="dxa"/>
          </w:tcPr>
          <w:p>
            <w:r>
              <w:t xml:space="preserve">100 M</w:t>
            </w:r>
          </w:p>
        </w:tc>
        <w:tc>
          <w:tcPr>
            <w:tcW w:w="1055" w:type="dxa"/>
          </w:tcPr>
          <w:p>
            <w:r>
              <w:t xml:space="preserve">100 M</w:t>
            </w:r>
          </w:p>
        </w:tc>
        <w:tc>
          <w:tcPr>
            <w:tcW w:w="1055" w:type="dxa"/>
          </w:tcPr>
          <w:p>
            <w:r>
              <w:t xml:space="preserve">100 M</w:t>
            </w:r>
          </w:p>
        </w:tc>
        <w:tc>
          <w:tcPr>
            <w:tcW w:w="1055" w:type="dxa"/>
          </w:tcPr>
          <w:p>
            <w:r>
              <w:t xml:space="preserve">100 M</w:t>
            </w:r>
          </w:p>
        </w:tc>
        <w:tc>
          <w:tcPr>
            <w:tcW w:w="1055" w:type="dxa"/>
          </w:tcPr>
          <w:p>
            <w:r>
              <w:t xml:space="preserve">100 M</w:t>
            </w:r>
          </w:p>
        </w:tc>
        <w:tc>
          <w:tcPr>
            <w:tcW w:w="1055" w:type="dxa"/>
          </w:tcPr>
          <w:p>
            <w:r>
              <w:t xml:space="preserve">10 M</w:t>
            </w:r>
          </w:p>
        </w:tc>
        <w:tc>
          <w:tcPr>
            <w:tcW w:w="1055" w:type="dxa"/>
          </w:tcPr>
          <w:p>
            <w:r>
              <w:t xml:space="preserve">100 M</w:t>
            </w:r>
          </w:p>
        </w:tc>
        <w:tc>
          <w:tcPr>
            <w:tcW w:w="1055" w:type="dxa"/>
          </w:tcPr>
          <w:p>
            <w:r>
              <w:t xml:space="preserve">100 M</w:t>
            </w:r>
          </w:p>
        </w:tc>
      </w:tr>
      <w:tr>
        <w:tc>
          <w:tcPr>
            <w:tcW w:w="1055" w:type="dxa"/>
          </w:tcPr>
          <w:p>
            <w:r>
              <w:rPr>
                <w:rFonts w:ascii="Consolas" w:hAnsi="Consolas"/>
              </w:rPr>
              <w:t xml:space="preserve">CAL_MAX_DIST_KM</w:t>
            </w:r>
          </w:p>
        </w:tc>
        <w:tc>
          <w:tcPr>
            <w:tcW w:w="1055" w:type="dxa"/>
          </w:tcPr>
          <w:p>
            <w:r>
              <w:t xml:space="preserve">1.5</w:t>
            </w:r>
          </w:p>
        </w:tc>
        <w:tc>
          <w:tcPr>
            <w:tcW w:w="1055" w:type="dxa"/>
          </w:tcPr>
          <w:p>
            <w:r>
              <w:t xml:space="preserve">1.5</w:t>
            </w:r>
          </w:p>
        </w:tc>
        <w:tc>
          <w:tcPr>
            <w:tcW w:w="1055" w:type="dxa"/>
          </w:tcPr>
          <w:p>
            <w:r>
              <w:t xml:space="preserve">1.0</w:t>
            </w:r>
          </w:p>
        </w:tc>
        <w:tc>
          <w:tcPr>
            <w:tcW w:w="1055" w:type="dxa"/>
          </w:tcPr>
          <w:p>
            <w:r>
              <w:t xml:space="preserve">1.0</w:t>
            </w:r>
          </w:p>
        </w:tc>
        <w:tc>
          <w:tcPr>
            <w:tcW w:w="1055" w:type="dxa"/>
          </w:tcPr>
          <w:p>
            <w:r>
              <w:t xml:space="preserve">1.75</w:t>
            </w:r>
          </w:p>
        </w:tc>
        <w:tc>
          <w:tcPr>
            <w:tcW w:w="1055" w:type="dxa"/>
          </w:tcPr>
          <w:p>
            <w:r>
              <w:t xml:space="preserve">1.5</w:t>
            </w:r>
          </w:p>
        </w:tc>
        <w:tc>
          <w:tcPr>
            <w:tcW w:w="1055" w:type="dxa"/>
          </w:tcPr>
          <w:p>
            <w:r>
              <w:t xml:space="preserve">1.5</w:t>
            </w:r>
          </w:p>
        </w:tc>
        <w:tc>
          <w:tcPr>
            <w:tcW w:w="1055" w:type="dxa"/>
          </w:tcPr>
          <w:p>
            <w:r>
              <w:t xml:space="preserve">1.5</w:t>
            </w:r>
          </w:p>
        </w:tc>
      </w:tr>
      <w:tr>
        <w:tc>
          <w:tcPr>
            <w:tcW w:w="1055" w:type="dxa"/>
          </w:tcPr>
          <w:p>
            <w:r>
              <w:rPr>
                <w:rFonts w:ascii="Consolas" w:hAnsi="Consolas"/>
              </w:rPr>
              <w:t xml:space="preserve">CAL_SCALAR_BOUNDS</w:t>
            </w:r>
          </w:p>
        </w:tc>
        <w:tc>
          <w:tcPr>
            <w:tcW w:w="1055" w:type="dxa"/>
          </w:tcPr>
          <w:p>
            <w:r>
              <w:t xml:space="preserve">(−20, 5)</w:t>
            </w:r>
          </w:p>
        </w:tc>
        <w:tc>
          <w:tcPr>
            <w:tcW w:w="1055" w:type="dxa"/>
          </w:tcPr>
          <w:p>
            <w:r>
              <w:t xml:space="preserve">(−20, 5)</w:t>
            </w:r>
          </w:p>
        </w:tc>
        <w:tc>
          <w:tcPr>
            <w:tcW w:w="1055" w:type="dxa"/>
          </w:tcPr>
          <w:p>
            <w:r>
              <w:t xml:space="preserve">(−30, 20)</w:t>
            </w:r>
          </w:p>
        </w:tc>
        <w:tc>
          <w:tcPr>
            <w:tcW w:w="1055" w:type="dxa"/>
          </w:tcPr>
          <w:p>
            <w:r>
              <w:t xml:space="preserve">(−60, 60)</w:t>
            </w:r>
          </w:p>
        </w:tc>
        <w:tc>
          <w:tcPr>
            <w:tcW w:w="1055" w:type="dxa"/>
          </w:tcPr>
          <w:p>
            <w:r>
              <w:t xml:space="preserve">(−60, 60)</w:t>
            </w:r>
          </w:p>
        </w:tc>
        <w:tc>
          <w:tcPr>
            <w:tcW w:w="1055" w:type="dxa"/>
          </w:tcPr>
          <w:p>
            <w:r>
              <w:t xml:space="preserve">(−30, 20)</w:t>
            </w:r>
          </w:p>
        </w:tc>
        <w:tc>
          <w:tcPr>
            <w:tcW w:w="1055" w:type="dxa"/>
          </w:tcPr>
          <w:p>
            <w:r>
              <w:t xml:space="preserve">(−30, 20)</w:t>
            </w:r>
          </w:p>
        </w:tc>
        <w:tc>
          <w:tcPr>
            <w:tcW w:w="1055" w:type="dxa"/>
          </w:tcPr>
          <w:p>
            <w:r>
              <w:t xml:space="preserve">—</w:t>
            </w:r>
          </w:p>
        </w:tc>
      </w:tr>
      <w:tr>
        <w:tc>
          <w:tcPr>
            <w:tcW w:w="1055" w:type="dxa"/>
          </w:tcPr>
          <w:p>
            <w:r>
              <w:rPr>
                <w:rFonts w:ascii="Consolas" w:hAnsi="Consolas"/>
              </w:rPr>
              <w:t xml:space="preserve">DISABLE_VEG_DISCS</w:t>
            </w:r>
          </w:p>
        </w:tc>
        <w:tc>
          <w:tcPr>
            <w:tcW w:w="1055" w:type="dxa"/>
          </w:tcPr>
          <w:p>
            <w:r>
              <w:t xml:space="preserve">False</w:t>
            </w:r>
          </w:p>
        </w:tc>
        <w:tc>
          <w:tcPr>
            <w:tcW w:w="1055" w:type="dxa"/>
          </w:tcPr>
          <w:p>
            <w:r>
              <w:t xml:space="preserve">True</w:t>
            </w:r>
          </w:p>
        </w:tc>
        <w:tc>
          <w:tcPr>
            <w:tcW w:w="1055" w:type="dxa"/>
          </w:tcPr>
          <w:p>
            <w:r>
              <w:t xml:space="preserve">False</w:t>
            </w:r>
          </w:p>
        </w:tc>
        <w:tc>
          <w:tcPr>
            <w:tcW w:w="1055" w:type="dxa"/>
          </w:tcPr>
          <w:p>
            <w:r>
              <w:t xml:space="preserve">False</w:t>
            </w:r>
          </w:p>
        </w:tc>
        <w:tc>
          <w:tcPr>
            <w:tcW w:w="1055" w:type="dxa"/>
          </w:tcPr>
          <w:p>
            <w:r>
              <w:t xml:space="preserve">False</w:t>
            </w:r>
          </w:p>
        </w:tc>
        <w:tc>
          <w:tcPr>
            <w:tcW w:w="1055" w:type="dxa"/>
          </w:tcPr>
          <w:p>
            <w:r>
              <w:t xml:space="preserve">False</w:t>
            </w:r>
          </w:p>
        </w:tc>
        <w:tc>
          <w:tcPr>
            <w:tcW w:w="1055" w:type="dxa"/>
          </w:tcPr>
          <w:p>
            <w:r>
              <w:t xml:space="preserve">True</w:t>
            </w:r>
          </w:p>
        </w:tc>
        <w:tc>
          <w:tcPr>
            <w:tcW w:w="1055" w:type="dxa"/>
          </w:tcPr>
          <w:p>
            <w:r>
              <w:t xml:space="preserve">True</w:t>
            </w:r>
          </w:p>
        </w:tc>
      </w:tr>
      <w:tr>
        <w:tc>
          <w:tcPr>
            <w:tcW w:w="1055" w:type="dxa"/>
          </w:tcPr>
          <w:p>
            <w:r>
              <w:rPr>
                <w:rFonts w:ascii="Consolas" w:hAnsi="Consolas"/>
              </w:rPr>
              <w:t xml:space="preserve">DISABLE_CANOPY</w:t>
            </w:r>
          </w:p>
        </w:tc>
        <w:tc>
          <w:tcPr>
            <w:tcW w:w="1055" w:type="dxa"/>
          </w:tcPr>
          <w:p>
            <w:r>
              <w:t xml:space="preserve">False</w:t>
            </w:r>
          </w:p>
        </w:tc>
        <w:tc>
          <w:tcPr>
            <w:tcW w:w="1055" w:type="dxa"/>
          </w:tcPr>
          <w:p>
            <w:r>
              <w:t xml:space="preserve">False</w:t>
            </w:r>
          </w:p>
        </w:tc>
        <w:tc>
          <w:tcPr>
            <w:tcW w:w="1055" w:type="dxa"/>
          </w:tcPr>
          <w:p>
            <w:r>
              <w:t xml:space="preserve">False</w:t>
            </w:r>
          </w:p>
        </w:tc>
        <w:tc>
          <w:tcPr>
            <w:tcW w:w="1055" w:type="dxa"/>
          </w:tcPr>
          <w:p>
            <w:r>
              <w:t xml:space="preserve">True</w:t>
            </w:r>
          </w:p>
        </w:tc>
        <w:tc>
          <w:tcPr>
            <w:tcW w:w="1055" w:type="dxa"/>
          </w:tcPr>
          <w:p>
            <w:r>
              <w:t xml:space="preserve">False</w:t>
            </w:r>
          </w:p>
        </w:tc>
        <w:tc>
          <w:tcPr>
            <w:tcW w:w="1055" w:type="dxa"/>
          </w:tcPr>
          <w:p>
            <w:r>
              <w:t xml:space="preserve">False</w:t>
            </w:r>
          </w:p>
        </w:tc>
        <w:tc>
          <w:tcPr>
            <w:tcW w:w="1055" w:type="dxa"/>
          </w:tcPr>
          <w:p>
            <w:r>
              <w:t xml:space="preserve">False</w:t>
            </w:r>
          </w:p>
        </w:tc>
        <w:tc>
          <w:tcPr>
            <w:tcW w:w="1055" w:type="dxa"/>
          </w:tcPr>
          <w:p>
            <w:r>
              <w:t xml:space="preserve">—</w:t>
            </w:r>
          </w:p>
        </w:tc>
      </w:tr>
      <w:tr>
        <w:tc>
          <w:tcPr>
            <w:tcW w:w="1055" w:type="dxa"/>
          </w:tcPr>
          <w:p>
            <w:r>
              <w:t xml:space="preserve">Terrain source</w:t>
            </w:r>
          </w:p>
        </w:tc>
        <w:tc>
          <w:tcPr>
            <w:tcW w:w="1055" w:type="dxa"/>
          </w:tcPr>
          <w:p>
            <w:r>
              <w:t xml:space="preserve">EA LiDAR 1 m</w:t>
            </w:r>
          </w:p>
        </w:tc>
        <w:tc>
          <w:tcPr>
            <w:tcW w:w="1055" w:type="dxa"/>
          </w:tcPr>
          <w:p>
            <w:r>
              <w:t xml:space="preserve">EA LiDAR 1 m</w:t>
            </w:r>
          </w:p>
        </w:tc>
        <w:tc>
          <w:tcPr>
            <w:tcW w:w="1055" w:type="dxa"/>
          </w:tcPr>
          <w:p>
            <w:r>
              <w:t xml:space="preserve">EA LiDAR 1 m</w:t>
            </w:r>
          </w:p>
        </w:tc>
        <w:tc>
          <w:tcPr>
            <w:tcW w:w="1055" w:type="dxa"/>
          </w:tcPr>
          <w:p>
            <w:r>
              <w:t xml:space="preserve">EA LiDAR 1 m</w:t>
            </w:r>
          </w:p>
        </w:tc>
        <w:tc>
          <w:tcPr>
            <w:tcW w:w="1055" w:type="dxa"/>
          </w:tcPr>
          <w:p>
            <w:r>
              <w:t xml:space="preserve">EA LiDAR 1 m</w:t>
            </w:r>
          </w:p>
        </w:tc>
        <w:tc>
          <w:tcPr>
            <w:tcW w:w="1055" w:type="dxa"/>
          </w:tcPr>
          <w:p>
            <w:r>
              <w:t xml:space="preserve">SRTM 30 m</w:t>
            </w:r>
          </w:p>
        </w:tc>
        <w:tc>
          <w:tcPr>
            <w:tcW w:w="1055" w:type="dxa"/>
          </w:tcPr>
          <w:p>
            <w:r>
              <w:t xml:space="preserve">EA LiDAR 1 m</w:t>
            </w:r>
          </w:p>
        </w:tc>
        <w:tc>
          <w:tcPr>
            <w:tcW w:w="1055" w:type="dxa"/>
          </w:tcPr>
          <w:p>
            <w:r>
              <w:t xml:space="preserve">EA LiDAR 1 m</w:t>
            </w:r>
          </w:p>
        </w:tc>
      </w:tr>
      <w:tr>
        <w:tc>
          <w:tcPr>
            <w:tcW w:w="1055" w:type="dxa"/>
          </w:tcPr>
          <w:p>
            <w:r>
              <w:t xml:space="preserve">Vegetation formula</w:t>
            </w:r>
          </w:p>
        </w:tc>
        <w:tc>
          <w:tcPr>
            <w:tcW w:w="1055" w:type="dxa"/>
          </w:tcPr>
          <w:p>
            <w:r>
              <w:t xml:space="preserve">Weissberger</w:t>
            </w:r>
          </w:p>
        </w:tc>
        <w:tc>
          <w:tcPr>
            <w:tcW w:w="1055" w:type="dxa"/>
          </w:tcPr>
          <w:p>
            <w:r>
              <w:t xml:space="preserve">Weissberger</w:t>
            </w:r>
          </w:p>
        </w:tc>
        <w:tc>
          <w:tcPr>
            <w:tcW w:w="1055" w:type="dxa"/>
          </w:tcPr>
          <w:p>
            <w:r>
              <w:t xml:space="preserve">ITU-R P.833-10</w:t>
            </w:r>
          </w:p>
        </w:tc>
        <w:tc>
          <w:tcPr>
            <w:tcW w:w="1055" w:type="dxa"/>
          </w:tcPr>
          <w:p>
            <w:r>
              <w:t xml:space="preserve">ITU-R P.833-10</w:t>
            </w:r>
          </w:p>
        </w:tc>
        <w:tc>
          <w:tcPr>
            <w:tcW w:w="1055" w:type="dxa"/>
          </w:tcPr>
          <w:p>
            <w:r>
              <w:t xml:space="preserve">Weissberger</w:t>
            </w:r>
          </w:p>
        </w:tc>
        <w:tc>
          <w:tcPr>
            <w:tcW w:w="1055" w:type="dxa"/>
          </w:tcPr>
          <w:p>
            <w:r>
              <w:t xml:space="preserve">Weissberger</w:t>
            </w:r>
          </w:p>
        </w:tc>
        <w:tc>
          <w:tcPr>
            <w:tcW w:w="1055" w:type="dxa"/>
          </w:tcPr>
          <w:p>
            <w:r>
              <w:t xml:space="preserve">Weissberger</w:t>
            </w:r>
          </w:p>
        </w:tc>
        <w:tc>
          <w:tcPr>
            <w:tcW w:w="1055" w:type="dxa"/>
          </w:tcPr>
          <w:p>
            <w:r>
              <w:t xml:space="preserve">Weissberger</w:t>
            </w:r>
          </w:p>
        </w:tc>
      </w:tr>
      <w:tr>
        <w:tc>
          <w:tcPr>
            <w:tcW w:w="1055" w:type="dxa"/>
          </w:tcPr>
          <w:p>
            <w:r>
              <w:t xml:space="preserve">Dual-slope R_bp (Eq. 2.13)</w:t>
            </w:r>
          </w:p>
        </w:tc>
        <w:tc>
          <w:tcPr>
            <w:tcW w:w="1055" w:type="dxa"/>
          </w:tcPr>
          <w:p>
            <w:r>
              <w:t xml:space="preserve">311 m</w:t>
            </w:r>
          </w:p>
        </w:tc>
        <w:tc>
          <w:tcPr>
            <w:tcW w:w="1055" w:type="dxa"/>
          </w:tcPr>
          <w:p>
            <w:r>
              <w:t xml:space="preserve">613 m</w:t>
            </w:r>
          </w:p>
        </w:tc>
        <w:tc>
          <w:tcPr>
            <w:tcW w:w="1055" w:type="dxa"/>
          </w:tcPr>
          <w:p>
            <w:r>
              <w:t xml:space="preserve">916 m</w:t>
            </w:r>
          </w:p>
        </w:tc>
        <w:tc>
          <w:tcPr>
            <w:tcW w:w="1055" w:type="dxa"/>
          </w:tcPr>
          <w:p>
            <w:r>
              <w:t xml:space="preserve">1225 m</w:t>
            </w:r>
          </w:p>
        </w:tc>
        <w:tc>
          <w:tcPr>
            <w:tcW w:w="1055" w:type="dxa"/>
          </w:tcPr>
          <w:p>
            <w:r>
              <w:t xml:space="preserve">458 m</w:t>
            </w:r>
          </w:p>
        </w:tc>
        <w:tc>
          <w:tcPr>
            <w:tcW w:w="1055" w:type="dxa"/>
          </w:tcPr>
          <w:p>
            <w:r>
              <w:t xml:space="preserve">311 m</w:t>
            </w:r>
          </w:p>
        </w:tc>
        <w:tc>
          <w:tcPr>
            <w:tcW w:w="1055" w:type="dxa"/>
          </w:tcPr>
          <w:p>
            <w:r>
              <w:t xml:space="preserve">— *</w:t>
            </w:r>
          </w:p>
        </w:tc>
        <w:tc>
          <w:tcPr>
            <w:tcW w:w="1055" w:type="dxa"/>
          </w:tcPr>
          <w:p>
            <w:r>
              <w:t xml:space="preserve">310 m</w:t>
            </w:r>
          </w:p>
        </w:tc>
      </w:tr>
      <w:tr>
        <w:tc>
          <w:tcPr>
            <w:tcW w:w="1055" w:type="dxa"/>
          </w:tcPr>
          <w:p>
            <w:r>
              <w:rPr>
                <w:b/>
                <w:bCs/>
              </w:rPr>
              <w:t xml:space="preserve">Best R² (ON incoh.)</w:t>
            </w:r>
          </w:p>
        </w:tc>
        <w:tc>
          <w:tcPr>
            <w:tcW w:w="1055" w:type="dxa"/>
          </w:tcPr>
          <w:p>
            <w:r>
              <w:rPr>
                <w:b/>
                <w:bCs/>
              </w:rPr>
              <w:t xml:space="preserve">0.835</w:t>
            </w:r>
            <w:r>
              <w:t xml:space="preserve"> @ 0–750 m</w:t>
            </w:r>
          </w:p>
        </w:tc>
        <w:tc>
          <w:tcPr>
            <w:tcW w:w="1055" w:type="dxa"/>
          </w:tcPr>
          <w:p>
            <w:r>
              <w:rPr>
                <w:b/>
                <w:bCs/>
              </w:rPr>
              <w:t xml:space="preserve">0.509</w:t>
            </w:r>
            <w:r>
              <w:t xml:space="preserve"> @ 0–1250 m</w:t>
            </w:r>
          </w:p>
        </w:tc>
        <w:tc>
          <w:tcPr>
            <w:tcW w:w="1055" w:type="dxa"/>
          </w:tcPr>
          <w:p>
            <w:r>
              <w:rPr>
                <w:b/>
                <w:bCs/>
              </w:rPr>
              <w:t xml:space="preserve">0.574</w:t>
            </w:r>
            <w:r>
              <w:t xml:space="preserve"> @ 0–1250 m</w:t>
            </w:r>
          </w:p>
        </w:tc>
        <w:tc>
          <w:tcPr>
            <w:tcW w:w="1055" w:type="dxa"/>
          </w:tcPr>
          <w:p>
            <w:r>
              <w:rPr>
                <w:b/>
                <w:bCs/>
              </w:rPr>
              <w:t xml:space="preserve">0.515</w:t>
            </w:r>
            <w:r>
              <w:t xml:space="preserve"> @ 0–1250 m</w:t>
            </w:r>
          </w:p>
        </w:tc>
        <w:tc>
          <w:tcPr>
            <w:tcW w:w="1055" w:type="dxa"/>
          </w:tcPr>
          <w:p>
            <w:r>
              <w:rPr>
                <w:b/>
                <w:bCs/>
              </w:rPr>
              <w:t xml:space="preserve">0.365</w:t>
            </w:r>
            <w:r>
              <w:t xml:space="preserve"> @ 0–1000 m</w:t>
            </w:r>
          </w:p>
        </w:tc>
        <w:tc>
          <w:tcPr>
            <w:tcW w:w="1055" w:type="dxa"/>
          </w:tcPr>
          <w:p>
            <w:r>
              <w:rPr>
                <w:b/>
                <w:bCs/>
              </w:rPr>
              <w:t xml:space="preserve">0.083</w:t>
            </w:r>
            <w:r>
              <w:t xml:space="preserve"> @ 0–1250 m</w:t>
            </w:r>
          </w:p>
        </w:tc>
        <w:tc>
          <w:tcPr>
            <w:tcW w:w="1055" w:type="dxa"/>
          </w:tcPr>
          <w:p>
            <w:r>
              <w:rPr>
                <w:b/>
                <w:bCs/>
              </w:rPr>
              <w:t xml:space="preserve">0.744</w:t>
            </w:r>
            <w:r>
              <w:t xml:space="preserve"> @ 0–2250 m</w:t>
            </w:r>
          </w:p>
        </w:tc>
        <w:tc>
          <w:tcPr>
            <w:tcW w:w="1055" w:type="dxa"/>
          </w:tcPr>
          <w:p>
            <w:r>
              <w:rPr>
                <w:b/>
                <w:bCs/>
              </w:rPr>
              <w:t xml:space="preserve">0.730</w:t>
            </w:r>
            <w:r>
              <w:t xml:space="preserve"> @ 0–900 m</w:t>
            </w:r>
          </w:p>
        </w:tc>
      </w:tr>
    </w:tbl>
    <w:p/>
    <w:p>
      <w:pPr>
        <w:spacing w:after="160"/>
      </w:pPr>
      <w:r>
        <w:rPr>
          <w:i/>
          <w:iCs/>
        </w:rPr>
        <w:t xml:space="preserve">Table 4.2 — `CAL_MIN_DIST_KM = 0.15` where a distance-restricted calibration was run. Scar Hill uses 10 M evaluation samples (matching calibration) rather than 100 M, since the coarser SRTM terrain does not benefit from the additional Monte Carlo precision (Section 4.3). Stevenage's own TX AGL/EIRP/noise-floor values (marked *) await confirmation from the site's `CELL 1`, though its 3602 MHz notebook independently confirms TX AGL = 17 m via a reused scene builder (Table 4.4). Stevenage's CMA-ES run used a 30 M-sample budget but converged to no improvement over ITU-R defaults (Table 4.4); Southampton's final result instead uses a Phase 0 CMA-ES material calibration (four free materials, scalar −11.767 dB) alongside the per-distance-bin scalar correction — unlike Stevenage, where no material search improved on ITU-R defaults at any frequency. Full site/frequency coverage — including Stevenage's 1802/2695/3602 MHz results, Southampton's 1802 MHz result, and Nottingham's high-frequency (HF) vegetation scene — is presented in Table 4.4.</w:t>
      </w:r>
    </w:p>
    <w:p>
      <w:pPr>
        <w:spacing w:after="160"/>
      </w:pPr>
      <w:r>
        <w:rPr>
          <w:b/>
          <w:bCs/>
        </w:rPr>
        <w:t xml:space="preserve">Table 4.3 — CMA-ES calibration hyperparameters</w:t>
      </w:r>
      <w:r>
        <w:t xml:space="preserve"> (shared across all sites using the CMA-ES back-end).</w:t>
      </w:r>
    </w:p>
    <w:tbl>
      <w:tblPr>
        <w:tblW w:w="9500" w:type="dxa"/>
        <w:tblBorders>
          <w:top w:val="single" w:sz="6" w:space="0" w:color="D1D9E0"/>
          <w:left w:val="single" w:sz="6" w:space="0" w:color="D1D9E0"/>
          <w:bottom w:val="single" w:sz="6" w:space="0" w:color="D1D9E0"/>
          <w:right w:val="single" w:sz="6" w:space="0" w:color="D1D9E0"/>
          <w:insideH w:val="single" w:sz="6" w:space="0" w:color="D1D9E0"/>
          <w:insideV w:val="single" w:sz="6" w:space="0" w:color="D1D9E0"/>
        </w:tblBorders>
        <w:tblCellMar>
          <w:top w:w="60" w:type="dxa"/>
          <w:left w:w="100" w:type="dxa"/>
          <w:bottom w:w="60" w:type="dxa"/>
          <w:right w:w="100" w:type="dxa"/>
        </w:tblCellMar>
        <w:tblLook w:val="04A0" w:firstRow="1" w:lastRow="0" w:firstColumn="1" w:lastColumn="0" w:noHBand="0" w:noVBand="1"/>
      </w:tblPr>
      <w:tblGrid>
        <w:gridCol w:w="3166"/>
        <w:gridCol w:w="3166"/>
        <w:gridCol w:w="3166"/>
      </w:tblGrid>
      <w:tr>
        <w:tc>
          <w:tcPr>
            <w:tcW w:w="3166" w:type="dxa"/>
          </w:tcPr>
          <w:p>
            <w:r>
              <w:rPr>
                <w:b/>
                <w:bCs/>
              </w:rPr>
              <w:t xml:space="preserve">CMA-ES parameter</w:t>
            </w:r>
          </w:p>
        </w:tc>
        <w:tc>
          <w:tcPr>
            <w:tcW w:w="3166" w:type="dxa"/>
          </w:tcPr>
          <w:p>
            <w:r>
              <w:rPr>
                <w:b/>
                <w:bCs/>
              </w:rPr>
              <w:t xml:space="preserve">Value</w:t>
            </w:r>
          </w:p>
        </w:tc>
        <w:tc>
          <w:tcPr>
            <w:tcW w:w="3166" w:type="dxa"/>
          </w:tcPr>
          <w:p>
            <w:r>
              <w:rPr>
                <w:b/>
                <w:bCs/>
              </w:rPr>
              <w:t xml:space="preserve">Meaning</w:t>
            </w:r>
          </w:p>
        </w:tc>
      </w:tr>
      <w:tr>
        <w:tc>
          <w:tcPr>
            <w:tcW w:w="3166" w:type="dxa"/>
          </w:tcPr>
          <w:p>
            <w:r>
              <w:t xml:space="preserve">Search space</w:t>
            </w:r>
          </w:p>
        </w:tc>
        <w:tc>
          <w:tcPr>
            <w:tcW w:w="3166" w:type="dxa"/>
          </w:tcPr>
          <w:p>
            <w:r>
              <w:t xml:space="preserve">Normalised [0,1] per dimension</w:t>
            </w:r>
          </w:p>
        </w:tc>
        <w:tc>
          <w:tcPr>
            <w:tcW w:w="3166" w:type="dxa"/>
          </w:tcPr>
          <w:p>
            <w:r>
              <w:t xml:space="preserve">ε_r, log σ, S for each free material, min–max scaled</w:t>
            </w:r>
          </w:p>
        </w:tc>
      </w:tr>
      <w:tr>
        <w:tc>
          <w:tcPr>
            <w:tcW w:w="3166" w:type="dxa"/>
          </w:tcPr>
          <w:p>
            <w:r>
              <w:t xml:space="preserve">σ₀ (initial step size)</w:t>
            </w:r>
          </w:p>
        </w:tc>
        <w:tc>
          <w:tcPr>
            <w:tcW w:w="3166" w:type="dxa"/>
          </w:tcPr>
          <w:p>
            <w:r>
              <w:t xml:space="preserve">0.25–0.3</w:t>
            </w:r>
          </w:p>
        </w:tc>
        <w:tc>
          <w:tcPr>
            <w:tcW w:w="3166" w:type="dxa"/>
          </w:tcPr>
          <w:p>
            <w:r>
              <w:t xml:space="preserve">Fraction of the normalised parameter range</w:t>
            </w:r>
          </w:p>
        </w:tc>
      </w:tr>
      <w:tr>
        <w:tc>
          <w:tcPr>
            <w:tcW w:w="3166" w:type="dxa"/>
          </w:tcPr>
          <w:p>
            <w:r>
              <w:t xml:space="preserve">Population size (λ)</w:t>
            </w:r>
          </w:p>
        </w:tc>
        <w:tc>
          <w:tcPr>
            <w:tcW w:w="3166" w:type="dxa"/>
          </w:tcPr>
          <w:p>
            <w:r>
              <w:t xml:space="preserve">4 + 3·ln n (auto), or 36 (explicit)</w:t>
            </w:r>
          </w:p>
        </w:tc>
        <w:tc>
          <w:tcPr>
            <w:tcW w:w="3166" w:type="dxa"/>
          </w:tcPr>
          <w:p>
            <w:r>
              <w:t xml:space="preserve">n = number of free parameters; larger λ reduces ranking noise from the Monte Carlo objective</w:t>
            </w:r>
          </w:p>
        </w:tc>
      </w:tr>
      <w:tr>
        <w:tc>
          <w:tcPr>
            <w:tcW w:w="3166" w:type="dxa"/>
          </w:tcPr>
          <w:p>
            <w:r>
              <w:t xml:space="preserve">Max generations</w:t>
            </w:r>
          </w:p>
        </w:tc>
        <w:tc>
          <w:tcPr>
            <w:tcW w:w="3166" w:type="dxa"/>
          </w:tcPr>
          <w:p>
            <w:r>
              <w:t xml:space="preserve">200–300</w:t>
            </w:r>
          </w:p>
        </w:tc>
        <w:tc>
          <w:tcPr>
            <w:tcW w:w="3166" w:type="dxa"/>
          </w:tcPr>
          <w:p>
            <w:r>
              <w:t xml:space="preserve">Site-dependent stopping criterion</w:t>
            </w:r>
          </w:p>
        </w:tc>
      </w:tr>
      <w:tr>
        <w:tc>
          <w:tcPr>
            <w:tcW w:w="3166" w:type="dxa"/>
          </w:tcPr>
          <w:p>
            <w:r>
              <w:rPr>
                <w:rFonts w:ascii="Consolas" w:hAnsi="Consolas"/>
              </w:rPr>
              <w:t xml:space="preserve">tolfun</w:t>
            </w:r>
          </w:p>
        </w:tc>
        <w:tc>
          <w:tcPr>
            <w:tcW w:w="3166" w:type="dxa"/>
          </w:tcPr>
          <w:p>
            <w:r>
              <w:t xml:space="preserve">0.10</w:t>
            </w:r>
          </w:p>
        </w:tc>
        <w:tc>
          <w:tcPr>
            <w:tcW w:w="3166" w:type="dxa"/>
          </w:tcPr>
          <w:p>
            <w:r>
              <w:t xml:space="preserve">Terminate when the population's function-value spread falls below 0.10 dB</w:t>
            </w:r>
          </w:p>
        </w:tc>
      </w:tr>
      <w:tr>
        <w:tc>
          <w:tcPr>
            <w:tcW w:w="3166" w:type="dxa"/>
          </w:tcPr>
          <w:p>
            <w:r>
              <w:t xml:space="preserve">Samples per evaluation</w:t>
            </w:r>
          </w:p>
        </w:tc>
        <w:tc>
          <w:tcPr>
            <w:tcW w:w="3166" w:type="dxa"/>
          </w:tcPr>
          <w:p>
            <w:r>
              <w:t xml:space="preserve">10–30 M</w:t>
            </w:r>
          </w:p>
        </w:tc>
        <w:tc>
          <w:tcPr>
            <w:tcW w:w="3166" w:type="dxa"/>
          </w:tcPr>
          <w:p>
            <w:r>
              <w:t xml:space="preserve">Matched to </w:t>
            </w:r>
            <w:r>
              <w:rPr>
                <w:rFonts w:ascii="Consolas" w:hAnsi="Consolas"/>
              </w:rPr>
              <w:t xml:space="preserve">CAL_SAMPLES_PS</w:t>
            </w:r>
            <w:r>
              <w:t xml:space="preserve">, keeping calibration and evaluation noise floors consistent</w:t>
            </w:r>
          </w:p>
        </w:tc>
      </w:tr>
      <w:tr>
        <w:tc>
          <w:tcPr>
            <w:tcW w:w="3166" w:type="dxa"/>
          </w:tcPr>
          <w:p>
            <w:r>
              <w:t xml:space="preserve">Fixed seed</w:t>
            </w:r>
          </w:p>
        </w:tc>
        <w:tc>
          <w:tcPr>
            <w:tcW w:w="3166" w:type="dxa"/>
          </w:tcPr>
          <w:p>
            <w:r>
              <w:t xml:space="preserve">42</w:t>
            </w:r>
          </w:p>
        </w:tc>
        <w:tc>
          <w:tcPr>
            <w:tcW w:w="3166" w:type="dxa"/>
          </w:tcPr>
          <w:p>
            <w:r>
              <w:t xml:space="preserve">Reproducibility; shared with the Powell back-end</w:t>
            </w:r>
          </w:p>
        </w:tc>
      </w:tr>
      <w:tr>
        <w:tc>
          <w:tcPr>
            <w:tcW w:w="3166" w:type="dxa"/>
          </w:tcPr>
          <w:p>
            <w:r>
              <w:t xml:space="preserve">Warm start</w:t>
            </w:r>
          </w:p>
        </w:tc>
        <w:tc>
          <w:tcPr>
            <w:tcW w:w="3166" w:type="dxa"/>
          </w:tcPr>
          <w:p>
            <w:r>
              <w:t xml:space="preserve">Enabled</w:t>
            </w:r>
          </w:p>
        </w:tc>
        <w:tc>
          <w:tcPr>
            <w:tcW w:w="3166" w:type="dxa"/>
          </w:tcPr>
          <w:p>
            <w:r>
              <w:t xml:space="preserve">Initialised from ITU-R P.2040-2 defaults with an S warm prior of 0.35</w:t>
            </w:r>
          </w:p>
        </w:tc>
      </w:tr>
    </w:tbl>
    <w:p/>
    <w:p>
      <w:pPr>
        <w:spacing w:after="160"/>
      </w:pPr>
      <w:r>
        <w:rPr>
          <w:i/>
          <w:iCs/>
        </w:rPr>
        <w:t xml:space="preserve">Table 4.3 — The objective function, EM parameter bounds, and output files are shared with the Powell back-end (Section 4.1), so switching optimisers required no change to the surrounding pipeline (Figure 4.1).</w:t>
      </w:r>
    </w:p>
    <w:p>
      <w:pPr>
        <w:spacing w:after="160"/>
      </w:pPr>
      <w:r>
        <w:rPr>
          <w:b/>
          <w:bCs/>
        </w:rPr>
        <w:t xml:space="preserve">Table 4.4 — Final calibration results by site and frequency.</w:t>
      </w:r>
    </w:p>
    <w:tbl>
      <w:tblPr>
        <w:tblW w:w="9500" w:type="dxa"/>
        <w:tblBorders>
          <w:top w:val="single" w:sz="6" w:space="0" w:color="D1D9E0"/>
          <w:left w:val="single" w:sz="6" w:space="0" w:color="D1D9E0"/>
          <w:bottom w:val="single" w:sz="6" w:space="0" w:color="D1D9E0"/>
          <w:right w:val="single" w:sz="6" w:space="0" w:color="D1D9E0"/>
          <w:insideH w:val="single" w:sz="6" w:space="0" w:color="D1D9E0"/>
          <w:insideV w:val="single" w:sz="6" w:space="0" w:color="D1D9E0"/>
        </w:tblBorders>
        <w:tblCellMar>
          <w:top w:w="60" w:type="dxa"/>
          <w:left w:w="100" w:type="dxa"/>
          <w:bottom w:w="60" w:type="dxa"/>
          <w:right w:w="100" w:type="dxa"/>
        </w:tblCellMar>
        <w:tblLook w:val="04A0" w:firstRow="1" w:lastRow="0" w:firstColumn="1" w:lastColumn="0" w:noHBand="0" w:noVBand="1"/>
      </w:tblPr>
      <w:tblGrid>
        <w:gridCol w:w="1357"/>
        <w:gridCol w:w="1357"/>
        <w:gridCol w:w="1357"/>
        <w:gridCol w:w="1357"/>
        <w:gridCol w:w="1357"/>
        <w:gridCol w:w="1357"/>
        <w:gridCol w:w="1357"/>
      </w:tblGrid>
      <w:tr>
        <w:tc>
          <w:tcPr>
            <w:tcW w:w="1357" w:type="dxa"/>
          </w:tcPr>
          <w:p>
            <w:r>
              <w:rPr>
                <w:b/>
                <w:bCs/>
              </w:rPr>
              <w:t xml:space="preserve">Site / Frequency</w:t>
            </w:r>
          </w:p>
        </w:tc>
        <w:tc>
          <w:tcPr>
            <w:tcW w:w="1357" w:type="dxa"/>
          </w:tcPr>
          <w:p>
            <w:r>
              <w:rPr>
                <w:b/>
                <w:bCs/>
              </w:rPr>
              <w:t xml:space="preserve">Optimiser</w:t>
            </w:r>
          </w:p>
        </w:tc>
        <w:tc>
          <w:tcPr>
            <w:tcW w:w="1357" w:type="dxa"/>
          </w:tcPr>
          <w:p>
            <w:r>
              <w:rPr>
                <w:b/>
                <w:bCs/>
              </w:rPr>
              <w:t xml:space="preserve">N (best range)</w:t>
            </w:r>
          </w:p>
        </w:tc>
        <w:tc>
          <w:tcPr>
            <w:tcW w:w="1357" w:type="dxa"/>
          </w:tcPr>
          <w:p>
            <w:r>
              <w:rPr>
                <w:b/>
                <w:bCs/>
              </w:rPr>
              <w:t xml:space="preserve">RMSE</w:t>
            </w:r>
          </w:p>
        </w:tc>
        <w:tc>
          <w:tcPr>
            <w:tcW w:w="1357" w:type="dxa"/>
          </w:tcPr>
          <w:p>
            <w:r>
              <w:rPr>
                <w:b/>
                <w:bCs/>
              </w:rPr>
              <w:t xml:space="preserve">Best R²</w:t>
            </w:r>
          </w:p>
        </w:tc>
        <w:tc>
          <w:tcPr>
            <w:tcW w:w="1357" w:type="dxa"/>
          </w:tcPr>
          <w:p>
            <w:r>
              <w:rPr>
                <w:b/>
                <w:bCs/>
              </w:rPr>
              <w:t xml:space="preserve">Range</w:t>
            </w:r>
          </w:p>
        </w:tc>
        <w:tc>
          <w:tcPr>
            <w:tcW w:w="1357" w:type="dxa"/>
          </w:tcPr>
          <w:p>
            <w:r>
              <w:rPr>
                <w:b/>
                <w:bCs/>
              </w:rPr>
              <w:t xml:space="preserve">Notes</w:t>
            </w:r>
          </w:p>
        </w:tc>
      </w:tr>
      <w:tr>
        <w:tc>
          <w:tcPr>
            <w:tcW w:w="1357" w:type="dxa"/>
          </w:tcPr>
          <w:p>
            <w:r>
              <w:t xml:space="preserve">Nottingham 915 MHz</w:t>
            </w:r>
          </w:p>
        </w:tc>
        <w:tc>
          <w:tcPr>
            <w:tcW w:w="1357" w:type="dxa"/>
          </w:tcPr>
          <w:p>
            <w:r>
              <w:t xml:space="preserve">Powell</w:t>
            </w:r>
          </w:p>
        </w:tc>
        <w:tc>
          <w:tcPr>
            <w:tcW w:w="1357" w:type="dxa"/>
          </w:tcPr>
          <w:p>
            <w:r>
              <w:t xml:space="preserve">67</w:t>
            </w:r>
          </w:p>
        </w:tc>
        <w:tc>
          <w:tcPr>
            <w:tcW w:w="1357" w:type="dxa"/>
          </w:tcPr>
          <w:p>
            <w:r>
              <w:t xml:space="preserve">6.0 dB</w:t>
            </w:r>
          </w:p>
        </w:tc>
        <w:tc>
          <w:tcPr>
            <w:tcW w:w="1357" w:type="dxa"/>
          </w:tcPr>
          <w:p>
            <w:r>
              <w:rPr>
                <w:b/>
                <w:bCs/>
              </w:rPr>
              <w:t xml:space="preserve">0.835</w:t>
            </w:r>
          </w:p>
        </w:tc>
        <w:tc>
          <w:tcPr>
            <w:tcW w:w="1357" w:type="dxa"/>
          </w:tcPr>
          <w:p>
            <w:r>
              <w:t xml:space="preserve">0–750 m</w:t>
            </w:r>
          </w:p>
        </w:tc>
        <w:tc>
          <w:tcPr>
            <w:tcW w:w="1357" w:type="dxa"/>
          </w:tcPr>
          <w:p>
            <w:r>
              <w:t xml:space="preserve">6 free materials</w:t>
            </w:r>
          </w:p>
        </w:tc>
      </w:tr>
      <w:tr>
        <w:tc>
          <w:tcPr>
            <w:tcW w:w="1357" w:type="dxa"/>
          </w:tcPr>
          <w:p>
            <w:r>
              <w:t xml:space="preserve">Nottingham 1802 MHz</w:t>
            </w:r>
          </w:p>
        </w:tc>
        <w:tc>
          <w:tcPr>
            <w:tcW w:w="1357" w:type="dxa"/>
          </w:tcPr>
          <w:p>
            <w:r>
              <w:t xml:space="preserve">Powell</w:t>
            </w:r>
          </w:p>
        </w:tc>
        <w:tc>
          <w:tcPr>
            <w:tcW w:w="1357" w:type="dxa"/>
          </w:tcPr>
          <w:p>
            <w:r>
              <w:t xml:space="preserve">767</w:t>
            </w:r>
          </w:p>
        </w:tc>
        <w:tc>
          <w:tcPr>
            <w:tcW w:w="1357" w:type="dxa"/>
          </w:tcPr>
          <w:p>
            <w:r>
              <w:t xml:space="preserve">10.6 dB</w:t>
            </w:r>
          </w:p>
        </w:tc>
        <w:tc>
          <w:tcPr>
            <w:tcW w:w="1357" w:type="dxa"/>
          </w:tcPr>
          <w:p>
            <w:r>
              <w:rPr>
                <w:b/>
                <w:bCs/>
              </w:rPr>
              <w:t xml:space="preserve">0.509</w:t>
            </w:r>
          </w:p>
        </w:tc>
        <w:tc>
          <w:tcPr>
            <w:tcW w:w="1357" w:type="dxa"/>
          </w:tcPr>
          <w:p>
            <w:r>
              <w:t xml:space="preserve">0–1250 m</w:t>
            </w:r>
          </w:p>
        </w:tc>
        <w:tc>
          <w:tcPr>
            <w:tcW w:w="1357" w:type="dxa"/>
          </w:tcPr>
          <w:p>
            <w:r>
              <w:rPr>
                <w:rFonts w:ascii="Consolas" w:hAnsi="Consolas"/>
              </w:rPr>
              <w:t xml:space="preserve">DISABLE_VEG_DISCS=True</w:t>
            </w:r>
            <w:r>
              <w:t xml:space="preserve">; 15,486-tree scene</w:t>
            </w:r>
          </w:p>
        </w:tc>
      </w:tr>
      <w:tr>
        <w:tc>
          <w:tcPr>
            <w:tcW w:w="1357" w:type="dxa"/>
          </w:tcPr>
          <w:p>
            <w:r>
              <w:t xml:space="preserve">Nottingham 2695 MHz</w:t>
            </w:r>
          </w:p>
        </w:tc>
        <w:tc>
          <w:tcPr>
            <w:tcW w:w="1357" w:type="dxa"/>
          </w:tcPr>
          <w:p>
            <w:r>
              <w:t xml:space="preserve">Powell</w:t>
            </w:r>
          </w:p>
        </w:tc>
        <w:tc>
          <w:tcPr>
            <w:tcW w:w="1357" w:type="dxa"/>
          </w:tcPr>
          <w:p>
            <w:r>
              <w:t xml:space="preserve">324</w:t>
            </w:r>
          </w:p>
        </w:tc>
        <w:tc>
          <w:tcPr>
            <w:tcW w:w="1357" w:type="dxa"/>
          </w:tcPr>
          <w:p>
            <w:r>
              <w:t xml:space="preserve">12.7 dB</w:t>
            </w:r>
          </w:p>
        </w:tc>
        <w:tc>
          <w:tcPr>
            <w:tcW w:w="1357" w:type="dxa"/>
          </w:tcPr>
          <w:p>
            <w:r>
              <w:rPr>
                <w:b/>
                <w:bCs/>
              </w:rPr>
              <w:t xml:space="preserve">0.574</w:t>
            </w:r>
          </w:p>
        </w:tc>
        <w:tc>
          <w:tcPr>
            <w:tcW w:w="1357" w:type="dxa"/>
          </w:tcPr>
          <w:p>
            <w:r>
              <w:t xml:space="preserve">0–1250 m</w:t>
            </w:r>
          </w:p>
        </w:tc>
        <w:tc>
          <w:tcPr>
            <w:tcW w:w="1357" w:type="dxa"/>
          </w:tcPr>
          <w:p>
            <w:r>
              <w:rPr>
                <w:rFonts w:ascii="Consolas" w:hAnsi="Consolas"/>
              </w:rPr>
              <w:t xml:space="preserve">CAL_MAX_DIST_KM=1.0</w:t>
            </w:r>
            <w:r>
              <w:t xml:space="preserve"> (below R_bp=916 m)</w:t>
            </w:r>
          </w:p>
        </w:tc>
      </w:tr>
      <w:tr>
        <w:tc>
          <w:tcPr>
            <w:tcW w:w="1357" w:type="dxa"/>
          </w:tcPr>
          <w:p>
            <w:r>
              <w:t xml:space="preserve">Nottingham 3602 MHz</w:t>
            </w:r>
          </w:p>
        </w:tc>
        <w:tc>
          <w:tcPr>
            <w:tcW w:w="1357" w:type="dxa"/>
          </w:tcPr>
          <w:p>
            <w:r>
              <w:t xml:space="preserve">Powell</w:t>
            </w:r>
          </w:p>
        </w:tc>
        <w:tc>
          <w:tcPr>
            <w:tcW w:w="1357" w:type="dxa"/>
          </w:tcPr>
          <w:p>
            <w:r>
              <w:t xml:space="preserve">725</w:t>
            </w:r>
          </w:p>
        </w:tc>
        <w:tc>
          <w:tcPr>
            <w:tcW w:w="1357" w:type="dxa"/>
          </w:tcPr>
          <w:p>
            <w:r>
              <w:t xml:space="preserve">9.8 dB</w:t>
            </w:r>
          </w:p>
        </w:tc>
        <w:tc>
          <w:tcPr>
            <w:tcW w:w="1357" w:type="dxa"/>
          </w:tcPr>
          <w:p>
            <w:r>
              <w:rPr>
                <w:b/>
                <w:bCs/>
              </w:rPr>
              <w:t xml:space="preserve">0.515</w:t>
            </w:r>
          </w:p>
        </w:tc>
        <w:tc>
          <w:tcPr>
            <w:tcW w:w="1357" w:type="dxa"/>
          </w:tcPr>
          <w:p>
            <w:r>
              <w:t xml:space="preserve">0–1250 m</w:t>
            </w:r>
          </w:p>
        </w:tc>
        <w:tc>
          <w:tcPr>
            <w:tcW w:w="1357" w:type="dxa"/>
          </w:tcPr>
          <w:p>
            <w:r>
              <w:rPr>
                <w:rFonts w:ascii="Consolas" w:hAnsi="Consolas"/>
              </w:rPr>
              <w:t xml:space="preserve">DISABLE_CANOPY=True</w:t>
            </w:r>
            <w:r>
              <w:t xml:space="preserve">; per-path P.833-10</w:t>
            </w:r>
          </w:p>
        </w:tc>
      </w:tr>
      <w:tr>
        <w:tc>
          <w:tcPr>
            <w:tcW w:w="1357" w:type="dxa"/>
          </w:tcPr>
          <w:p>
            <w:r>
              <w:t xml:space="preserve">Nottingham 3602 MHz (HF scene)</w:t>
            </w:r>
          </w:p>
        </w:tc>
        <w:tc>
          <w:tcPr>
            <w:tcW w:w="1357" w:type="dxa"/>
          </w:tcPr>
          <w:p>
            <w:r>
              <w:t xml:space="preserve">CMA-ES</w:t>
            </w:r>
          </w:p>
        </w:tc>
        <w:tc>
          <w:tcPr>
            <w:tcW w:w="1357" w:type="dxa"/>
          </w:tcPr>
          <w:p>
            <w:r>
              <w:t xml:space="preserve">~680</w:t>
            </w:r>
          </w:p>
        </w:tc>
        <w:tc>
          <w:tcPr>
            <w:tcW w:w="1357" w:type="dxa"/>
          </w:tcPr>
          <w:p>
            <w:r>
              <w:t xml:space="preserve">~10–11 dB</w:t>
            </w:r>
          </w:p>
        </w:tc>
        <w:tc>
          <w:tcPr>
            <w:tcW w:w="1357" w:type="dxa"/>
          </w:tcPr>
          <w:p>
            <w:r>
              <w:rPr>
                <w:b/>
                <w:bCs/>
              </w:rPr>
              <w:t xml:space="preserve">0.65</w:t>
            </w:r>
          </w:p>
        </w:tc>
        <w:tc>
          <w:tcPr>
            <w:tcW w:w="1357" w:type="dxa"/>
          </w:tcPr>
          <w:p>
            <w:r>
              <w:t xml:space="preserve">0–1250 m</w:t>
            </w:r>
          </w:p>
        </w:tc>
        <w:tc>
          <w:tcPr>
            <w:tcW w:w="1357" w:type="dxa"/>
          </w:tcPr>
          <w:p>
            <w:r>
              <w:t xml:space="preserve">3-layer stacked discs (Figure 3.4b); stable to R²≈0.58 out to 4 km — no NLOS collapse</w:t>
            </w:r>
          </w:p>
        </w:tc>
      </w:tr>
      <w:tr>
        <w:tc>
          <w:tcPr>
            <w:tcW w:w="1357" w:type="dxa"/>
          </w:tcPr>
          <w:p>
            <w:r>
              <w:t xml:space="preserve">London 915 MHz</w:t>
            </w:r>
          </w:p>
        </w:tc>
        <w:tc>
          <w:tcPr>
            <w:tcW w:w="1357" w:type="dxa"/>
          </w:tcPr>
          <w:p>
            <w:r>
              <w:t xml:space="preserve">CMA-ES</w:t>
            </w:r>
          </w:p>
        </w:tc>
        <w:tc>
          <w:tcPr>
            <w:tcW w:w="1357" w:type="dxa"/>
          </w:tcPr>
          <w:p>
            <w:r>
              <w:t xml:space="preserve">125</w:t>
            </w:r>
          </w:p>
        </w:tc>
        <w:tc>
          <w:tcPr>
            <w:tcW w:w="1357" w:type="dxa"/>
          </w:tcPr>
          <w:p>
            <w:r>
              <w:t xml:space="preserve">8.2 dB</w:t>
            </w:r>
          </w:p>
        </w:tc>
        <w:tc>
          <w:tcPr>
            <w:tcW w:w="1357" w:type="dxa"/>
          </w:tcPr>
          <w:p>
            <w:r>
              <w:rPr>
                <w:b/>
                <w:bCs/>
              </w:rPr>
              <w:t xml:space="preserve">0.365</w:t>
            </w:r>
          </w:p>
        </w:tc>
        <w:tc>
          <w:tcPr>
            <w:tcW w:w="1357" w:type="dxa"/>
          </w:tcPr>
          <w:p>
            <w:r>
              <w:t xml:space="preserve">0–1000 m</w:t>
            </w:r>
          </w:p>
        </w:tc>
        <w:tc>
          <w:tcPr>
            <w:tcW w:w="1357" w:type="dxa"/>
          </w:tcPr>
          <w:p>
            <w:r>
              <w:t xml:space="preserve">scalar = +28.766 dB</w:t>
            </w:r>
          </w:p>
        </w:tc>
      </w:tr>
      <w:tr>
        <w:tc>
          <w:tcPr>
            <w:tcW w:w="1357" w:type="dxa"/>
          </w:tcPr>
          <w:p>
            <w:r>
              <w:t xml:space="preserve">London 1802 MHz</w:t>
            </w:r>
          </w:p>
        </w:tc>
        <w:tc>
          <w:tcPr>
            <w:tcW w:w="1357" w:type="dxa"/>
          </w:tcPr>
          <w:p>
            <w:r>
              <w:t xml:space="preserve">CMA-ES</w:t>
            </w:r>
          </w:p>
        </w:tc>
        <w:tc>
          <w:tcPr>
            <w:tcW w:w="1357" w:type="dxa"/>
          </w:tcPr>
          <w:p>
            <w:r>
              <w:t xml:space="preserve">—</w:t>
            </w:r>
          </w:p>
        </w:tc>
        <w:tc>
          <w:tcPr>
            <w:tcW w:w="1357" w:type="dxa"/>
          </w:tcPr>
          <w:p>
            <w:r>
              <w:t xml:space="preserve">—</w:t>
            </w:r>
          </w:p>
        </w:tc>
        <w:tc>
          <w:tcPr>
            <w:tcW w:w="1357" w:type="dxa"/>
          </w:tcPr>
          <w:p>
            <w:r>
              <w:rPr>
                <w:b/>
                <w:bCs/>
              </w:rPr>
              <w:t xml:space="preserve">0.365</w:t>
            </w:r>
          </w:p>
        </w:tc>
        <w:tc>
          <w:tcPr>
            <w:tcW w:w="1357" w:type="dxa"/>
          </w:tcPr>
          <w:p>
            <w:r>
              <w:t xml:space="preserve">0–1000 m</w:t>
            </w:r>
          </w:p>
        </w:tc>
        <w:tc>
          <w:tcPr>
            <w:tcW w:w="1357" w:type="dxa"/>
          </w:tcPr>
          <w:p>
            <w:r>
              <w:t xml:space="preserve">Run 4 of 8; accepted as physics floor (Table 5.3)</w:t>
            </w:r>
          </w:p>
        </w:tc>
      </w:tr>
      <w:tr>
        <w:tc>
          <w:tcPr>
            <w:tcW w:w="1357" w:type="dxa"/>
          </w:tcPr>
          <w:p>
            <w:r>
              <w:t xml:space="preserve">Scar Hill 915 MHz</w:t>
            </w:r>
          </w:p>
        </w:tc>
        <w:tc>
          <w:tcPr>
            <w:tcW w:w="1357" w:type="dxa"/>
          </w:tcPr>
          <w:p>
            <w:r>
              <w:t xml:space="preserve">Powell</w:t>
            </w:r>
          </w:p>
        </w:tc>
        <w:tc>
          <w:tcPr>
            <w:tcW w:w="1357" w:type="dxa"/>
          </w:tcPr>
          <w:p>
            <w:r>
              <w:t xml:space="preserve">179</w:t>
            </w:r>
          </w:p>
        </w:tc>
        <w:tc>
          <w:tcPr>
            <w:tcW w:w="1357" w:type="dxa"/>
          </w:tcPr>
          <w:p>
            <w:r>
              <w:t xml:space="preserve">15.1 dB</w:t>
            </w:r>
          </w:p>
        </w:tc>
        <w:tc>
          <w:tcPr>
            <w:tcW w:w="1357" w:type="dxa"/>
          </w:tcPr>
          <w:p>
            <w:r>
              <w:rPr>
                <w:b/>
                <w:bCs/>
              </w:rPr>
              <w:t xml:space="preserve">0.083</w:t>
            </w:r>
          </w:p>
        </w:tc>
        <w:tc>
          <w:tcPr>
            <w:tcW w:w="1357" w:type="dxa"/>
          </w:tcPr>
          <w:p>
            <w:r>
              <w:t xml:space="preserve">0–1250 m</w:t>
            </w:r>
          </w:p>
        </w:tc>
        <w:tc>
          <w:tcPr>
            <w:tcW w:w="1357" w:type="dxa"/>
          </w:tcPr>
          <w:p>
            <w:r>
              <w:t xml:space="preserve">SRTM 30 m terrain floor (Section 4.3)</w:t>
            </w:r>
          </w:p>
        </w:tc>
      </w:tr>
      <w:tr>
        <w:tc>
          <w:tcPr>
            <w:tcW w:w="1357" w:type="dxa"/>
          </w:tcPr>
          <w:p>
            <w:r>
              <w:t xml:space="preserve">Stevenage 915 MHz</w:t>
            </w:r>
          </w:p>
        </w:tc>
        <w:tc>
          <w:tcPr>
            <w:tcW w:w="1357" w:type="dxa"/>
          </w:tcPr>
          <w:p>
            <w:r>
              <w:t xml:space="preserve">None (CMA-ES attempted, no gain)</w:t>
            </w:r>
          </w:p>
        </w:tc>
        <w:tc>
          <w:tcPr>
            <w:tcW w:w="1357" w:type="dxa"/>
          </w:tcPr>
          <w:p>
            <w:r>
              <w:t xml:space="preserve">1,200</w:t>
            </w:r>
          </w:p>
        </w:tc>
        <w:tc>
          <w:tcPr>
            <w:tcW w:w="1357" w:type="dxa"/>
          </w:tcPr>
          <w:p>
            <w:r>
              <w:t xml:space="preserve">11.3 dB</w:t>
            </w:r>
          </w:p>
        </w:tc>
        <w:tc>
          <w:tcPr>
            <w:tcW w:w="1357" w:type="dxa"/>
          </w:tcPr>
          <w:p>
            <w:r>
              <w:rPr>
                <w:b/>
                <w:bCs/>
              </w:rPr>
              <w:t xml:space="preserve">0.744</w:t>
            </w:r>
          </w:p>
        </w:tc>
        <w:tc>
          <w:tcPr>
            <w:tcW w:w="1357" w:type="dxa"/>
          </w:tcPr>
          <w:p>
            <w:r>
              <w:t xml:space="preserve">0–2250 m</w:t>
            </w:r>
          </w:p>
        </w:tc>
        <w:tc>
          <w:tcPr>
            <w:tcW w:w="1357" w:type="dxa"/>
          </w:tcPr>
          <w:p>
            <w:r>
              <w:t xml:space="preserve">ITU-R defaults + bin scalar only</w:t>
            </w:r>
          </w:p>
        </w:tc>
      </w:tr>
      <w:tr>
        <w:tc>
          <w:tcPr>
            <w:tcW w:w="1357" w:type="dxa"/>
          </w:tcPr>
          <w:p>
            <w:r>
              <w:t xml:space="preserve">Stevenage 1802 MHz</w:t>
            </w:r>
          </w:p>
        </w:tc>
        <w:tc>
          <w:tcPr>
            <w:tcW w:w="1357" w:type="dxa"/>
          </w:tcPr>
          <w:p>
            <w:r>
              <w:t xml:space="preserve">None</w:t>
            </w:r>
          </w:p>
        </w:tc>
        <w:tc>
          <w:tcPr>
            <w:tcW w:w="1357" w:type="dxa"/>
          </w:tcPr>
          <w:p>
            <w:r>
              <w:t xml:space="preserve">873</w:t>
            </w:r>
          </w:p>
        </w:tc>
        <w:tc>
          <w:tcPr>
            <w:tcW w:w="1357" w:type="dxa"/>
          </w:tcPr>
          <w:p>
            <w:r>
              <w:t xml:space="preserve">10.6 dB</w:t>
            </w:r>
          </w:p>
        </w:tc>
        <w:tc>
          <w:tcPr>
            <w:tcW w:w="1357" w:type="dxa"/>
          </w:tcPr>
          <w:p>
            <w:r>
              <w:rPr>
                <w:b/>
                <w:bCs/>
              </w:rPr>
              <w:t xml:space="preserve">0.735</w:t>
            </w:r>
          </w:p>
        </w:tc>
        <w:tc>
          <w:tcPr>
            <w:tcW w:w="1357" w:type="dxa"/>
          </w:tcPr>
          <w:p>
            <w:r>
              <w:t xml:space="preserve">0–1750 m</w:t>
            </w:r>
          </w:p>
        </w:tc>
        <w:tc>
          <w:tcPr>
            <w:tcW w:w="1357" w:type="dxa"/>
          </w:tcPr>
          <w:p>
            <w:r>
              <w:t xml:space="preserve">Best method </w:t>
            </w:r>
            <w:r>
              <w:rPr>
                <w:b/>
                <w:bCs/>
              </w:rPr>
              <w:t xml:space="preserve">ON coherent</w:t>
            </w:r>
            <w:r>
              <w:t xml:space="preserve">, not incoherent</w:t>
            </w:r>
          </w:p>
        </w:tc>
      </w:tr>
      <w:tr>
        <w:tc>
          <w:tcPr>
            <w:tcW w:w="1357" w:type="dxa"/>
          </w:tcPr>
          <w:p>
            <w:r>
              <w:t xml:space="preserve">Stevenage 2695 MHz</w:t>
            </w:r>
          </w:p>
        </w:tc>
        <w:tc>
          <w:tcPr>
            <w:tcW w:w="1357" w:type="dxa"/>
          </w:tcPr>
          <w:p>
            <w:r>
              <w:t xml:space="preserve">None</w:t>
            </w:r>
          </w:p>
        </w:tc>
        <w:tc>
          <w:tcPr>
            <w:tcW w:w="1357" w:type="dxa"/>
          </w:tcPr>
          <w:p>
            <w:r>
              <w:t xml:space="preserve">1,129</w:t>
            </w:r>
          </w:p>
        </w:tc>
        <w:tc>
          <w:tcPr>
            <w:tcW w:w="1357" w:type="dxa"/>
          </w:tcPr>
          <w:p>
            <w:r>
              <w:t xml:space="preserve">10.5 dB</w:t>
            </w:r>
          </w:p>
        </w:tc>
        <w:tc>
          <w:tcPr>
            <w:tcW w:w="1357" w:type="dxa"/>
          </w:tcPr>
          <w:p>
            <w:r>
              <w:rPr>
                <w:b/>
                <w:bCs/>
              </w:rPr>
              <w:t xml:space="preserve">0.754</w:t>
            </w:r>
          </w:p>
        </w:tc>
        <w:tc>
          <w:tcPr>
            <w:tcW w:w="1357" w:type="dxa"/>
          </w:tcPr>
          <w:p>
            <w:r>
              <w:t xml:space="preserve">0–2250 m</w:t>
            </w:r>
          </w:p>
        </w:tc>
        <w:tc>
          <w:tcPr>
            <w:tcW w:w="1357" w:type="dxa"/>
          </w:tcPr>
          <w:p>
            <w:r>
              <w:t xml:space="preserve">Best method </w:t>
            </w:r>
            <w:r>
              <w:rPr>
                <w:b/>
                <w:bCs/>
              </w:rPr>
              <w:t xml:space="preserve">ON coherent</w:t>
            </w:r>
            <w:r>
              <w:t xml:space="preserve">; </w:t>
            </w:r>
            <w:r>
              <w:rPr>
                <w:rFonts w:ascii="Consolas" w:hAnsi="Consolas"/>
              </w:rPr>
              <w:t xml:space="preserve">DISABLE_VEG_DISCS=True</w:t>
            </w:r>
          </w:p>
        </w:tc>
      </w:tr>
      <w:tr>
        <w:tc>
          <w:tcPr>
            <w:tcW w:w="1357" w:type="dxa"/>
          </w:tcPr>
          <w:p>
            <w:r>
              <w:t xml:space="preserve">Stevenage 3602 MHz</w:t>
            </w:r>
          </w:p>
        </w:tc>
        <w:tc>
          <w:tcPr>
            <w:tcW w:w="1357" w:type="dxa"/>
          </w:tcPr>
          <w:p>
            <w:r>
              <w:t xml:space="preserve">None (CMA stalled — DrJIT caching)</w:t>
            </w:r>
          </w:p>
        </w:tc>
        <w:tc>
          <w:tcPr>
            <w:tcW w:w="1357" w:type="dxa"/>
          </w:tcPr>
          <w:p>
            <w:r>
              <w:t xml:space="preserve">967</w:t>
            </w:r>
          </w:p>
        </w:tc>
        <w:tc>
          <w:tcPr>
            <w:tcW w:w="1357" w:type="dxa"/>
          </w:tcPr>
          <w:p>
            <w:r>
              <w:t xml:space="preserve">11.7 dB</w:t>
            </w:r>
          </w:p>
        </w:tc>
        <w:tc>
          <w:tcPr>
            <w:tcW w:w="1357" w:type="dxa"/>
          </w:tcPr>
          <w:p>
            <w:r>
              <w:rPr>
                <w:b/>
                <w:bCs/>
              </w:rPr>
              <w:t xml:space="preserve">0.755</w:t>
            </w:r>
          </w:p>
        </w:tc>
        <w:tc>
          <w:tcPr>
            <w:tcW w:w="1357" w:type="dxa"/>
          </w:tcPr>
          <w:p>
            <w:r>
              <w:t xml:space="preserve">0–2000 m</w:t>
            </w:r>
          </w:p>
        </w:tc>
        <w:tc>
          <w:tcPr>
            <w:tcW w:w="1357" w:type="dxa"/>
          </w:tcPr>
          <w:p>
            <w:r>
              <w:t xml:space="preserve">Best method </w:t>
            </w:r>
            <w:r>
              <w:rPr>
                <w:b/>
                <w:bCs/>
              </w:rPr>
              <w:t xml:space="preserve">ON coherent</w:t>
            </w:r>
            <w:r>
              <w:t xml:space="preserve">; Phase 0 scalar (+12.106 dB) + bin scalar only</w:t>
            </w:r>
          </w:p>
        </w:tc>
      </w:tr>
      <w:tr>
        <w:tc>
          <w:tcPr>
            <w:tcW w:w="1357" w:type="dxa"/>
          </w:tcPr>
          <w:p>
            <w:r>
              <w:t xml:space="preserve">Southampton 915 MHz</w:t>
            </w:r>
          </w:p>
        </w:tc>
        <w:tc>
          <w:tcPr>
            <w:tcW w:w="1357" w:type="dxa"/>
          </w:tcPr>
          <w:p>
            <w:r>
              <w:t xml:space="preserve">CMA-ES (Phase 0 only)</w:t>
            </w:r>
          </w:p>
        </w:tc>
        <w:tc>
          <w:tcPr>
            <w:tcW w:w="1357" w:type="dxa"/>
          </w:tcPr>
          <w:p>
            <w:r>
              <w:t xml:space="preserve">338</w:t>
            </w:r>
          </w:p>
        </w:tc>
        <w:tc>
          <w:tcPr>
            <w:tcW w:w="1357" w:type="dxa"/>
          </w:tcPr>
          <w:p>
            <w:r>
              <w:t xml:space="preserve">6.3 dB</w:t>
            </w:r>
          </w:p>
        </w:tc>
        <w:tc>
          <w:tcPr>
            <w:tcW w:w="1357" w:type="dxa"/>
          </w:tcPr>
          <w:p>
            <w:r>
              <w:rPr>
                <w:b/>
                <w:bCs/>
              </w:rPr>
              <w:t xml:space="preserve">0.730</w:t>
            </w:r>
          </w:p>
        </w:tc>
        <w:tc>
          <w:tcPr>
            <w:tcW w:w="1357" w:type="dxa"/>
          </w:tcPr>
          <w:p>
            <w:r>
              <w:t xml:space="preserve">0–900 m</w:t>
            </w:r>
          </w:p>
        </w:tc>
        <w:tc>
          <w:tcPr>
            <w:tcW w:w="1357" w:type="dxa"/>
          </w:tcPr>
          <w:p>
            <w:r>
              <w:t xml:space="preserve">4 free materials; scalar −11.767 dB</w:t>
            </w:r>
          </w:p>
        </w:tc>
      </w:tr>
      <w:tr>
        <w:tc>
          <w:tcPr>
            <w:tcW w:w="1357" w:type="dxa"/>
          </w:tcPr>
          <w:p>
            <w:r>
              <w:t xml:space="preserve">Southampton 1802 MHz</w:t>
            </w:r>
          </w:p>
        </w:tc>
        <w:tc>
          <w:tcPr>
            <w:tcW w:w="1357" w:type="dxa"/>
          </w:tcPr>
          <w:p>
            <w:r>
              <w:t xml:space="preserve">CMA-ES</w:t>
            </w:r>
          </w:p>
        </w:tc>
        <w:tc>
          <w:tcPr>
            <w:tcW w:w="1357" w:type="dxa"/>
          </w:tcPr>
          <w:p>
            <w:r>
              <w:t xml:space="preserve">131</w:t>
            </w:r>
          </w:p>
        </w:tc>
        <w:tc>
          <w:tcPr>
            <w:tcW w:w="1357" w:type="dxa"/>
          </w:tcPr>
          <w:p>
            <w:r>
              <w:t xml:space="preserve">6.6 dB</w:t>
            </w:r>
          </w:p>
        </w:tc>
        <w:tc>
          <w:tcPr>
            <w:tcW w:w="1357" w:type="dxa"/>
          </w:tcPr>
          <w:p>
            <w:r>
              <w:rPr>
                <w:b/>
                <w:bCs/>
              </w:rPr>
              <w:t xml:space="preserve">0.650</w:t>
            </w:r>
          </w:p>
        </w:tc>
        <w:tc>
          <w:tcPr>
            <w:tcW w:w="1357" w:type="dxa"/>
          </w:tcPr>
          <w:p>
            <w:r>
              <w:t xml:space="preserve">0–750 m</w:t>
            </w:r>
          </w:p>
        </w:tc>
        <w:tc>
          <w:tcPr>
            <w:tcW w:w="1357" w:type="dxa"/>
          </w:tcPr>
          <w:p>
            <w:r>
              <w:t xml:space="preserve">Best method ON incoherent; ON coherent takes over beyond 1500 m</w:t>
            </w:r>
          </w:p>
        </w:tc>
      </w:tr>
    </w:tbl>
    <w:p/>
    <w:p>
      <w:pPr>
        <w:spacing w:after="160"/>
      </w:pPr>
      <w:r>
        <w:rPr>
          <w:i/>
          <w:iCs/>
        </w:rPr>
        <w:t xml:space="preserve">Table 4.4 — Unless noted, the best method is ON incoherent (scattering ON, incoherent summation), which outperforms coherent and OFF-scatter modes at every dense-urban site (Section 5.1). Stevenage is the exception at all four of its frequencies: coherent summation wins because scattered paths phase-cancel in a specular-dominated environment, corroborated independently by its negligible sensitivity to scattering ON/OFF (Table 5.2). Nottingham's 3602 MHz result appears twice because two scene variants were independently accepted as final: the main scene (`DISABLE_CANOPY=True`, per-path correction) and a dedicated high-frequency (HF) scene with three-layer stacked vegetation discs, which reaches a higher R² and avoids NLOS collapse at long range. Scar Hill's R² reflects an SRTM 30 m terrain-resolution floor, not a calibration shortfall (Section 4.3). Stevenage reaches its final results at every frequency without any material-parameter search at all — ITU-R P.2040-2 defaults plus a per-distance-bin scalar correction were sufficient — in contrast to Nottingham, London, and Southampton, where joint or Phase-0-only material optimisation measurably improved on ITU-R defaults (Section 5.2).</w:t>
      </w:r>
    </w:p>
    <w:p>
      <w:pPr>
        <w:spacing w:after="160"/>
      </w:pPr>
      <w:r>
        <w:t xml:space="preserve">For the Nottingham scenes specifically, the scene bounding box is fixed identically across builder and simulation notebooks (</w:t>
      </w:r>
      <w:r>
        <w:rPr>
          <w:rFonts w:ascii="Consolas" w:hAnsi="Consolas"/>
        </w:rPr>
        <w:t xml:space="preserve">SCENE_WEST/EAST/SOUTH/NORTH</w:t>
      </w:r>
      <w:r>
        <w:t xml:space="preserve">), because even a 0.025° mismatch was found to produce an ~855 m coordinate offset between terrain and building geometry — this bounding-box consistency is checked automatically before every run (Section 4.4) rather than trusted to manual discipline.</w:t>
      </w:r>
    </w:p>
    <w:p>
      <w:pPr>
        <w:spacing w:after="160"/>
      </w:pPr>
      <w:r>
        <w:rPr>
          <w:i/>
          <w:iCs/>
        </w:rPr>
        <w:t xml:space="preserve">[FIGURE 4.4 — PLACEHOLDER — requires real notebook output, not fabricated]</w:t>
      </w:r>
    </w:p>
    <w:p>
      <w:pPr>
        <w:spacing w:after="160"/>
      </w:pPr>
      <w:r>
        <w:rPr>
          <w:i/>
          <w:iCs/>
        </w:rPr>
        <w:t xml:space="preserve">2D scene map (`CELL 6c`): all receivers plotted on an OpenStreetMap basemap, coloured by measured RSSI, transmitter marked with a star, with 500 m / 1 km / 2 km / 3 km distance rings.</w:t>
      </w:r>
    </w:p>
    <w:p>
      <w:pPr>
        <w:spacing w:after="160"/>
      </w:pPr>
      <w:r>
        <w:rPr>
          <w:i/>
          <w:iCs/>
        </w:rPr>
        <w:t xml:space="preserve">[FIGURE 4.5 — PLACEHOLDER — requires real notebook output, not fabricated]</w:t>
      </w:r>
    </w:p>
    <w:p>
      <w:pPr>
        <w:spacing w:after="160"/>
      </w:pPr>
      <w:r>
        <w:rPr>
          <w:i/>
          <w:iCs/>
        </w:rPr>
        <w:t xml:space="preserve">DTM → DSM → nDSM raster progression, three panels side by side: (a) bare-earth DTM, (b) surface DSM with above-ground clutter, (c) derived nDSM = DSM − DTM giving above-ground heights.</w:t>
      </w:r>
    </w:p>
    <w:p>
      <w:pPr>
        <w:pStyle w:val="Heading2"/>
      </w:pPr>
      <w:r>
        <w:t xml:space="preserve">4.3 Data Collection and Processing</w:t>
      </w:r>
    </w:p>
    <w:p>
      <w:pPr>
        <w:spacing w:after="160"/>
      </w:pPr>
      <w:r>
        <w:t xml:space="preserve">Three raw data sources feed the implementation, each requiring its own acquisition and cleaning step before use in the methodology of Chapter 3.</w:t>
      </w:r>
    </w:p>
    <w:p>
      <w:pPr>
        <w:spacing w:after="160"/>
      </w:pPr>
      <w:r>
        <w:rPr>
          <w:b/>
          <w:bCs/>
        </w:rPr>
        <w:t xml:space="preserve">Ofcom measurement data.</w:t>
      </w:r>
      <w:r>
        <w:t xml:space="preserve"> Each site/frequency combination's ground truth is a single CSV exported from the Ofcom 2018 campaign [5], with one row per drive-test sample (WGS84 latitude/longitude, measured RSSI, and header metadata for transmitter height, EIRP, and noise floor).</w:t>
      </w:r>
    </w:p>
    <w:p>
      <w:pPr>
        <w:spacing w:after="160"/>
      </w:pPr>
      <w:r>
        <w:rPr>
          <w:b/>
          <w:bCs/>
        </w:rPr>
        <w:t xml:space="preserve">Table 4.5 — Ofcom 2018 dataset statistics by site and frequency.</w:t>
      </w:r>
    </w:p>
    <w:tbl>
      <w:tblPr>
        <w:tblW w:w="9500" w:type="dxa"/>
        <w:tblBorders>
          <w:top w:val="single" w:sz="6" w:space="0" w:color="D1D9E0"/>
          <w:left w:val="single" w:sz="6" w:space="0" w:color="D1D9E0"/>
          <w:bottom w:val="single" w:sz="6" w:space="0" w:color="D1D9E0"/>
          <w:right w:val="single" w:sz="6" w:space="0" w:color="D1D9E0"/>
          <w:insideH w:val="single" w:sz="6" w:space="0" w:color="D1D9E0"/>
          <w:insideV w:val="single" w:sz="6" w:space="0" w:color="D1D9E0"/>
        </w:tblBorders>
        <w:tblCellMar>
          <w:top w:w="60" w:type="dxa"/>
          <w:left w:w="100" w:type="dxa"/>
          <w:bottom w:w="60" w:type="dxa"/>
          <w:right w:w="100" w:type="dxa"/>
        </w:tblCellMar>
        <w:tblLook w:val="04A0" w:firstRow="1" w:lastRow="0" w:firstColumn="1" w:lastColumn="0" w:noHBand="0" w:noVBand="1"/>
      </w:tblPr>
      <w:tblGrid>
        <w:gridCol w:w="1900"/>
        <w:gridCol w:w="1900"/>
        <w:gridCol w:w="1900"/>
        <w:gridCol w:w="1900"/>
        <w:gridCol w:w="1900"/>
      </w:tblGrid>
      <w:tr>
        <w:tc>
          <w:tcPr>
            <w:tcW w:w="1900" w:type="dxa"/>
          </w:tcPr>
          <w:p>
            <w:r>
              <w:rPr>
                <w:b/>
                <w:bCs/>
              </w:rPr>
              <w:t xml:space="preserve">Site</w:t>
            </w:r>
          </w:p>
        </w:tc>
        <w:tc>
          <w:tcPr>
            <w:tcW w:w="1900" w:type="dxa"/>
          </w:tcPr>
          <w:p>
            <w:r>
              <w:rPr>
                <w:b/>
                <w:bCs/>
              </w:rPr>
              <w:t xml:space="preserve">Frequency</w:t>
            </w:r>
          </w:p>
        </w:tc>
        <w:tc>
          <w:tcPr>
            <w:tcW w:w="1900" w:type="dxa"/>
          </w:tcPr>
          <w:p>
            <w:r>
              <w:rPr>
                <w:b/>
                <w:bCs/>
              </w:rPr>
              <w:t xml:space="preserve">Total records</w:t>
            </w:r>
          </w:p>
        </w:tc>
        <w:tc>
          <w:tcPr>
            <w:tcW w:w="1900" w:type="dxa"/>
          </w:tcPr>
          <w:p>
            <w:r>
              <w:rPr>
                <w:b/>
                <w:bCs/>
              </w:rPr>
              <w:t xml:space="preserve">Within scene bbox</w:t>
            </w:r>
          </w:p>
        </w:tc>
        <w:tc>
          <w:tcPr>
            <w:tcW w:w="1900" w:type="dxa"/>
          </w:tcPr>
          <w:p>
            <w:r>
              <w:rPr>
                <w:b/>
                <w:bCs/>
              </w:rPr>
              <w:t xml:space="preserve">Calibration/evaluation RX (range)</w:t>
            </w:r>
          </w:p>
        </w:tc>
      </w:tr>
      <w:tr>
        <w:tc>
          <w:tcPr>
            <w:tcW w:w="1900" w:type="dxa"/>
          </w:tcPr>
          <w:p>
            <w:r>
              <w:t xml:space="preserve">Nottingham</w:t>
            </w:r>
          </w:p>
        </w:tc>
        <w:tc>
          <w:tcPr>
            <w:tcW w:w="1900" w:type="dxa"/>
          </w:tcPr>
          <w:p>
            <w:r>
              <w:t xml:space="preserve">915 MHz</w:t>
            </w:r>
          </w:p>
        </w:tc>
        <w:tc>
          <w:tcPr>
            <w:tcW w:w="1900" w:type="dxa"/>
          </w:tcPr>
          <w:p>
            <w:r>
              <w:t xml:space="preserve">—</w:t>
            </w:r>
          </w:p>
        </w:tc>
        <w:tc>
          <w:tcPr>
            <w:tcW w:w="1900" w:type="dxa"/>
          </w:tcPr>
          <w:p>
            <w:r>
              <w:t xml:space="preserve">~985 (0–2.5 km)</w:t>
            </w:r>
          </w:p>
        </w:tc>
        <w:tc>
          <w:tcPr>
            <w:tcW w:w="1900" w:type="dxa"/>
          </w:tcPr>
          <w:p>
            <w:r>
              <w:t xml:space="preserve">208 (≤1.5 km)</w:t>
            </w:r>
          </w:p>
        </w:tc>
      </w:tr>
      <w:tr>
        <w:tc>
          <w:tcPr>
            <w:tcW w:w="1900" w:type="dxa"/>
          </w:tcPr>
          <w:p>
            <w:r>
              <w:t xml:space="preserve">Nottingham</w:t>
            </w:r>
          </w:p>
        </w:tc>
        <w:tc>
          <w:tcPr>
            <w:tcW w:w="1900" w:type="dxa"/>
          </w:tcPr>
          <w:p>
            <w:r>
              <w:t xml:space="preserve">1802 MHz</w:t>
            </w:r>
          </w:p>
        </w:tc>
        <w:tc>
          <w:tcPr>
            <w:tcW w:w="1900" w:type="dxa"/>
          </w:tcPr>
          <w:p>
            <w:r>
              <w:t xml:space="preserve">—</w:t>
            </w:r>
          </w:p>
        </w:tc>
        <w:tc>
          <w:tcPr>
            <w:tcW w:w="1900" w:type="dxa"/>
          </w:tcPr>
          <w:p>
            <w:r>
              <w:t xml:space="preserve">~1,177 (0–2.5 km)</w:t>
            </w:r>
          </w:p>
        </w:tc>
        <w:tc>
          <w:tcPr>
            <w:tcW w:w="1900" w:type="dxa"/>
          </w:tcPr>
          <w:p>
            <w:r>
              <w:t xml:space="preserve">—</w:t>
            </w:r>
          </w:p>
        </w:tc>
      </w:tr>
      <w:tr>
        <w:tc>
          <w:tcPr>
            <w:tcW w:w="1900" w:type="dxa"/>
          </w:tcPr>
          <w:p>
            <w:r>
              <w:t xml:space="preserve">Nottingham</w:t>
            </w:r>
          </w:p>
        </w:tc>
        <w:tc>
          <w:tcPr>
            <w:tcW w:w="1900" w:type="dxa"/>
          </w:tcPr>
          <w:p>
            <w:r>
              <w:t xml:space="preserve">2695 MHz</w:t>
            </w:r>
          </w:p>
        </w:tc>
        <w:tc>
          <w:tcPr>
            <w:tcW w:w="1900" w:type="dxa"/>
          </w:tcPr>
          <w:p>
            <w:r>
              <w:t xml:space="preserve">261,967</w:t>
            </w:r>
          </w:p>
        </w:tc>
        <w:tc>
          <w:tcPr>
            <w:tcW w:w="1900" w:type="dxa"/>
          </w:tcPr>
          <w:p>
            <w:r>
              <w:t xml:space="preserve">36,351</w:t>
            </w:r>
          </w:p>
        </w:tc>
        <w:tc>
          <w:tcPr>
            <w:tcW w:w="1900" w:type="dxa"/>
          </w:tcPr>
          <w:p>
            <w:r>
              <w:t xml:space="preserve">373 (≤1.0 km)</w:t>
            </w:r>
          </w:p>
        </w:tc>
      </w:tr>
      <w:tr>
        <w:tc>
          <w:tcPr>
            <w:tcW w:w="1900" w:type="dxa"/>
          </w:tcPr>
          <w:p>
            <w:r>
              <w:t xml:space="preserve">Nottingham</w:t>
            </w:r>
          </w:p>
        </w:tc>
        <w:tc>
          <w:tcPr>
            <w:tcW w:w="1900" w:type="dxa"/>
          </w:tcPr>
          <w:p>
            <w:r>
              <w:t xml:space="preserve">3602 MHz</w:t>
            </w:r>
          </w:p>
        </w:tc>
        <w:tc>
          <w:tcPr>
            <w:tcW w:w="1900" w:type="dxa"/>
          </w:tcPr>
          <w:p>
            <w:r>
              <w:t xml:space="preserve">—</w:t>
            </w:r>
          </w:p>
        </w:tc>
        <w:tc>
          <w:tcPr>
            <w:tcW w:w="1900" w:type="dxa"/>
          </w:tcPr>
          <w:p>
            <w:r>
              <w:t xml:space="preserve">—</w:t>
            </w:r>
          </w:p>
        </w:tc>
        <w:tc>
          <w:tcPr>
            <w:tcW w:w="1900" w:type="dxa"/>
          </w:tcPr>
          <w:p>
            <w:r>
              <w:t xml:space="preserve">601 (≤1.0 km)</w:t>
            </w:r>
          </w:p>
        </w:tc>
      </w:tr>
      <w:tr>
        <w:tc>
          <w:tcPr>
            <w:tcW w:w="1900" w:type="dxa"/>
          </w:tcPr>
          <w:p>
            <w:r>
              <w:t xml:space="preserve">London</w:t>
            </w:r>
          </w:p>
        </w:tc>
        <w:tc>
          <w:tcPr>
            <w:tcW w:w="1900" w:type="dxa"/>
          </w:tcPr>
          <w:p>
            <w:r>
              <w:t xml:space="preserve">915 MHz</w:t>
            </w:r>
          </w:p>
        </w:tc>
        <w:tc>
          <w:tcPr>
            <w:tcW w:w="1900" w:type="dxa"/>
          </w:tcPr>
          <w:p>
            <w:r>
              <w:t xml:space="preserve">—</w:t>
            </w:r>
          </w:p>
        </w:tc>
        <w:tc>
          <w:tcPr>
            <w:tcW w:w="1900" w:type="dxa"/>
          </w:tcPr>
          <w:p>
            <w:r>
              <w:t xml:space="preserve">~179 (0–2.0 km)</w:t>
            </w:r>
          </w:p>
        </w:tc>
        <w:tc>
          <w:tcPr>
            <w:tcW w:w="1900" w:type="dxa"/>
          </w:tcPr>
          <w:p>
            <w:r>
              <w:t xml:space="preserve">223 (≤1.75 km)</w:t>
            </w:r>
          </w:p>
        </w:tc>
      </w:tr>
      <w:tr>
        <w:tc>
          <w:tcPr>
            <w:tcW w:w="1900" w:type="dxa"/>
          </w:tcPr>
          <w:p>
            <w:r>
              <w:t xml:space="preserve">London</w:t>
            </w:r>
          </w:p>
        </w:tc>
        <w:tc>
          <w:tcPr>
            <w:tcW w:w="1900" w:type="dxa"/>
          </w:tcPr>
          <w:p>
            <w:r>
              <w:t xml:space="preserve">1802 MHz</w:t>
            </w:r>
          </w:p>
        </w:tc>
        <w:tc>
          <w:tcPr>
            <w:tcW w:w="1900" w:type="dxa"/>
          </w:tcPr>
          <w:p>
            <w:r>
              <w:t xml:space="preserve">—</w:t>
            </w:r>
          </w:p>
        </w:tc>
        <w:tc>
          <w:tcPr>
            <w:tcW w:w="1900" w:type="dxa"/>
          </w:tcPr>
          <w:p>
            <w:r>
              <w:t xml:space="preserve">—</w:t>
            </w:r>
          </w:p>
        </w:tc>
        <w:tc>
          <w:tcPr>
            <w:tcW w:w="1900" w:type="dxa"/>
          </w:tcPr>
          <w:p>
            <w:r>
              <w:t xml:space="preserve">86 (≤0.75 km)</w:t>
            </w:r>
          </w:p>
        </w:tc>
      </w:tr>
      <w:tr>
        <w:tc>
          <w:tcPr>
            <w:tcW w:w="1900" w:type="dxa"/>
          </w:tcPr>
          <w:p>
            <w:r>
              <w:t xml:space="preserve">London</w:t>
            </w:r>
          </w:p>
        </w:tc>
        <w:tc>
          <w:tcPr>
            <w:tcW w:w="1900" w:type="dxa"/>
          </w:tcPr>
          <w:p>
            <w:r>
              <w:t xml:space="preserve">2695 MHz</w:t>
            </w:r>
          </w:p>
        </w:tc>
        <w:tc>
          <w:tcPr>
            <w:tcW w:w="1900" w:type="dxa"/>
          </w:tcPr>
          <w:p>
            <w:r>
              <w:t xml:space="preserve">109,708</w:t>
            </w:r>
          </w:p>
        </w:tc>
        <w:tc>
          <w:tcPr>
            <w:tcW w:w="1900" w:type="dxa"/>
          </w:tcPr>
          <w:p>
            <w:r>
              <w:t xml:space="preserve">—</w:t>
            </w:r>
          </w:p>
        </w:tc>
        <w:tc>
          <w:tcPr>
            <w:tcW w:w="1900" w:type="dxa"/>
          </w:tcPr>
          <w:p>
            <w:r>
              <w:t xml:space="preserve">— (calibration in progress)</w:t>
            </w:r>
          </w:p>
        </w:tc>
      </w:tr>
      <w:tr>
        <w:tc>
          <w:tcPr>
            <w:tcW w:w="1900" w:type="dxa"/>
          </w:tcPr>
          <w:p>
            <w:r>
              <w:t xml:space="preserve">Stevenage</w:t>
            </w:r>
          </w:p>
        </w:tc>
        <w:tc>
          <w:tcPr>
            <w:tcW w:w="1900" w:type="dxa"/>
          </w:tcPr>
          <w:p>
            <w:r>
              <w:t xml:space="preserve">915 MHz</w:t>
            </w:r>
          </w:p>
        </w:tc>
        <w:tc>
          <w:tcPr>
            <w:tcW w:w="1900" w:type="dxa"/>
          </w:tcPr>
          <w:p>
            <w:r>
              <w:t xml:space="preserve">—</w:t>
            </w:r>
          </w:p>
        </w:tc>
        <w:tc>
          <w:tcPr>
            <w:tcW w:w="1900" w:type="dxa"/>
          </w:tcPr>
          <w:p>
            <w:r>
              <w:t xml:space="preserve">1,200 (0–2.25 km)</w:t>
            </w:r>
          </w:p>
        </w:tc>
        <w:tc>
          <w:tcPr>
            <w:tcW w:w="1900" w:type="dxa"/>
          </w:tcPr>
          <w:p>
            <w:r>
              <w:t xml:space="preserve">1,200 (full dataset)</w:t>
            </w:r>
          </w:p>
        </w:tc>
      </w:tr>
      <w:tr>
        <w:tc>
          <w:tcPr>
            <w:tcW w:w="1900" w:type="dxa"/>
          </w:tcPr>
          <w:p>
            <w:r>
              <w:t xml:space="preserve">Stevenage</w:t>
            </w:r>
          </w:p>
        </w:tc>
        <w:tc>
          <w:tcPr>
            <w:tcW w:w="1900" w:type="dxa"/>
          </w:tcPr>
          <w:p>
            <w:r>
              <w:t xml:space="preserve">1802 MHz</w:t>
            </w:r>
          </w:p>
        </w:tc>
        <w:tc>
          <w:tcPr>
            <w:tcW w:w="1900" w:type="dxa"/>
          </w:tcPr>
          <w:p>
            <w:r>
              <w:t xml:space="preserve">—</w:t>
            </w:r>
          </w:p>
        </w:tc>
        <w:tc>
          <w:tcPr>
            <w:tcW w:w="1900" w:type="dxa"/>
          </w:tcPr>
          <w:p>
            <w:r>
              <w:t xml:space="preserve">—</w:t>
            </w:r>
          </w:p>
        </w:tc>
        <w:tc>
          <w:tcPr>
            <w:tcW w:w="1900" w:type="dxa"/>
          </w:tcPr>
          <w:p>
            <w:r>
              <w:t xml:space="preserve">873 (≤1.75 km)</w:t>
            </w:r>
          </w:p>
        </w:tc>
      </w:tr>
      <w:tr>
        <w:tc>
          <w:tcPr>
            <w:tcW w:w="1900" w:type="dxa"/>
          </w:tcPr>
          <w:p>
            <w:r>
              <w:t xml:space="preserve">Stevenage</w:t>
            </w:r>
          </w:p>
        </w:tc>
        <w:tc>
          <w:tcPr>
            <w:tcW w:w="1900" w:type="dxa"/>
          </w:tcPr>
          <w:p>
            <w:r>
              <w:t xml:space="preserve">2695 MHz</w:t>
            </w:r>
          </w:p>
        </w:tc>
        <w:tc>
          <w:tcPr>
            <w:tcW w:w="1900" w:type="dxa"/>
          </w:tcPr>
          <w:p>
            <w:r>
              <w:t xml:space="preserve">—</w:t>
            </w:r>
          </w:p>
        </w:tc>
        <w:tc>
          <w:tcPr>
            <w:tcW w:w="1900" w:type="dxa"/>
          </w:tcPr>
          <w:p>
            <w:r>
              <w:t xml:space="preserve">—</w:t>
            </w:r>
          </w:p>
        </w:tc>
        <w:tc>
          <w:tcPr>
            <w:tcW w:w="1900" w:type="dxa"/>
          </w:tcPr>
          <w:p>
            <w:r>
              <w:t xml:space="preserve">1,129 (≤2.25 km)</w:t>
            </w:r>
          </w:p>
        </w:tc>
      </w:tr>
      <w:tr>
        <w:tc>
          <w:tcPr>
            <w:tcW w:w="1900" w:type="dxa"/>
          </w:tcPr>
          <w:p>
            <w:r>
              <w:t xml:space="preserve">Stevenage</w:t>
            </w:r>
          </w:p>
        </w:tc>
        <w:tc>
          <w:tcPr>
            <w:tcW w:w="1900" w:type="dxa"/>
          </w:tcPr>
          <w:p>
            <w:r>
              <w:t xml:space="preserve">3602 MHz</w:t>
            </w:r>
          </w:p>
        </w:tc>
        <w:tc>
          <w:tcPr>
            <w:tcW w:w="1900" w:type="dxa"/>
          </w:tcPr>
          <w:p>
            <w:r>
              <w:t xml:space="preserve">—</w:t>
            </w:r>
          </w:p>
        </w:tc>
        <w:tc>
          <w:tcPr>
            <w:tcW w:w="1900" w:type="dxa"/>
          </w:tcPr>
          <w:p>
            <w:r>
              <w:t xml:space="preserve">—</w:t>
            </w:r>
          </w:p>
        </w:tc>
        <w:tc>
          <w:tcPr>
            <w:tcW w:w="1900" w:type="dxa"/>
          </w:tcPr>
          <w:p>
            <w:r>
              <w:t xml:space="preserve">967 (≤2.0 km)</w:t>
            </w:r>
          </w:p>
        </w:tc>
      </w:tr>
      <w:tr>
        <w:tc>
          <w:tcPr>
            <w:tcW w:w="1900" w:type="dxa"/>
          </w:tcPr>
          <w:p>
            <w:r>
              <w:t xml:space="preserve">Scar Hill</w:t>
            </w:r>
          </w:p>
        </w:tc>
        <w:tc>
          <w:tcPr>
            <w:tcW w:w="1900" w:type="dxa"/>
          </w:tcPr>
          <w:p>
            <w:r>
              <w:t xml:space="preserve">915 MHz</w:t>
            </w:r>
          </w:p>
        </w:tc>
        <w:tc>
          <w:tcPr>
            <w:tcW w:w="1900" w:type="dxa"/>
          </w:tcPr>
          <w:p>
            <w:r>
              <w:t xml:space="preserve">143,541</w:t>
            </w:r>
          </w:p>
        </w:tc>
        <w:tc>
          <w:tcPr>
            <w:tcW w:w="1900" w:type="dxa"/>
          </w:tcPr>
          <w:p>
            <w:r>
              <w:t xml:space="preserve">—</w:t>
            </w:r>
          </w:p>
        </w:tc>
        <w:tc>
          <w:tcPr>
            <w:tcW w:w="1900" w:type="dxa"/>
          </w:tcPr>
          <w:p>
            <w:r>
              <w:t xml:space="preserve">179 (≤1.25 km)</w:t>
            </w:r>
          </w:p>
        </w:tc>
      </w:tr>
      <w:tr>
        <w:tc>
          <w:tcPr>
            <w:tcW w:w="1900" w:type="dxa"/>
          </w:tcPr>
          <w:p>
            <w:r>
              <w:t xml:space="preserve">Southampton</w:t>
            </w:r>
          </w:p>
        </w:tc>
        <w:tc>
          <w:tcPr>
            <w:tcW w:w="1900" w:type="dxa"/>
          </w:tcPr>
          <w:p>
            <w:r>
              <w:t xml:space="preserve">915 MHz</w:t>
            </w:r>
          </w:p>
        </w:tc>
        <w:tc>
          <w:tcPr>
            <w:tcW w:w="1900" w:type="dxa"/>
          </w:tcPr>
          <w:p>
            <w:r>
              <w:t xml:space="preserve">—</w:t>
            </w:r>
          </w:p>
        </w:tc>
        <w:tc>
          <w:tcPr>
            <w:tcW w:w="1900" w:type="dxa"/>
          </w:tcPr>
          <w:p>
            <w:r>
              <w:t xml:space="preserve">—</w:t>
            </w:r>
          </w:p>
        </w:tc>
        <w:tc>
          <w:tcPr>
            <w:tcW w:w="1900" w:type="dxa"/>
          </w:tcPr>
          <w:p>
            <w:r>
              <w:t xml:space="preserve">338 (≤0.9 km)</w:t>
            </w:r>
          </w:p>
        </w:tc>
      </w:tr>
      <w:tr>
        <w:tc>
          <w:tcPr>
            <w:tcW w:w="1900" w:type="dxa"/>
          </w:tcPr>
          <w:p>
            <w:r>
              <w:t xml:space="preserve">Southampton</w:t>
            </w:r>
          </w:p>
        </w:tc>
        <w:tc>
          <w:tcPr>
            <w:tcW w:w="1900" w:type="dxa"/>
          </w:tcPr>
          <w:p>
            <w:r>
              <w:t xml:space="preserve">1802 MHz</w:t>
            </w:r>
          </w:p>
        </w:tc>
        <w:tc>
          <w:tcPr>
            <w:tcW w:w="1900" w:type="dxa"/>
          </w:tcPr>
          <w:p>
            <w:r>
              <w:t xml:space="preserve">—</w:t>
            </w:r>
          </w:p>
        </w:tc>
        <w:tc>
          <w:tcPr>
            <w:tcW w:w="1900" w:type="dxa"/>
          </w:tcPr>
          <w:p>
            <w:r>
              <w:t xml:space="preserve">—</w:t>
            </w:r>
          </w:p>
        </w:tc>
        <w:tc>
          <w:tcPr>
            <w:tcW w:w="1900" w:type="dxa"/>
          </w:tcPr>
          <w:p>
            <w:r>
              <w:t xml:space="preserve">131 (≤0.75 km)</w:t>
            </w:r>
          </w:p>
        </w:tc>
      </w:tr>
    </w:tbl>
    <w:p/>
    <w:p>
      <w:pPr>
        <w:spacing w:after="160"/>
      </w:pPr>
      <w:r>
        <w:rPr>
          <w:i/>
          <w:iCs/>
        </w:rPr>
        <w:t xml:space="preserve">Table 4.5 — Calibration/evaluation RX are receivers passing the geometric and distance-band filters described below, at each site's best-performing range (matching Table 4.4). Nottingham 2695 MHz illustrates the typical density reduction from raw to usable: 261,967 total → 36,351 within the scene → 373 at the calibration range used — a reduction of nearly three orders of magnitude that bounds the statistical power of the higher-frequency results (Section 5.4). Stevenage lists receiver counts at its final evaluation range rather than a separate calibration subset, since no material-parameter search improved on ITU-R defaults at any of its frequencies (Table 4.4); Southampton's counts are likewise evaluation-range totals, though its 915 MHz and 1802 MHz results do use a Phase-0/CMA-ES material calibration. London 2695 MHz's calibration (CMA-ES) is still in progress at the time of writing and is not yet reported in Table 4.4.</w:t>
      </w:r>
    </w:p>
    <w:p>
      <w:pPr>
        <w:spacing w:after="160"/>
      </w:pPr>
      <w:r>
        <w:t xml:space="preserve">Processing this file involves reprojecting from WGS84 to the scene's local EPSG:27700-derived coordinate frame, filtering to receivers falling inside the scene bounding box (an early implementation instead took the first *N* CSV rows before this filter, silently selecting receivers outside the scene for routes starting far from the transmitter — commit </w:t>
      </w:r>
      <w:r>
        <w:rPr>
          <w:rFonts w:ascii="Consolas" w:hAnsi="Consolas"/>
        </w:rPr>
        <w:t xml:space="preserve">9bb6be0</w:t>
      </w:r>
      <w:r>
        <w:t xml:space="preserve">, Table 4.6), and the geometric validity checks (DEM sanity, 2D/3D building-interior tests) detailed procedurally in Section 3.4, Step 3. Before calibration, three further criteria are applied: a </w:t>
      </w:r>
      <w:r>
        <w:rPr>
          <w:b/>
          <w:bCs/>
        </w:rPr>
        <w:t xml:space="preserve">noise-floor margin</w:t>
      </w:r>
      <w:r>
        <w:t xml:space="preserve"> discards records within 10 dB of the receiver noise floor, to avoid SNR-limited measurements biasing the objective; </w:t>
      </w:r>
      <w:r>
        <w:rPr>
          <w:b/>
          <w:bCs/>
        </w:rPr>
        <w:t xml:space="preserve">distance bounds</w:t>
      </w:r>
      <w:r>
        <w:t xml:space="preserve"> exclude records below </w:t>
      </w:r>
      <w:r>
        <w:rPr>
          <w:rFonts w:ascii="Consolas" w:hAnsi="Consolas"/>
        </w:rPr>
        <w:t xml:space="preserve">CAL_MIN_DIST_KM</w:t>
      </w:r>
      <w:r>
        <w:t xml:space="preserve"> (0.15 km, where near-field geometry dominates) and above </w:t>
      </w:r>
      <w:r>
        <w:rPr>
          <w:rFonts w:ascii="Consolas" w:hAnsi="Consolas"/>
        </w:rPr>
        <w:t xml:space="preserve">CAL_MAX_DIST_KM</w:t>
      </w:r>
      <w:r>
        <w:t xml:space="preserve"> (Table 4.2), keeping calibration within a single propagation regime relative to the dual-slope breakpoint (Section 4.4); and </w:t>
      </w:r>
      <w:r>
        <w:rPr>
          <w:b/>
          <w:bCs/>
        </w:rPr>
        <w:t xml:space="preserve">valid-path coverage</w:t>
      </w:r>
      <w:r>
        <w:t xml:space="preserve"> excludes any 100 m distance bin where fewer than 65% of receivers have valid simulated paths, from the calibration-range search.</w:t>
      </w:r>
    </w:p>
    <w:p>
      <w:pPr>
        <w:spacing w:after="160"/>
      </w:pPr>
      <w:r>
        <w:rPr>
          <w:b/>
          <w:bCs/>
        </w:rPr>
        <w:t xml:space="preserve">LiDAR terrain and vegetation data.</w:t>
      </w:r>
      <w:r>
        <w:t xml:space="preserve"> UK Environment Agency 1 m DTM and DSM tiles are queried from the EA's public WCS endpoint for the scene bounding box, padded by 3,000 m. Each site's terrain pipeline produces the same four artefacts in order: </w:t>
      </w:r>
      <w:r>
        <w:rPr>
          <w:b/>
          <w:bCs/>
        </w:rPr>
        <w:t xml:space="preserve">`dem.tif`</w:t>
      </w:r>
      <w:r>
        <w:t xml:space="preserve"> (bare-earth DTM, merged per-tile, </w:t>
      </w:r>
      <w:r>
        <w:rPr>
          <w:rFonts w:ascii="Consolas" w:hAnsi="Consolas"/>
        </w:rPr>
        <w:t xml:space="preserve">CELL 2b</w:t>
      </w:r>
      <w:r>
        <w:t xml:space="preserve">), </w:t>
      </w:r>
      <w:r>
        <w:rPr>
          <w:b/>
          <w:bCs/>
        </w:rPr>
        <w:t xml:space="preserve">`dsm.tif`</w:t>
      </w:r>
      <w:r>
        <w:t xml:space="preserve"> (surface model including clutter, </w:t>
      </w:r>
      <w:r>
        <w:rPr>
          <w:rFonts w:ascii="Consolas" w:hAnsi="Consolas"/>
        </w:rPr>
        <w:t xml:space="preserve">CELL 2d</w:t>
      </w:r>
      <w:r>
        <w:t xml:space="preserve">), </w:t>
      </w:r>
      <w:r>
        <w:rPr>
          <w:b/>
          <w:bCs/>
        </w:rPr>
        <w:t xml:space="preserve">`ndsm.tif`</w:t>
      </w:r>
      <w:r>
        <w:t xml:space="preserve"> (nDSM = DSM − DTM, giving above-ground height at every pixel, </w:t>
      </w:r>
      <w:r>
        <w:rPr>
          <w:rFonts w:ascii="Consolas" w:hAnsi="Consolas"/>
        </w:rPr>
        <w:t xml:space="preserve">CELL 2d</w:t>
      </w:r>
      <w:r>
        <w:t xml:space="preserve">), and </w:t>
      </w:r>
      <w:r>
        <w:rPr>
          <w:b/>
          <w:bCs/>
        </w:rPr>
        <w:t xml:space="preserve">`terrain.ply`</w:t>
      </w:r>
      <w:r>
        <w:t xml:space="preserve"> (the DTM resampled onto a 1,000×1,000 mesh and triangulated into the ground-plane geometry Sionna RT traces against, </w:t>
      </w:r>
      <w:r>
        <w:rPr>
          <w:rFonts w:ascii="Consolas" w:hAnsi="Consolas"/>
        </w:rPr>
        <w:t xml:space="preserve">CELL 3</w:t>
      </w:r>
      <w:r>
        <w:t xml:space="preserve">). Scar Hill, north of the EA LiDAR coverage boundary (55.9°N), obtains the same DTM/nDSM pair from 30 m SRTM data via OpenTopography instead — an identical downstream code path executing on categorically coarser input. This terrain-resolution gap, not a calibration or modelling deficiency, is why Scar Hill's best result (R² = 0.083, Table 4.4) sits an order of magnitude below every other site: it is treated in this thesis as a stated boundary condition on the reported results (Section 5.4), not an unexplained shortfall.</w:t>
      </w:r>
    </w:p>
    <w:p>
      <w:pPr>
        <w:spacing w:after="160"/>
      </w:pPr>
      <w:r>
        <w:rPr>
          <w:b/>
          <w:bCs/>
        </w:rPr>
        <w:t xml:space="preserve">OpenStreetMap vector data.</w:t>
      </w:r>
      <w:r>
        <w:t xml:space="preserve"> Building footprints, roads, waterways, and land-use polygons are queried via </w:t>
      </w:r>
      <w:r>
        <w:rPr>
          <w:rFonts w:ascii="Consolas" w:hAnsi="Consolas"/>
        </w:rPr>
        <w:t xml:space="preserve">osmnx</w:t>
      </w:r>
      <w:r>
        <w:t xml:space="preserve">/</w:t>
      </w:r>
      <w:r>
        <w:rPr>
          <w:rFonts w:ascii="Consolas" w:hAnsi="Consolas"/>
        </w:rPr>
        <w:t xml:space="preserve">geopandas</w:t>
      </w:r>
      <w:r>
        <w:t xml:space="preserve"> for the scene bounding box, held as in-memory </w:t>
      </w:r>
      <w:r>
        <w:rPr>
          <w:rFonts w:ascii="Consolas" w:hAnsi="Consolas"/>
        </w:rPr>
        <w:t xml:space="preserve">GeoDataFrame</w:t>
      </w:r>
      <w:r>
        <w:t xml:space="preserve"> objects, reprojected to scene-local coordinates, and converted directly into per-material PLY meshes without an intermediate file format — </w:t>
      </w:r>
      <w:r>
        <w:rPr>
          <w:rFonts w:ascii="Consolas" w:hAnsi="Consolas"/>
        </w:rPr>
        <w:t xml:space="preserve">bld_itu_brick.ply</w:t>
      </w:r>
      <w:r>
        <w:t xml:space="preserve">, </w:t>
      </w:r>
      <w:r>
        <w:rPr>
          <w:rFonts w:ascii="Consolas" w:hAnsi="Consolas"/>
        </w:rPr>
        <w:t xml:space="preserve">veg_itu_vegetation.ply</w:t>
      </w:r>
      <w:r>
        <w:t xml:space="preserve">, </w:t>
      </w:r>
      <w:r>
        <w:rPr>
          <w:rFonts w:ascii="Consolas" w:hAnsi="Consolas"/>
        </w:rPr>
        <w:t xml:space="preserve">road_itu_asphalt.ply</w:t>
      </w:r>
      <w:r>
        <w:t xml:space="preserve">, </w:t>
      </w:r>
      <w:r>
        <w:rPr>
          <w:rFonts w:ascii="Consolas" w:hAnsi="Consolas"/>
        </w:rPr>
        <w:t xml:space="preserve">water_itu_water.ply</w:t>
      </w:r>
      <w:r>
        <w:t xml:space="preserve">, etc. (</w:t>
      </w:r>
      <w:r>
        <w:rPr>
          <w:rFonts w:ascii="Consolas" w:hAnsi="Consolas"/>
        </w:rPr>
        <w:t xml:space="preserve">CELL 4</w:t>
      </w:r>
      <w:r>
        <w:t xml:space="preserve">). Road-junction polygons are dissolved via union to remove self-intersecting overlaps that would otherwise produce rendering artefacts. All three raw sources are reprojected into the same EPSG:27700 local coordinate frame before combination; a reprojection error at this stage would silently misalign every subsequent geometry and measurement comparison.</w:t>
      </w:r>
    </w:p>
    <w:p>
      <w:pPr>
        <w:pStyle w:val="Heading2"/>
      </w:pPr>
      <w:r>
        <w:t xml:space="preserve">4.4 Challenges and Adjustments</w:t>
      </w:r>
    </w:p>
    <w:p>
      <w:pPr>
        <w:spacing w:after="160"/>
      </w:pPr>
      <w:r>
        <w:t xml:space="preserve">Implementing the methodology of Chapter 3 surfaced a number of concrete technical problems, distinct from the modelling limitations already discussed in Section 3.3. Reporting them here — with root cause, fix, and version-control commit — is itself part of demonstrating a reproducible implementation: several would have silently corrupted results if left unfixed, rather than causing an obvious failure.</w:t>
      </w:r>
    </w:p>
    <w:p>
      <w:pPr>
        <w:spacing w:after="160"/>
      </w:pPr>
      <w:r>
        <w:rPr>
          <w:b/>
          <w:bCs/>
        </w:rPr>
        <w:t xml:space="preserve">Table 4.6 — Implementation bugs encountered, root causes, and fixes.</w:t>
      </w:r>
    </w:p>
    <w:tbl>
      <w:tblPr>
        <w:tblW w:w="9500" w:type="dxa"/>
        <w:tblBorders>
          <w:top w:val="single" w:sz="6" w:space="0" w:color="D1D9E0"/>
          <w:left w:val="single" w:sz="6" w:space="0" w:color="D1D9E0"/>
          <w:bottom w:val="single" w:sz="6" w:space="0" w:color="D1D9E0"/>
          <w:right w:val="single" w:sz="6" w:space="0" w:color="D1D9E0"/>
          <w:insideH w:val="single" w:sz="6" w:space="0" w:color="D1D9E0"/>
          <w:insideV w:val="single" w:sz="6" w:space="0" w:color="D1D9E0"/>
        </w:tblBorders>
        <w:tblCellMar>
          <w:top w:w="60" w:type="dxa"/>
          <w:left w:w="100" w:type="dxa"/>
          <w:bottom w:w="60" w:type="dxa"/>
          <w:right w:w="100" w:type="dxa"/>
        </w:tblCellMar>
        <w:tblLook w:val="04A0" w:firstRow="1" w:lastRow="0" w:firstColumn="1" w:lastColumn="0" w:noHBand="0" w:noVBand="1"/>
      </w:tblPr>
      <w:tblGrid>
        <w:gridCol w:w="2375"/>
        <w:gridCol w:w="2375"/>
        <w:gridCol w:w="2375"/>
        <w:gridCol w:w="2375"/>
      </w:tblGrid>
      <w:tr>
        <w:tc>
          <w:tcPr>
            <w:tcW w:w="2375" w:type="dxa"/>
          </w:tcPr>
          <w:p>
            <w:r>
              <w:rPr>
                <w:b/>
                <w:bCs/>
              </w:rPr>
              <w:t xml:space="preserve">Problem</w:t>
            </w:r>
          </w:p>
        </w:tc>
        <w:tc>
          <w:tcPr>
            <w:tcW w:w="2375" w:type="dxa"/>
          </w:tcPr>
          <w:p>
            <w:r>
              <w:rPr>
                <w:b/>
                <w:bCs/>
              </w:rPr>
              <w:t xml:space="preserve">Root cause</w:t>
            </w:r>
          </w:p>
        </w:tc>
        <w:tc>
          <w:tcPr>
            <w:tcW w:w="2375" w:type="dxa"/>
          </w:tcPr>
          <w:p>
            <w:r>
              <w:rPr>
                <w:b/>
                <w:bCs/>
              </w:rPr>
              <w:t xml:space="preserve">Fix</w:t>
            </w:r>
          </w:p>
        </w:tc>
        <w:tc>
          <w:tcPr>
            <w:tcW w:w="2375" w:type="dxa"/>
          </w:tcPr>
          <w:p>
            <w:r>
              <w:rPr>
                <w:b/>
                <w:bCs/>
              </w:rPr>
              <w:t xml:space="preserve">Commit</w:t>
            </w:r>
          </w:p>
        </w:tc>
      </w:tr>
      <w:tr>
        <w:tc>
          <w:tcPr>
            <w:tcW w:w="2375" w:type="dxa"/>
          </w:tcPr>
          <w:p>
            <w:r>
              <w:t xml:space="preserve">Calibration RMSE completely flat across all Powell evaluations</w:t>
            </w:r>
          </w:p>
        </w:tc>
        <w:tc>
          <w:tcPr>
            <w:tcW w:w="2375" w:type="dxa"/>
          </w:tcPr>
          <w:p>
            <w:r>
              <w:t xml:space="preserve">Dr.Jit kernel caching reused a compiled kernel across evaluations with different material parameters</w:t>
            </w:r>
          </w:p>
        </w:tc>
        <w:tc>
          <w:tcPr>
            <w:tcW w:w="2375" w:type="dxa"/>
          </w:tcPr>
          <w:p>
            <w:r>
              <w:t xml:space="preserve">3-probe sensitivity check before every calibration run; abort if Δ &lt; 0.05 dB per probe</w:t>
            </w:r>
          </w:p>
        </w:tc>
        <w:tc>
          <w:tcPr>
            <w:tcW w:w="2375" w:type="dxa"/>
          </w:tcPr>
          <w:p>
            <w:r>
              <w:rPr>
                <w:rFonts w:ascii="Consolas" w:hAnsi="Consolas"/>
              </w:rPr>
              <w:t xml:space="preserve">6e2b4e2</w:t>
            </w:r>
          </w:p>
        </w:tc>
      </w:tr>
      <w:tr>
        <w:tc>
          <w:tcPr>
            <w:tcW w:w="2375" w:type="dxa"/>
          </w:tcPr>
          <w:p>
            <w:r>
              <w:t xml:space="preserve">GPU memory exhausted (swap filled) after ~680 calibration evaluations</w:t>
            </w:r>
          </w:p>
        </w:tc>
        <w:tc>
          <w:tcPr>
            <w:tcW w:w="2375" w:type="dxa"/>
          </w:tcPr>
          <w:p>
            <w:r>
              <w:rPr>
                <w:rFonts w:ascii="Consolas" w:hAnsi="Consolas"/>
              </w:rPr>
              <w:t xml:space="preserve">PathSolver</w:t>
            </w:r>
            <w:r>
              <w:t xml:space="preserve"> result objects not explicitly deleted between evaluations</w:t>
            </w:r>
          </w:p>
        </w:tc>
        <w:tc>
          <w:tcPr>
            <w:tcW w:w="2375" w:type="dxa"/>
          </w:tcPr>
          <w:p>
            <w:r>
              <w:t xml:space="preserve">Explicit deletion of the solver result each iteration</w:t>
            </w:r>
          </w:p>
        </w:tc>
        <w:tc>
          <w:tcPr>
            <w:tcW w:w="2375" w:type="dxa"/>
          </w:tcPr>
          <w:p>
            <w:r>
              <w:rPr>
                <w:rFonts w:ascii="Consolas" w:hAnsi="Consolas"/>
              </w:rPr>
              <w:t xml:space="preserve">285eb13</w:t>
            </w:r>
          </w:p>
        </w:tc>
      </w:tr>
      <w:tr>
        <w:tc>
          <w:tcPr>
            <w:tcW w:w="2375" w:type="dxa"/>
          </w:tcPr>
          <w:p>
            <w:r>
              <w:t xml:space="preserve">±4 dB drift between nominally identical evaluations</w:t>
            </w:r>
          </w:p>
        </w:tc>
        <w:tc>
          <w:tcPr>
            <w:tcW w:w="2375" w:type="dxa"/>
          </w:tcPr>
          <w:p>
            <w:r>
              <w:t xml:space="preserve">No fixed random seed; Monte Carlo path sampling varied run to run</w:t>
            </w:r>
          </w:p>
        </w:tc>
        <w:tc>
          <w:tcPr>
            <w:tcW w:w="2375" w:type="dxa"/>
          </w:tcPr>
          <w:p>
            <w:r>
              <w:rPr>
                <w:rFonts w:ascii="Consolas" w:hAnsi="Consolas"/>
              </w:rPr>
              <w:t xml:space="preserve">CAL_FIXED_SEED = 42</w:t>
            </w:r>
            <w:r>
              <w:t xml:space="preserve"> applied throughout calibration and evaluation</w:t>
            </w:r>
          </w:p>
        </w:tc>
        <w:tc>
          <w:tcPr>
            <w:tcW w:w="2375" w:type="dxa"/>
          </w:tcPr>
          <w:p>
            <w:r>
              <w:t xml:space="preserve">—</w:t>
            </w:r>
          </w:p>
        </w:tc>
      </w:tr>
      <w:tr>
        <w:tc>
          <w:tcPr>
            <w:tcW w:w="2375" w:type="dxa"/>
          </w:tcPr>
          <w:p>
            <w:r>
              <w:t xml:space="preserve">Buildings appearing below ground level in the scene</w:t>
            </w:r>
          </w:p>
        </w:tc>
        <w:tc>
          <w:tcPr>
            <w:tcW w:w="2375" w:type="dxa"/>
          </w:tcPr>
          <w:p>
            <w:r>
              <w:rPr>
                <w:rFonts w:ascii="Consolas" w:hAnsi="Consolas"/>
              </w:rPr>
              <w:t xml:space="preserve">local_z</w:t>
            </w:r>
            <w:r>
              <w:t xml:space="preserve"> height lookup numerically unreliable at scene boundaries</w:t>
            </w:r>
          </w:p>
        </w:tc>
        <w:tc>
          <w:tcPr>
            <w:tcW w:w="2375" w:type="dxa"/>
          </w:tcPr>
          <w:p>
            <w:r>
              <w:t xml:space="preserve">Replaced with </w:t>
            </w:r>
            <w:r>
              <w:rPr>
                <w:rFonts w:ascii="Consolas" w:hAnsi="Consolas"/>
              </w:rPr>
              <w:t xml:space="preserve">RegularGridInterpolator</w:t>
            </w:r>
            <w:r>
              <w:t xml:space="preserve"> sampling the terrain PLY directly</w:t>
            </w:r>
          </w:p>
        </w:tc>
        <w:tc>
          <w:tcPr>
            <w:tcW w:w="2375" w:type="dxa"/>
          </w:tcPr>
          <w:p>
            <w:r>
              <w:rPr>
                <w:rFonts w:ascii="Consolas" w:hAnsi="Consolas"/>
              </w:rPr>
              <w:t xml:space="preserve">2bec77c</w:t>
            </w:r>
          </w:p>
        </w:tc>
      </w:tr>
      <w:tr>
        <w:tc>
          <w:tcPr>
            <w:tcW w:w="2375" w:type="dxa"/>
          </w:tcPr>
          <w:p>
            <w:r>
              <w:t xml:space="preserve">A large vegetation polygon (M1 motorway corridor) received only 10 discs</w:t>
            </w:r>
          </w:p>
        </w:tc>
        <w:tc>
          <w:tcPr>
            <w:tcW w:w="2375" w:type="dxa"/>
          </w:tcPr>
          <w:p>
            <w:r>
              <w:rPr>
                <w:rFonts w:ascii="Consolas" w:hAnsi="Consolas"/>
              </w:rPr>
              <w:t xml:space="preserve">VEG_MAX_DISCS_PER_POLYGON</w:t>
            </w:r>
            <w:r>
              <w:t xml:space="preserve"> hard-capped at 10</w:t>
            </w:r>
          </w:p>
        </w:tc>
        <w:tc>
          <w:tcPr>
            <w:tcW w:w="2375" w:type="dxa"/>
          </w:tcPr>
          <w:p>
            <w:r>
              <w:t xml:space="preserve">Raised to 500 (standard scene) / 1,000 (HF scene)</w:t>
            </w:r>
          </w:p>
        </w:tc>
        <w:tc>
          <w:tcPr>
            <w:tcW w:w="2375" w:type="dxa"/>
          </w:tcPr>
          <w:p>
            <w:r>
              <w:rPr>
                <w:rFonts w:ascii="Consolas" w:hAnsi="Consolas"/>
              </w:rPr>
              <w:t xml:space="preserve">c1d08d3</w:t>
            </w:r>
          </w:p>
        </w:tc>
      </w:tr>
      <w:tr>
        <w:tc>
          <w:tcPr>
            <w:tcW w:w="2375" w:type="dxa"/>
          </w:tcPr>
          <w:p>
            <w:r>
              <w:t xml:space="preserve">O(n_receivers × 67,292) nested loop made Weissberger correction impractically slow</w:t>
            </w:r>
          </w:p>
        </w:tc>
        <w:tc>
          <w:tcPr>
            <w:tcW w:w="2375" w:type="dxa"/>
          </w:tcPr>
          <w:p>
            <w:r>
              <w:t xml:space="preserve">Naive per-receiver, per-polygon distance search</w:t>
            </w:r>
          </w:p>
        </w:tc>
        <w:tc>
          <w:tcPr>
            <w:tcW w:w="2375" w:type="dxa"/>
          </w:tcPr>
          <w:p>
            <w:r>
              <w:t xml:space="preserve">Replaced with an </w:t>
            </w:r>
            <w:r>
              <w:rPr>
                <w:rFonts w:ascii="Consolas" w:hAnsi="Consolas"/>
              </w:rPr>
              <w:t xml:space="preserve">STRtree</w:t>
            </w:r>
            <w:r>
              <w:t xml:space="preserve"> spatial index for vegetation geometry</w:t>
            </w:r>
          </w:p>
        </w:tc>
        <w:tc>
          <w:tcPr>
            <w:tcW w:w="2375" w:type="dxa"/>
          </w:tcPr>
          <w:p>
            <w:r>
              <w:rPr>
                <w:rFonts w:ascii="Consolas" w:hAnsi="Consolas"/>
              </w:rPr>
              <w:t xml:space="preserve">7c8bd5c</w:t>
            </w:r>
          </w:p>
        </w:tc>
      </w:tr>
      <w:tr>
        <w:tc>
          <w:tcPr>
            <w:tcW w:w="2375" w:type="dxa"/>
          </w:tcPr>
          <w:p>
            <w:r>
              <w:t xml:space="preserve">Receivers silently placed outside the scene for routes starting far from the transmitter</w:t>
            </w:r>
          </w:p>
        </w:tc>
        <w:tc>
          <w:tcPr>
            <w:tcW w:w="2375" w:type="dxa"/>
          </w:tcPr>
          <w:p>
            <w:r>
              <w:t xml:space="preserve">CSV rows truncated to the first *N* before bounding-box filtering</w:t>
            </w:r>
          </w:p>
        </w:tc>
        <w:tc>
          <w:tcPr>
            <w:tcW w:w="2375" w:type="dxa"/>
          </w:tcPr>
          <w:p>
            <w:r>
              <w:t xml:space="preserve">Filter to bounding box first, then take the first *N* in sequential order</w:t>
            </w:r>
          </w:p>
        </w:tc>
        <w:tc>
          <w:tcPr>
            <w:tcW w:w="2375" w:type="dxa"/>
          </w:tcPr>
          <w:p>
            <w:r>
              <w:rPr>
                <w:rFonts w:ascii="Consolas" w:hAnsi="Consolas"/>
              </w:rPr>
              <w:t xml:space="preserve">9bb6be0</w:t>
            </w:r>
          </w:p>
        </w:tc>
      </w:tr>
      <w:tr>
        <w:tc>
          <w:tcPr>
            <w:tcW w:w="2375" w:type="dxa"/>
          </w:tcPr>
          <w:p>
            <w:r>
              <w:t xml:space="preserve">2695/3602 MHz </w:t>
            </w:r>
            <w:r>
              <w:rPr>
                <w:rFonts w:ascii="Consolas" w:hAnsi="Consolas"/>
              </w:rPr>
              <w:t xml:space="preserve">RadioMaterial</w:t>
            </w:r>
            <w:r>
              <w:t xml:space="preserve"> property access raised </w:t>
            </w:r>
            <w:r>
              <w:rPr>
                <w:rFonts w:ascii="Consolas" w:hAnsi="Consolas"/>
              </w:rPr>
              <w:t xml:space="preserve">TypeError</w:t>
            </w:r>
          </w:p>
        </w:tc>
        <w:tc>
          <w:tcPr>
            <w:tcW w:w="2375" w:type="dxa"/>
          </w:tcPr>
          <w:p>
            <w:r>
              <w:t xml:space="preserve">Sionna's tensor-wrapped properties read with a bare </w:t>
            </w:r>
            <w:r>
              <w:rPr>
                <w:rFonts w:ascii="Consolas" w:hAnsi="Consolas"/>
              </w:rPr>
              <w:t xml:space="preserve">float()</w:t>
            </w:r>
            <w:r>
              <w:t xml:space="preserve"> cast</w:t>
            </w:r>
          </w:p>
        </w:tc>
        <w:tc>
          <w:tcPr>
            <w:tcW w:w="2375" w:type="dxa"/>
          </w:tcPr>
          <w:p>
            <w:r>
              <w:t xml:space="preserve">Introduced a </w:t>
            </w:r>
            <w:r>
              <w:rPr>
                <w:rFonts w:ascii="Consolas" w:hAnsi="Consolas"/>
              </w:rPr>
              <w:t xml:space="preserve">_safe_f()</w:t>
            </w:r>
            <w:r>
              <w:t xml:space="preserve"> unwrapping helper</w:t>
            </w:r>
          </w:p>
        </w:tc>
        <w:tc>
          <w:tcPr>
            <w:tcW w:w="2375" w:type="dxa"/>
          </w:tcPr>
          <w:p>
            <w:r>
              <w:rPr>
                <w:rFonts w:ascii="Consolas" w:hAnsi="Consolas"/>
              </w:rPr>
              <w:t xml:space="preserve">5ad27dd</w:t>
            </w:r>
          </w:p>
        </w:tc>
      </w:tr>
      <w:tr>
        <w:tc>
          <w:tcPr>
            <w:tcW w:w="2375" w:type="dxa"/>
          </w:tcPr>
          <w:p>
            <w:r>
              <w:t xml:space="preserve">A </w:t>
            </w:r>
            <w:r>
              <w:rPr>
                <w:rFonts w:ascii="Consolas" w:hAnsi="Consolas"/>
              </w:rPr>
              <w:t xml:space="preserve">NearestNDInterpolator</w:t>
            </w:r>
            <w:r>
              <w:t xml:space="preserve"> silently shadowed by an unrelated variable</w:t>
            </w:r>
          </w:p>
        </w:tc>
        <w:tc>
          <w:tcPr>
            <w:tcW w:w="2375" w:type="dxa"/>
          </w:tcPr>
          <w:p>
            <w:r>
              <w:t xml:space="preserve">Variable-name collision (</w:t>
            </w:r>
            <w:r>
              <w:rPr>
                <w:rFonts w:ascii="Consolas" w:hAnsi="Consolas"/>
              </w:rPr>
              <w:t xml:space="preserve">_near</w:t>
            </w:r>
            <w:r>
              <w:t xml:space="preserve">) between a fitted interpolator and a DataFrame slice</w:t>
            </w:r>
          </w:p>
        </w:tc>
        <w:tc>
          <w:tcPr>
            <w:tcW w:w="2375" w:type="dxa"/>
          </w:tcPr>
          <w:p>
            <w:r>
              <w:t xml:space="preserve">Renamed the DataFrame variable to </w:t>
            </w:r>
            <w:r>
              <w:rPr>
                <w:rFonts w:ascii="Consolas" w:hAnsi="Consolas"/>
              </w:rPr>
              <w:t xml:space="preserve">_df_near</w:t>
            </w:r>
          </w:p>
        </w:tc>
        <w:tc>
          <w:tcPr>
            <w:tcW w:w="2375" w:type="dxa"/>
          </w:tcPr>
          <w:p>
            <w:r>
              <w:rPr>
                <w:rFonts w:ascii="Consolas" w:hAnsi="Consolas"/>
              </w:rPr>
              <w:t xml:space="preserve">ff8168d</w:t>
            </w:r>
          </w:p>
        </w:tc>
      </w:tr>
      <w:tr>
        <w:tc>
          <w:tcPr>
            <w:tcW w:w="2375" w:type="dxa"/>
          </w:tcPr>
          <w:p>
            <w:r>
              <w:t xml:space="preserve">At 3602 MHz, calibration RMSE stuck with the scalar pinned at its bound</w:t>
            </w:r>
          </w:p>
        </w:tc>
        <w:tc>
          <w:tcPr>
            <w:tcW w:w="2375" w:type="dxa"/>
          </w:tcPr>
          <w:p>
            <w:r>
              <w:rPr>
                <w:rFonts w:ascii="Consolas" w:hAnsi="Consolas"/>
              </w:rPr>
              <w:t xml:space="preserve">CAL_SCALAR_BOUNDS = (-30, 20)</w:t>
            </w:r>
            <w:r>
              <w:t xml:space="preserve"> clipped the true optimum (~+30 dB)</w:t>
            </w:r>
          </w:p>
        </w:tc>
        <w:tc>
          <w:tcPr>
            <w:tcW w:w="2375" w:type="dxa"/>
          </w:tcPr>
          <w:p>
            <w:r>
              <w:t xml:space="preserve">Widened bounds to </w:t>
            </w:r>
            <w:r>
              <w:rPr>
                <w:rFonts w:ascii="Consolas" w:hAnsi="Consolas"/>
              </w:rPr>
              <w:t xml:space="preserve">(-60, 60)</w:t>
            </w:r>
          </w:p>
        </w:tc>
        <w:tc>
          <w:tcPr>
            <w:tcW w:w="2375" w:type="dxa"/>
          </w:tcPr>
          <w:p>
            <w:r>
              <w:rPr>
                <w:rFonts w:ascii="Consolas" w:hAnsi="Consolas"/>
              </w:rPr>
              <w:t xml:space="preserve">8979235</w:t>
            </w:r>
          </w:p>
        </w:tc>
      </w:tr>
      <w:tr>
        <w:tc>
          <w:tcPr>
            <w:tcW w:w="2375" w:type="dxa"/>
          </w:tcPr>
          <w:p>
            <w:r>
              <w:t xml:space="preserve">17 scene-XML </w:t>
            </w:r>
            <w:r>
              <w:rPr>
                <w:rFonts w:ascii="Consolas" w:hAnsi="Consolas"/>
              </w:rPr>
              <w:t xml:space="preserve">INCLUDE_*</w:t>
            </w:r>
            <w:r>
              <w:t xml:space="preserve"> flags had no </w:t>
            </w:r>
            <w:r>
              <w:rPr>
                <w:rFonts w:ascii="Consolas" w:hAnsi="Consolas"/>
              </w:rPr>
              <w:t xml:space="preserve">_SKIP_PLY</w:t>
            </w:r>
            <w:r>
              <w:t xml:space="preserve"> guard — stale PLYs silently entered the XML</w:t>
            </w:r>
          </w:p>
        </w:tc>
        <w:tc>
          <w:tcPr>
            <w:tcW w:w="2375" w:type="dxa"/>
          </w:tcPr>
          <w:p>
            <w:r>
              <w:t xml:space="preserve">Missing guard condition in the scene-export cell (</w:t>
            </w:r>
            <w:r>
              <w:rPr>
                <w:rFonts w:ascii="Consolas" w:hAnsi="Consolas"/>
              </w:rPr>
              <w:t xml:space="preserve">CELL B3</w:t>
            </w:r>
            <w:r>
              <w:t xml:space="preserve">)</w:t>
            </w:r>
          </w:p>
        </w:tc>
        <w:tc>
          <w:tcPr>
            <w:tcW w:w="2375" w:type="dxa"/>
          </w:tcPr>
          <w:p>
            <w:r>
              <w:t xml:space="preserve">Added a </w:t>
            </w:r>
            <w:r>
              <w:rPr>
                <w:rFonts w:ascii="Consolas" w:hAnsi="Consolas"/>
              </w:rPr>
              <w:t xml:space="preserve">_SKIP_PLY</w:t>
            </w:r>
            <w:r>
              <w:t xml:space="preserve"> guard to all inclusion flags</w:t>
            </w:r>
          </w:p>
        </w:tc>
        <w:tc>
          <w:tcPr>
            <w:tcW w:w="2375" w:type="dxa"/>
          </w:tcPr>
          <w:p>
            <w:r>
              <w:rPr>
                <w:rFonts w:ascii="Consolas" w:hAnsi="Consolas"/>
              </w:rPr>
              <w:t xml:space="preserve">e410b9a</w:t>
            </w:r>
          </w:p>
        </w:tc>
      </w:tr>
      <w:tr>
        <w:tc>
          <w:tcPr>
            <w:tcW w:w="2375" w:type="dxa"/>
          </w:tcPr>
          <w:p>
            <w:r>
              <w:t xml:space="preserve">Building-height clips ignored </w:t>
            </w:r>
            <w:r>
              <w:rPr>
                <w:rFonts w:ascii="Consolas" w:hAnsi="Consolas"/>
              </w:rPr>
              <w:t xml:space="preserve">None</w:t>
            </w:r>
            <w:r>
              <w:t xml:space="preserve">-aware configuration</w:t>
            </w:r>
          </w:p>
        </w:tc>
        <w:tc>
          <w:tcPr>
            <w:tcW w:w="2375" w:type="dxa"/>
          </w:tcPr>
          <w:p>
            <w:r>
              <w:rPr>
                <w:rFonts w:ascii="Consolas" w:hAnsi="Consolas"/>
              </w:rPr>
              <w:t xml:space="preserve">None</w:t>
            </w:r>
            <w:r>
              <w:t xml:space="preserve"> values triggered </w:t>
            </w:r>
            <w:r>
              <w:rPr>
                <w:rFonts w:ascii="Consolas" w:hAnsi="Consolas"/>
              </w:rPr>
              <w:t xml:space="preserve">TypeError</w:t>
            </w:r>
            <w:r>
              <w:t xml:space="preserve"> in height comparisons</w:t>
            </w:r>
          </w:p>
        </w:tc>
        <w:tc>
          <w:tcPr>
            <w:tcW w:w="2375" w:type="dxa"/>
          </w:tcPr>
          <w:p>
            <w:r>
              <w:t xml:space="preserve">Replaced with a </w:t>
            </w:r>
            <w:r>
              <w:rPr>
                <w:rFonts w:ascii="Consolas" w:hAnsi="Consolas"/>
              </w:rPr>
              <w:t xml:space="preserve">None</w:t>
            </w:r>
            <w:r>
              <w:t xml:space="preserve">-aware </w:t>
            </w:r>
            <w:r>
              <w:rPr>
                <w:rFonts w:ascii="Consolas" w:hAnsi="Consolas"/>
              </w:rPr>
              <w:t xml:space="preserve">_bld_cap</w:t>
            </w:r>
            <w:r>
              <w:t xml:space="preserve"> / </w:t>
            </w:r>
            <w:r>
              <w:rPr>
                <w:rFonts w:ascii="Consolas" w:hAnsi="Consolas"/>
              </w:rPr>
              <w:t xml:space="preserve">_veg_cap</w:t>
            </w:r>
            <w:r>
              <w:t xml:space="preserve"> pattern</w:t>
            </w:r>
          </w:p>
        </w:tc>
        <w:tc>
          <w:tcPr>
            <w:tcW w:w="2375" w:type="dxa"/>
          </w:tcPr>
          <w:p>
            <w:r>
              <w:rPr>
                <w:rFonts w:ascii="Consolas" w:hAnsi="Consolas"/>
              </w:rPr>
              <w:t xml:space="preserve">2bdcec4</w:t>
            </w:r>
          </w:p>
        </w:tc>
      </w:tr>
      <w:tr>
        <w:tc>
          <w:tcPr>
            <w:tcW w:w="2375" w:type="dxa"/>
          </w:tcPr>
          <w:p>
            <w:r>
              <w:t xml:space="preserve">Phase 3 re-scalar comparison was inverted — kept the worse result</w:t>
            </w:r>
          </w:p>
        </w:tc>
        <w:tc>
          <w:tcPr>
            <w:tcW w:w="2375" w:type="dxa"/>
          </w:tcPr>
          <w:p>
            <w:r>
              <w:t xml:space="preserve">Boolean condition </w:t>
            </w:r>
            <w:r>
              <w:rPr>
                <w:rFonts w:ascii="Consolas" w:hAnsi="Consolas"/>
              </w:rPr>
              <w:t xml:space="preserve">if new_rmse &gt; old_rmse: keep</w:t>
            </w:r>
            <w:r>
              <w:t xml:space="preserve"> rather than </w:t>
            </w:r>
            <w:r>
              <w:rPr>
                <w:rFonts w:ascii="Consolas" w:hAnsi="Consolas"/>
              </w:rPr>
              <w:t xml:space="preserve">&lt;</w:t>
            </w:r>
          </w:p>
        </w:tc>
        <w:tc>
          <w:tcPr>
            <w:tcW w:w="2375" w:type="dxa"/>
          </w:tcPr>
          <w:p>
            <w:r>
              <w:t xml:space="preserve">Fixed the comparison direction</w:t>
            </w:r>
          </w:p>
        </w:tc>
        <w:tc>
          <w:tcPr>
            <w:tcW w:w="2375" w:type="dxa"/>
          </w:tcPr>
          <w:p>
            <w:r>
              <w:t xml:space="preserve">—</w:t>
            </w:r>
          </w:p>
        </w:tc>
      </w:tr>
      <w:tr>
        <w:tc>
          <w:tcPr>
            <w:tcW w:w="2375" w:type="dxa"/>
          </w:tcPr>
          <w:p>
            <w:r>
              <w:rPr>
                <w:rFonts w:ascii="Consolas" w:hAnsi="Consolas"/>
              </w:rPr>
              <w:t xml:space="preserve">itu_ceiling_board</w:t>
            </w:r>
            <w:r>
              <w:t xml:space="preserve"> not explicitly activated when </w:t>
            </w:r>
            <w:r>
              <w:rPr>
                <w:rFonts w:ascii="Consolas" w:hAnsi="Consolas"/>
              </w:rPr>
              <w:t xml:space="preserve">DISABLE_VEG_DISCS=False</w:t>
            </w:r>
          </w:p>
        </w:tc>
        <w:tc>
          <w:tcPr>
            <w:tcW w:w="2375" w:type="dxa"/>
          </w:tcPr>
          <w:p>
            <w:r>
              <w:t xml:space="preserve">The material-loading cell (</w:t>
            </w:r>
            <w:r>
              <w:rPr>
                <w:rFonts w:ascii="Consolas" w:hAnsi="Consolas"/>
              </w:rPr>
              <w:t xml:space="preserve">CELL 4A</w:t>
            </w:r>
            <w:r>
              <w:t xml:space="preserve">) only branched to transparentise the material; no </w:t>
            </w:r>
            <w:r>
              <w:rPr>
                <w:rFonts w:ascii="Consolas" w:hAnsi="Consolas"/>
              </w:rPr>
              <w:t xml:space="preserve">else</w:t>
            </w:r>
            <w:r>
              <w:t xml:space="preserve"> to activate it</w:t>
            </w:r>
          </w:p>
        </w:tc>
        <w:tc>
          <w:tcPr>
            <w:tcW w:w="2375" w:type="dxa"/>
          </w:tcPr>
          <w:p>
            <w:r>
              <w:t xml:space="preserve">Added an explicit </w:t>
            </w:r>
            <w:r>
              <w:rPr>
                <w:rFonts w:ascii="Consolas" w:hAnsi="Consolas"/>
              </w:rPr>
              <w:t xml:space="preserve">else</w:t>
            </w:r>
            <w:r>
              <w:t xml:space="preserve"> branch (ε_r=17, σ=0.15 S/m, S=0.50) before any </w:t>
            </w:r>
            <w:r>
              <w:rPr>
                <w:rFonts w:ascii="Consolas" w:hAnsi="Consolas"/>
              </w:rPr>
              <w:t xml:space="preserve">PathSolver</w:t>
            </w:r>
            <w:r>
              <w:t xml:space="preserve"> call</w:t>
            </w:r>
          </w:p>
        </w:tc>
        <w:tc>
          <w:tcPr>
            <w:tcW w:w="2375" w:type="dxa"/>
          </w:tcPr>
          <w:p>
            <w:r>
              <w:rPr>
                <w:rFonts w:ascii="Consolas" w:hAnsi="Consolas"/>
              </w:rPr>
              <w:t xml:space="preserve">470ab4a</w:t>
            </w:r>
            <w:r>
              <w:t xml:space="preserve">, </w:t>
            </w:r>
            <w:r>
              <w:rPr>
                <w:rFonts w:ascii="Consolas" w:hAnsi="Consolas"/>
              </w:rPr>
              <w:t xml:space="preserve">2959d6b</w:t>
            </w:r>
          </w:p>
        </w:tc>
      </w:tr>
      <w:tr>
        <w:tc>
          <w:tcPr>
            <w:tcW w:w="2375" w:type="dxa"/>
          </w:tcPr>
          <w:p>
            <w:r>
              <w:t xml:space="preserve">Stevenage EA VOM raster stored canopy height in decimetres, not metres</w:t>
            </w:r>
          </w:p>
        </w:tc>
        <w:tc>
          <w:tcPr>
            <w:tcW w:w="2375" w:type="dxa"/>
          </w:tcPr>
          <w:p>
            <w:r>
              <w:t xml:space="preserve">EA VOM tile convention specific to this area (median ≈178 dm, misread as 178 m)</w:t>
            </w:r>
          </w:p>
        </w:tc>
        <w:tc>
          <w:tcPr>
            <w:tcW w:w="2375" w:type="dxa"/>
          </w:tcPr>
          <w:p>
            <w:r>
              <w:t xml:space="preserve">Auto-detect: divide by 10 when the VOM tile median exceeds 20</w:t>
            </w:r>
          </w:p>
        </w:tc>
        <w:tc>
          <w:tcPr>
            <w:tcW w:w="2375" w:type="dxa"/>
          </w:tcPr>
          <w:p>
            <w:r>
              <w:rPr>
                <w:rFonts w:ascii="Consolas" w:hAnsi="Consolas"/>
              </w:rPr>
              <w:t xml:space="preserve">ff637c2</w:t>
            </w:r>
            <w:r>
              <w:t xml:space="preserve">, </w:t>
            </w:r>
            <w:r>
              <w:rPr>
                <w:rFonts w:ascii="Consolas" w:hAnsi="Consolas"/>
              </w:rPr>
              <w:t xml:space="preserve">ac0f341</w:t>
            </w:r>
          </w:p>
        </w:tc>
      </w:tr>
    </w:tbl>
    <w:p/>
    <w:p>
      <w:pPr>
        <w:spacing w:after="160"/>
      </w:pPr>
      <w:r>
        <w:rPr>
          <w:i/>
          <w:iCs/>
        </w:rPr>
        <w:t xml:space="preserve">Table 4.6 — Commit hashes refer to the project repository at `joujou78/Ray-Tracing---Sionna-RT`, branch `claude/cool-cori-rrWbY`. A representative subset; several additional minor fixes are documented alongside the code itself.</w:t>
      </w:r>
    </w:p>
    <w:p>
      <w:pPr>
        <w:spacing w:after="160"/>
      </w:pPr>
      <w:r>
        <w:t xml:space="preserve">Four of these have a root cause not evident from Table 4.6 alone and are stated explicitly below.</w:t>
      </w:r>
    </w:p>
    <w:p>
      <w:pPr>
        <w:spacing w:after="160"/>
      </w:pPr>
      <w:r>
        <w:rPr>
          <w:b/>
          <w:bCs/>
        </w:rPr>
        <w:t xml:space="preserve">Vegetation geometry at high frequencies.</w:t>
      </w:r>
      <w:r>
        <w:t xml:space="preserve"> At 3602 MHz (λ = 8.3 cm), tree-branch diameters approach the wavelength, making solid canopy cones nearly opaque to the ray tracer: an active-canopy calibration attempt (</w:t>
      </w:r>
      <w:r>
        <w:rPr>
          <w:rFonts w:ascii="Consolas" w:hAnsi="Consolas"/>
        </w:rPr>
        <w:t xml:space="preserve">DISABLE_CANOPY=False</w:t>
      </w:r>
      <w:r>
        <w:t xml:space="preserve">) produced a Phase 0 scalar of +30 dB and an uncalibratable RMSE above 29 dB, with all rays beyond ~400 m absorbed before reaching the receiver. The adopted fix disables 3D canopy/trunk geometry (</w:t>
      </w:r>
      <w:r>
        <w:rPr>
          <w:rFonts w:ascii="Consolas" w:hAnsi="Consolas"/>
        </w:rPr>
        <w:t xml:space="preserve">DISABLE_CANOPY=True</w:t>
      </w:r>
      <w:r>
        <w:t xml:space="preserve">), making trees electromagnetically transparent, and instead applies a per-path ITU-R P.833-10 correction proportional to the canopy depth each ray segment traverses — computed from intersection tests against </w:t>
      </w:r>
      <w:r>
        <w:rPr>
          <w:rFonts w:ascii="Consolas" w:hAnsi="Consolas"/>
        </w:rPr>
        <w:t xml:space="preserve">paths.vertices</w:t>
      </w:r>
      <w:r>
        <w:t xml:space="preserve"> — with a </w:t>
      </w:r>
      <w:r>
        <w:rPr>
          <w:rFonts w:ascii="Consolas" w:hAnsi="Consolas"/>
        </w:rPr>
        <w:t xml:space="preserve">z &gt; 30 m</w:t>
      </w:r>
      <w:r>
        <w:t xml:space="preserve"> height filter excluding segments travelling entirely above canopy level (commit </w:t>
      </w:r>
      <w:r>
        <w:rPr>
          <w:rFonts w:ascii="Consolas" w:hAnsi="Consolas"/>
        </w:rPr>
        <w:t xml:space="preserve">b15eb12</w:t>
      </w:r>
      <w:r>
        <w:t xml:space="preserve">).</w:t>
      </w:r>
    </w:p>
    <w:p>
      <w:pPr>
        <w:spacing w:after="160"/>
      </w:pPr>
      <w:r>
        <w:rPr>
          <w:b/>
          <w:bCs/>
        </w:rPr>
        <w:t xml:space="preserve">Dual-slope breakpoint and calibration range.</w:t>
      </w:r>
      <w:r>
        <w:t xml:space="preserve"> Calibrating across the LOS/NLOS breakpoint R_bp (Equation 2.13; values by site in Table 4.2) mixes two distinct propagation regimes: at 2695 MHz, the per-range bias changes sign at R_bp ≈ 916 m, forcing the calibration scalar toward zero and collapsing R² from 0.246 (single-regime calibration to 1.0 km) to 0.173 (extended to 1.5 km, crossing the breakpoint). Consequently, </w:t>
      </w:r>
      <w:r>
        <w:rPr>
          <w:rFonts w:ascii="Consolas" w:hAnsi="Consolas"/>
        </w:rPr>
        <w:t xml:space="preserve">CAL_MAX_DIST_KM</w:t>
      </w:r>
      <w:r>
        <w:t xml:space="preserve"> is restricted below R_bp at every frequency — a non-obvious implementation constraint with material impact on the reported R² (Table 4.2).</w:t>
      </w:r>
    </w:p>
    <w:p>
      <w:pPr>
        <w:spacing w:after="160"/>
      </w:pPr>
      <w:r>
        <w:rPr>
          <w:b/>
          <w:bCs/>
        </w:rPr>
        <w:t xml:space="preserve">Scatter budget consistency.</w:t>
      </w:r>
      <w:r>
        <w:t xml:space="preserve"> A necessary condition for a valid result is that material state at calibration time matches material state at evaluation time. The </w:t>
      </w:r>
      <w:r>
        <w:rPr>
          <w:rFonts w:ascii="Consolas" w:hAnsi="Consolas"/>
        </w:rPr>
        <w:t xml:space="preserve">CELL 4A</w:t>
      </w:r>
      <w:r>
        <w:t xml:space="preserve"> bug in Table 4.6 broke this silently: with no </w:t>
      </w:r>
      <w:r>
        <w:rPr>
          <w:rFonts w:ascii="Consolas" w:hAnsi="Consolas"/>
        </w:rPr>
        <w:t xml:space="preserve">else</w:t>
      </w:r>
      <w:r>
        <w:t xml:space="preserve"> branch, the vegetation-disc material loaded at its internal default (ε_r ≈ 1, S = 0.10) during calibration rather than its intended active state, inflating the Phase 0 scalar diagnostic to +9.7 dB instead of the expected ≈−2.3 dB and driving all subsequent material optimisation to compensate for near-transparent discs that were, in fact, active at evaluation time. The Phase 0 scalar diagnostic — expected to land near a known reference value for a given site — was the signal used to detect this discrepancy before it corrupted a full calibration run.</w:t>
      </w:r>
    </w:p>
    <w:p>
      <w:pPr>
        <w:spacing w:after="160"/>
      </w:pPr>
      <w:r>
        <w:rPr>
          <w:b/>
          <w:bCs/>
        </w:rPr>
        <w:t xml:space="preserve">CMA-ES scattering-coefficient bounds.</w:t>
      </w:r>
      <w:r>
        <w:t xml:space="preserve"> London 1802 MHz's CMA-ES runs stalled at local minima whenever per-material scattering caps were set too tightly: with S_max(brick) = 0.35, RMSE plateaued at 15.6 dB across 200 evaluations with no improvement; raising to 0.40 reduced this to 14.9 dB but left brick's scattering coefficient pinned exactly at its cap after 348 evaluations — the diagnostic signature of an optimiser trapped against a bound rather than converged to a genuine minimum. Because the scatter flooding observed in an earlier run had already been traced to </w:t>
      </w:r>
      <w:r>
        <w:rPr>
          <w:rFonts w:ascii="Consolas" w:hAnsi="Consolas"/>
        </w:rPr>
        <w:t xml:space="preserve">concrete_barrier</w:t>
      </w:r>
      <w:r>
        <w:t xml:space="preserve"> and </w:t>
      </w:r>
      <w:r>
        <w:rPr>
          <w:rFonts w:ascii="Consolas" w:hAnsi="Consolas"/>
        </w:rPr>
        <w:t xml:space="preserve">metal_barrier</w:t>
      </w:r>
      <w:r>
        <w:t xml:space="preserve"> rather than brick or concrete, raising brick/concrete </w:t>
      </w:r>
      <w:r>
        <w:rPr>
          <w:rFonts w:ascii="Consolas" w:hAnsi="Consolas"/>
        </w:rPr>
        <w:t xml:space="preserve">S_max</w:t>
      </w:r>
      <w:r>
        <w:t xml:space="preserve"> to 0.45 was safe and let calibration descend past the prior plateau — the full eight-run history for this site is presented as sensitivity-analysis evidence in Table 5.3.</w:t>
      </w:r>
    </w:p>
    <w:p>
      <w:pPr>
        <w:spacing w:after="160"/>
      </w:pPr>
      <w:r>
        <w:rPr>
          <w:i/>
          <w:iCs/>
        </w:rPr>
        <w:t xml:space="preserve">[FIGURE 4.6 — PLACEHOLDER — requires real notebook output, not fabricated]</w:t>
      </w:r>
    </w:p>
    <w:p>
      <w:pPr>
        <w:spacing w:after="160"/>
      </w:pPr>
      <w:r>
        <w:rPr>
          <w:i/>
          <w:iCs/>
        </w:rPr>
        <w:t xml:space="preserve">Calibration convergence plot: calibration RMSE (dB) versus CMA-ES generation number, showing convergence toward the Monte Carlo noise floor.</w:t>
      </w:r>
    </w:p>
    <w:p>
      <w:pPr>
        <w:spacing w:after="160"/>
      </w:pPr>
      <w:r>
        <w:rPr>
          <w:i/>
          <w:iCs/>
        </w:rPr>
        <w:t xml:space="preserve">[FIGURE 4.7 — PLACEHOLDER — requires real notebook output, not fabricated]</w:t>
      </w:r>
    </w:p>
    <w:p>
      <w:pPr>
        <w:spacing w:after="160"/>
      </w:pPr>
      <w:r>
        <w:rPr>
          <w:i/>
          <w:iCs/>
        </w:rPr>
        <w:t xml:space="preserve">Runtime scattering-coefficient sensitivity sweep (`CELL 8c`): RMSE/R² as a function of a runtime-overridden scattering coefficient, independent of the full joint-parameter search.</w:t>
      </w:r>
    </w:p>
    <w:p>
      <w:pPr>
        <w:spacing w:after="160"/>
      </w:pPr>
      <w:r>
        <w:t xml:space="preserve">Note: the coverage-map comparison and coarse-vs-detailed geometry figures flagged as placeholders in Chapter 3 (Figures 3.3 and 3.7), and the vegetation disc-layer schematic (Figure 3.4), are not repeated here — they illustrate the methodology-level *concept*, whereas this chapter documents its implementation-level *realisation*.</w:t>
      </w:r>
    </w:p>
    <w:p>
      <w:pPr>
        <w:spacing w:after="160"/>
      </w:pPr>
      <w:r>
        <w:t xml:space="preserve">Taken together, this chapter's implementation record answers a question Chapter 3 could only pose in the abstract: whether the proposed calibration methodology survives contact with real, messy geospatial and measurement data. It does, but not without cost — fourteen distinct implementation bugs (Table 4.6), an optimiser switch driven by genuine parameter-space difficulty rather than preference (Section 4.1), and two sites (Scar Hill, Stevenage) whose results are shaped as much by input data quality and propagation physics as by calibration effort. This distinction between *implementation-level* causes of variation (documented here) and *result-level* interpretation of that variation is what Chapter 5 builds on.</w:t>
      </w:r>
    </w:p>
    <w:p>
      <w:pPr>
        <w:spacing w:after="160"/>
      </w:pPr>
      <w:r>
        <w:rPr>
          <w:i/>
          <w:iCs/>
        </w:rPr>
        <w:t xml:space="preserve">Figures 4.3–4.7 are marked as placeholders because they require running the actual notebooks and capturing real output — this environment has no GPU, no Sionna RT installation, and no access to the underlying scene/CSV files needed to produce them, so none have been fabricated. Figures 4.1 and 4.2 are original diagrams built from verified source material (the notebook architecture and the documented building-height fallback chain).</w:t>
      </w:r>
    </w:p>
    <w:p>
      <w:pPr>
        <w:spacing w:after="160"/>
      </w:pPr>
      <w:r>
        <w:rPr>
          <w:i/>
          <w:iCs/>
        </w:rPr>
        <w:t xml:space="preserve">References for this chapter reuse [5], [16], [17], [18], [28] from Chapters 1–3 and [31] from Section 4.1. See `references.md` for the full, verified reference list shared across all chapters.</w:t>
      </w:r>
    </w:p>
    <w:p>
      <w:r>
        <w:br w:type="page"/>
      </w:r>
    </w:p>
    <w:p>
      <w:pPr>
        <w:pStyle w:val="Heading1"/>
      </w:pPr>
      <w:r>
        <w:t xml:space="preserve">Results and Validation</w:t>
      </w:r>
    </w:p>
    <w:p w14:paraId="7AF69779" w14:textId="00DB2535" w:rsidR="009F1610" w:rsidRPr="009F1610" w:rsidRDefault="009F1610" w:rsidP="00254E75">
      <w:pPr>
        <w:rPr>
          <w:lang w:val="en-US" w:eastAsia="fr-FR" w:bidi="ar-LB"/>
        </w:rPr>
      </w:pPr>
      <w:r>
        <w:rPr>
          <w:lang w:val="en-US" w:eastAsia="fr-FR" w:bidi="ar-LB"/>
        </w:rPr>
        <w:t>This chapter presents the results obtained from the implementation described in Chapter 4, interprets what they reveal about the four research questions set out in Section 1.5, and evaluates whether the methodology of Chapter 3 was scientifically sound. Section 5.1 sets out the consolidated final results across every calibrated site and frequency. Section 5.2 interprets the trends, anomalies, and site-to-site differences visible in those results. Section 5.3 validates the findings against classical propagation models, independent literature, and international standards. Section 5.4 examines how sensitive these results are to modelling choices and states the boundaries within which the conclusions hold. The results already tabulated in Chapter 4 (Table 4.4) form the primary evidence base for this chapter and are not re-derived here; the tables and figures introduced below instead offer complementary views of the same underlying evaluations (cross-scattering-mode comparisons, classical-model benchmarking, and calibration-history diagnostics) that Chapter 4 did not already present.</w:t>
      </w:r>
    </w:p>
    <w:p>
      <w:pPr>
        <w:pStyle w:val="Heading2"/>
      </w:pPr>
      <w:r>
        <w:t xml:space="preserve">5.1 Presentation of Results</w:t>
      </w:r>
    </w:p>
    <w:p w14:paraId="772F69C5" w14:textId="4EA9DD91" w:rsidR="009F1610" w:rsidRPr="009F1610" w:rsidRDefault="009F1610" w:rsidP="009F1610">
      <w:pPr>
        <w:pStyle w:val="Caption"/>
        <w:keepNext/>
        <w:jc w:val="left"/>
      </w:pPr>
      <w:r>
        <w:t xml:space="preserve">Table </w:t>
      </w:r>
      <w:fldSimple w:instr=" SEQ Table \* ARABIC ">
        <w:r>
          <w:rPr>
            <w:noProof/>
          </w:rPr>
          <w:t>14</w:t>
        </w:r>
      </w:fldSimple>
      <w:r>
        <w:t>-</w:t>
      </w:r>
      <w:r>
        <w:rPr>
          <w:rFonts w:eastAsia="Times New Roman"/>
        </w:rPr>
        <w:t>Table 5.1 - Consolidated final accuracy by site and frequency (reproduced from Table 4.4 for reference).</w:t>
      </w:r>
    </w:p>
    <w:tbl>
      <w:tblPr>
        <w:tblW w:w="0" w:type="auto"/>
        <w:tblCellMar>
          <w:top w:w="15" w:type="dxa"/>
          <w:left w:w="15" w:type="dxa"/>
          <w:bottom w:w="15" w:type="dxa"/>
          <w:right w:w="15" w:type="dxa"/>
        </w:tblCellMar>
        <w:tblLook w:val="04A0" w:firstRow="1" w:lastRow="0" w:firstColumn="1" w:lastColumn="0" w:noHBand="0" w:noVBand="1"/>
      </w:tblPr>
      <w:tblGrid>
        <w:gridCol w:w="2928"/>
        <w:gridCol w:w="2145"/>
        <w:gridCol w:w="1167"/>
        <w:gridCol w:w="1402"/>
        <w:gridCol w:w="2602"/>
      </w:tblGrid>
      <w:tr w:rsidR="009F1610" w:rsidRPr="009F1610" w14:paraId="41FD9B6F" w14:textId="77777777" w:rsidTr="009F1610">
        <w:trPr>
          <w:tblHeader/>
        </w:trPr>
        <w:tc>
          <w:tcPr>
            <w:tcW w:w="294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F9A260" w14:textId="77777777" w:rsidR="009F1610" w:rsidRPr="009F1610" w:rsidRDefault="009F1610" w:rsidP="009F1610">
            <w:pPr>
              <w:spacing w:after="240" w:line="240" w:lineRule="auto"/>
              <w:jc w:val="center"/>
              <w:rPr>
                <w:rFonts w:eastAsia="Times New Roman"/>
                <w:b/>
                <w:bCs/>
                <w:szCs w:val="20"/>
                <w:lang w:val="en-US"/>
              </w:rPr>
            </w:pPr>
            <w:r>
              <w:rPr>
                <w:rFonts w:eastAsia="Times New Roman"/>
                <w:b/>
                <w:bCs/>
                <w:szCs w:val="20"/>
                <w:lang w:val="en-US"/>
              </w:rPr>
              <w:t>Site / Frequency</w:t>
            </w:r>
          </w:p>
        </w:tc>
        <w:tc>
          <w:tcPr>
            <w:tcW w:w="215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D727CC" w14:textId="77777777" w:rsidR="009F1610" w:rsidRPr="009F1610" w:rsidRDefault="009F1610" w:rsidP="009F1610">
            <w:pPr>
              <w:spacing w:after="240" w:line="240" w:lineRule="auto"/>
              <w:jc w:val="center"/>
              <w:rPr>
                <w:rFonts w:eastAsia="Times New Roman"/>
                <w:b/>
                <w:bCs/>
                <w:szCs w:val="20"/>
                <w:lang w:val="en-US"/>
              </w:rPr>
            </w:pPr>
            <w:r>
              <w:rPr>
                <w:rFonts w:eastAsia="Times New Roman"/>
                <w:b/>
                <w:bCs/>
                <w:szCs w:val="20"/>
                <w:lang w:val="en-US"/>
              </w:rPr>
              <w:t>Optimiser</w:t>
            </w:r>
          </w:p>
        </w:tc>
        <w:tc>
          <w:tcPr>
            <w:tcW w:w="117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01E9EBD" w14:textId="77777777" w:rsidR="009F1610" w:rsidRPr="009F1610" w:rsidRDefault="009F1610" w:rsidP="009F1610">
            <w:pPr>
              <w:spacing w:after="240" w:line="240" w:lineRule="auto"/>
              <w:jc w:val="center"/>
              <w:rPr>
                <w:rFonts w:eastAsia="Times New Roman"/>
                <w:b/>
                <w:bCs/>
                <w:szCs w:val="20"/>
                <w:lang w:val="en-US"/>
              </w:rPr>
            </w:pPr>
            <w:r>
              <w:rPr>
                <w:rFonts w:eastAsia="Times New Roman"/>
                <w:b/>
                <w:bCs/>
                <w:szCs w:val="20"/>
                <w:lang w:val="en-US"/>
              </w:rPr>
              <w:t>Best R²</w:t>
            </w:r>
          </w:p>
        </w:tc>
        <w:tc>
          <w:tcPr>
            <w:tcW w:w="140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BCAC81" w14:textId="77777777" w:rsidR="009F1610" w:rsidRPr="009F1610" w:rsidRDefault="009F1610" w:rsidP="009F1610">
            <w:pPr>
              <w:spacing w:after="240" w:line="240" w:lineRule="auto"/>
              <w:jc w:val="center"/>
              <w:rPr>
                <w:rFonts w:eastAsia="Times New Roman"/>
                <w:b/>
                <w:bCs/>
                <w:szCs w:val="20"/>
                <w:lang w:val="en-US"/>
              </w:rPr>
            </w:pPr>
            <w:r>
              <w:rPr>
                <w:rFonts w:eastAsia="Times New Roman"/>
                <w:b/>
                <w:bCs/>
                <w:szCs w:val="20"/>
                <w:lang w:val="en-US"/>
              </w:rPr>
              <w:t>Evaluation range</w:t>
            </w:r>
          </w:p>
        </w:tc>
        <w:tc>
          <w:tcPr>
            <w:tcW w:w="261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327D4D" w14:textId="77777777" w:rsidR="009F1610" w:rsidRPr="009F1610" w:rsidRDefault="009F1610" w:rsidP="009F1610">
            <w:pPr>
              <w:spacing w:after="240" w:line="240" w:lineRule="auto"/>
              <w:jc w:val="center"/>
              <w:rPr>
                <w:rFonts w:eastAsia="Times New Roman"/>
                <w:b/>
                <w:bCs/>
                <w:szCs w:val="20"/>
                <w:lang w:val="en-US"/>
              </w:rPr>
            </w:pPr>
            <w:r>
              <w:rPr>
                <w:rFonts w:eastAsia="Times New Roman"/>
                <w:b/>
                <w:bCs/>
                <w:szCs w:val="20"/>
                <w:lang w:val="en-US"/>
              </w:rPr>
              <w:t>Environment type</w:t>
            </w:r>
          </w:p>
        </w:tc>
      </w:tr>
      <w:tr w:rsidR="009F1610" w:rsidRPr="009F1610" w14:paraId="25AA62C6" w14:textId="77777777" w:rsidTr="009F1610">
        <w:tc>
          <w:tcPr>
            <w:tcW w:w="294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940CE76" w14:textId="77777777" w:rsidR="009F1610" w:rsidRPr="009F1610" w:rsidRDefault="009F1610" w:rsidP="009F1610">
            <w:pPr>
              <w:spacing w:after="240" w:line="240" w:lineRule="auto"/>
              <w:jc w:val="left"/>
              <w:rPr>
                <w:rFonts w:eastAsia="Times New Roman"/>
                <w:szCs w:val="20"/>
                <w:lang w:val="en-US"/>
              </w:rPr>
            </w:pPr>
            <w:r>
              <w:rPr>
                <w:rFonts w:eastAsia="Times New Roman"/>
                <w:szCs w:val="20"/>
                <w:lang w:val="en-US"/>
              </w:rPr>
              <w:t>Nottingham 915 MHz</w:t>
            </w:r>
          </w:p>
        </w:tc>
        <w:tc>
          <w:tcPr>
            <w:tcW w:w="215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3D563E" w14:textId="77777777" w:rsidR="009F1610" w:rsidRPr="009F1610" w:rsidRDefault="009F1610" w:rsidP="009F1610">
            <w:pPr>
              <w:spacing w:after="240" w:line="240" w:lineRule="auto"/>
              <w:jc w:val="left"/>
              <w:rPr>
                <w:rFonts w:eastAsia="Times New Roman"/>
                <w:szCs w:val="20"/>
                <w:lang w:val="en-US"/>
              </w:rPr>
            </w:pPr>
            <w:r>
              <w:rPr>
                <w:rFonts w:eastAsia="Times New Roman"/>
                <w:szCs w:val="20"/>
                <w:lang w:val="en-US"/>
              </w:rPr>
              <w:t>Powell</w:t>
            </w:r>
          </w:p>
        </w:tc>
        <w:tc>
          <w:tcPr>
            <w:tcW w:w="117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224609" w14:textId="77777777" w:rsidR="009F1610" w:rsidRPr="009F1610" w:rsidRDefault="009F1610" w:rsidP="009F1610">
            <w:pPr>
              <w:spacing w:after="0" w:line="240" w:lineRule="auto"/>
              <w:jc w:val="left"/>
              <w:rPr>
                <w:rFonts w:eastAsia="Times New Roman"/>
                <w:szCs w:val="20"/>
                <w:lang w:val="en-US"/>
              </w:rPr>
            </w:pPr>
            <w:r>
              <w:rPr>
                <w:rFonts w:eastAsia="Times New Roman"/>
                <w:b/>
                <w:bCs/>
                <w:szCs w:val="20"/>
                <w:lang w:val="en-US"/>
              </w:rPr>
              <w:t>0.835</w:t>
            </w:r>
          </w:p>
        </w:tc>
        <w:tc>
          <w:tcPr>
            <w:tcW w:w="140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E5CC58"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0–750 m</w:t>
            </w:r>
          </w:p>
        </w:tc>
        <w:tc>
          <w:tcPr>
            <w:tcW w:w="261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DD1638"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Dense urban</w:t>
            </w:r>
          </w:p>
        </w:tc>
      </w:tr>
      <w:tr w:rsidR="009F1610" w:rsidRPr="009F1610" w14:paraId="0E4F2E32" w14:textId="77777777" w:rsidTr="009F1610">
        <w:tc>
          <w:tcPr>
            <w:tcW w:w="294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49C064C"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Nottingham 1802 MHz</w:t>
            </w:r>
          </w:p>
        </w:tc>
        <w:tc>
          <w:tcPr>
            <w:tcW w:w="215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0AA4636"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Powell</w:t>
            </w:r>
          </w:p>
        </w:tc>
        <w:tc>
          <w:tcPr>
            <w:tcW w:w="11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544CB9" w14:textId="77777777" w:rsidR="009F1610" w:rsidRPr="009F1610" w:rsidRDefault="009F1610" w:rsidP="009F1610">
            <w:pPr>
              <w:spacing w:after="0" w:line="240" w:lineRule="auto"/>
              <w:jc w:val="left"/>
              <w:rPr>
                <w:rFonts w:eastAsia="Times New Roman"/>
                <w:szCs w:val="20"/>
                <w:lang w:val="en-US"/>
              </w:rPr>
            </w:pPr>
            <w:r>
              <w:rPr>
                <w:rFonts w:eastAsia="Times New Roman"/>
                <w:b/>
                <w:bCs/>
                <w:szCs w:val="20"/>
                <w:lang w:val="en-US"/>
              </w:rPr>
              <w:t>0.509</w:t>
            </w:r>
          </w:p>
        </w:tc>
        <w:tc>
          <w:tcPr>
            <w:tcW w:w="140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0103D82"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0–1250 m</w:t>
            </w:r>
          </w:p>
        </w:tc>
        <w:tc>
          <w:tcPr>
            <w:tcW w:w="261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A147812"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Dense urban</w:t>
            </w:r>
          </w:p>
        </w:tc>
      </w:tr>
      <w:tr w:rsidR="009F1610" w:rsidRPr="009F1610" w14:paraId="7B6623D7" w14:textId="77777777" w:rsidTr="009F1610">
        <w:tc>
          <w:tcPr>
            <w:tcW w:w="294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ABFDF9"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Nottingham 2695 MHz</w:t>
            </w:r>
          </w:p>
        </w:tc>
        <w:tc>
          <w:tcPr>
            <w:tcW w:w="215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3AE9B5"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Powell</w:t>
            </w:r>
          </w:p>
        </w:tc>
        <w:tc>
          <w:tcPr>
            <w:tcW w:w="117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24C40F" w14:textId="77777777" w:rsidR="009F1610" w:rsidRPr="009F1610" w:rsidRDefault="009F1610" w:rsidP="009F1610">
            <w:pPr>
              <w:spacing w:after="0" w:line="240" w:lineRule="auto"/>
              <w:jc w:val="left"/>
              <w:rPr>
                <w:rFonts w:eastAsia="Times New Roman"/>
                <w:szCs w:val="20"/>
                <w:lang w:val="en-US"/>
              </w:rPr>
            </w:pPr>
            <w:r>
              <w:rPr>
                <w:rFonts w:eastAsia="Times New Roman"/>
                <w:b/>
                <w:bCs/>
                <w:szCs w:val="20"/>
                <w:lang w:val="en-US"/>
              </w:rPr>
              <w:t>0.574</w:t>
            </w:r>
          </w:p>
        </w:tc>
        <w:tc>
          <w:tcPr>
            <w:tcW w:w="140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F823E4D"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0–1250 m</w:t>
            </w:r>
          </w:p>
        </w:tc>
        <w:tc>
          <w:tcPr>
            <w:tcW w:w="261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9CFB6C"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Dense urban</w:t>
            </w:r>
          </w:p>
        </w:tc>
      </w:tr>
      <w:tr w:rsidR="009F1610" w:rsidRPr="009F1610" w14:paraId="3C5A4866" w14:textId="77777777" w:rsidTr="009F1610">
        <w:tc>
          <w:tcPr>
            <w:tcW w:w="294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79E57F"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Nottingham 3602 MHz</w:t>
            </w:r>
          </w:p>
        </w:tc>
        <w:tc>
          <w:tcPr>
            <w:tcW w:w="215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65EC51"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Powell</w:t>
            </w:r>
          </w:p>
        </w:tc>
        <w:tc>
          <w:tcPr>
            <w:tcW w:w="11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C27953A" w14:textId="77777777" w:rsidR="009F1610" w:rsidRPr="009F1610" w:rsidRDefault="009F1610" w:rsidP="009F1610">
            <w:pPr>
              <w:spacing w:after="0" w:line="240" w:lineRule="auto"/>
              <w:jc w:val="left"/>
              <w:rPr>
                <w:rFonts w:eastAsia="Times New Roman"/>
                <w:szCs w:val="20"/>
                <w:lang w:val="en-US"/>
              </w:rPr>
            </w:pPr>
            <w:r>
              <w:rPr>
                <w:rFonts w:eastAsia="Times New Roman"/>
                <w:b/>
                <w:bCs/>
                <w:szCs w:val="20"/>
                <w:lang w:val="en-US"/>
              </w:rPr>
              <w:t>0.515</w:t>
            </w:r>
          </w:p>
        </w:tc>
        <w:tc>
          <w:tcPr>
            <w:tcW w:w="140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949594"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0–1250 m</w:t>
            </w:r>
          </w:p>
        </w:tc>
        <w:tc>
          <w:tcPr>
            <w:tcW w:w="261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03B41DB"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Dense urban</w:t>
            </w:r>
          </w:p>
        </w:tc>
      </w:tr>
      <w:tr w:rsidR="009F1610" w:rsidRPr="009F1610" w14:paraId="53C155E9" w14:textId="77777777" w:rsidTr="009F1610">
        <w:tc>
          <w:tcPr>
            <w:tcW w:w="294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E9842B9"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Nottingham 3602 MHz (HF scene)</w:t>
            </w:r>
          </w:p>
        </w:tc>
        <w:tc>
          <w:tcPr>
            <w:tcW w:w="215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44B2F5"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CMA-ES</w:t>
            </w:r>
          </w:p>
        </w:tc>
        <w:tc>
          <w:tcPr>
            <w:tcW w:w="117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9255AC" w14:textId="77777777" w:rsidR="009F1610" w:rsidRPr="009F1610" w:rsidRDefault="009F1610" w:rsidP="009F1610">
            <w:pPr>
              <w:spacing w:after="0" w:line="240" w:lineRule="auto"/>
              <w:jc w:val="left"/>
              <w:rPr>
                <w:rFonts w:eastAsia="Times New Roman"/>
                <w:szCs w:val="20"/>
                <w:lang w:val="en-US"/>
              </w:rPr>
            </w:pPr>
            <w:r>
              <w:rPr>
                <w:rFonts w:eastAsia="Times New Roman"/>
                <w:b/>
                <w:bCs/>
                <w:szCs w:val="20"/>
                <w:lang w:val="en-US"/>
              </w:rPr>
              <w:t>0.65</w:t>
            </w:r>
          </w:p>
        </w:tc>
        <w:tc>
          <w:tcPr>
            <w:tcW w:w="140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8ED53D8"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0–1250 m</w:t>
            </w:r>
          </w:p>
        </w:tc>
        <w:tc>
          <w:tcPr>
            <w:tcW w:w="261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B64D54"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Dense urban</w:t>
            </w:r>
          </w:p>
        </w:tc>
      </w:tr>
      <w:tr w:rsidR="009F1610" w:rsidRPr="009F1610" w14:paraId="6DA54FA0" w14:textId="77777777" w:rsidTr="009F1610">
        <w:tc>
          <w:tcPr>
            <w:tcW w:w="294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B09AB4B"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London 915 MHz</w:t>
            </w:r>
          </w:p>
        </w:tc>
        <w:tc>
          <w:tcPr>
            <w:tcW w:w="215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CFD1DBB"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CMA-ES</w:t>
            </w:r>
          </w:p>
        </w:tc>
        <w:tc>
          <w:tcPr>
            <w:tcW w:w="11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56A85B3" w14:textId="77777777" w:rsidR="009F1610" w:rsidRPr="009F1610" w:rsidRDefault="009F1610" w:rsidP="009F1610">
            <w:pPr>
              <w:spacing w:after="0" w:line="240" w:lineRule="auto"/>
              <w:jc w:val="left"/>
              <w:rPr>
                <w:rFonts w:eastAsia="Times New Roman"/>
                <w:szCs w:val="20"/>
                <w:lang w:val="en-US"/>
              </w:rPr>
            </w:pPr>
            <w:r>
              <w:rPr>
                <w:rFonts w:eastAsia="Times New Roman"/>
                <w:b/>
                <w:bCs/>
                <w:szCs w:val="20"/>
                <w:lang w:val="en-US"/>
              </w:rPr>
              <w:t>0.365</w:t>
            </w:r>
          </w:p>
        </w:tc>
        <w:tc>
          <w:tcPr>
            <w:tcW w:w="140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297D3C2"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0–1000 m</w:t>
            </w:r>
          </w:p>
        </w:tc>
        <w:tc>
          <w:tcPr>
            <w:tcW w:w="261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5A38801"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Dense urban</w:t>
            </w:r>
          </w:p>
        </w:tc>
      </w:tr>
      <w:tr w:rsidR="009F1610" w:rsidRPr="009F1610" w14:paraId="3A12B9E6" w14:textId="77777777" w:rsidTr="009F1610">
        <w:tc>
          <w:tcPr>
            <w:tcW w:w="294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9EC8EFA"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London 1802 MHz</w:t>
            </w:r>
          </w:p>
        </w:tc>
        <w:tc>
          <w:tcPr>
            <w:tcW w:w="215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3615B8"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CMA-ES</w:t>
            </w:r>
          </w:p>
        </w:tc>
        <w:tc>
          <w:tcPr>
            <w:tcW w:w="117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EBE1ED" w14:textId="77777777" w:rsidR="009F1610" w:rsidRPr="009F1610" w:rsidRDefault="009F1610" w:rsidP="009F1610">
            <w:pPr>
              <w:spacing w:after="0" w:line="240" w:lineRule="auto"/>
              <w:jc w:val="left"/>
              <w:rPr>
                <w:rFonts w:eastAsia="Times New Roman"/>
                <w:szCs w:val="20"/>
                <w:lang w:val="en-US"/>
              </w:rPr>
            </w:pPr>
            <w:r>
              <w:rPr>
                <w:rFonts w:eastAsia="Times New Roman"/>
                <w:b/>
                <w:bCs/>
                <w:szCs w:val="20"/>
                <w:lang w:val="en-US"/>
              </w:rPr>
              <w:t>0.365</w:t>
            </w:r>
          </w:p>
        </w:tc>
        <w:tc>
          <w:tcPr>
            <w:tcW w:w="140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470FC7"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0–1000 m</w:t>
            </w:r>
          </w:p>
        </w:tc>
        <w:tc>
          <w:tcPr>
            <w:tcW w:w="261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350523"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Dense urban</w:t>
            </w:r>
          </w:p>
        </w:tc>
      </w:tr>
      <w:tr w:rsidR="009F1610" w:rsidRPr="009F1610" w14:paraId="5E3A8EF8" w14:textId="77777777" w:rsidTr="009F1610">
        <w:tc>
          <w:tcPr>
            <w:tcW w:w="294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B729081"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Scar Hill 915 MHz</w:t>
            </w:r>
          </w:p>
        </w:tc>
        <w:tc>
          <w:tcPr>
            <w:tcW w:w="215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51EB0E7"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Powell</w:t>
            </w:r>
          </w:p>
        </w:tc>
        <w:tc>
          <w:tcPr>
            <w:tcW w:w="11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5757A7D" w14:textId="77777777" w:rsidR="009F1610" w:rsidRPr="009F1610" w:rsidRDefault="009F1610" w:rsidP="009F1610">
            <w:pPr>
              <w:spacing w:after="0" w:line="240" w:lineRule="auto"/>
              <w:jc w:val="left"/>
              <w:rPr>
                <w:rFonts w:eastAsia="Times New Roman"/>
                <w:szCs w:val="20"/>
                <w:lang w:val="en-US"/>
              </w:rPr>
            </w:pPr>
            <w:r>
              <w:rPr>
                <w:rFonts w:eastAsia="Times New Roman"/>
                <w:b/>
                <w:bCs/>
                <w:szCs w:val="20"/>
                <w:lang w:val="en-US"/>
              </w:rPr>
              <w:t>0.083</w:t>
            </w:r>
          </w:p>
        </w:tc>
        <w:tc>
          <w:tcPr>
            <w:tcW w:w="140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E8EEE4"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0–1250 m</w:t>
            </w:r>
          </w:p>
        </w:tc>
        <w:tc>
          <w:tcPr>
            <w:tcW w:w="261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12186BB"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Rural hilltop (SRTM terrain)</w:t>
            </w:r>
          </w:p>
        </w:tc>
      </w:tr>
      <w:tr w:rsidR="009F1610" w:rsidRPr="009F1610" w14:paraId="13E5C30E" w14:textId="77777777" w:rsidTr="009F1610">
        <w:tc>
          <w:tcPr>
            <w:tcW w:w="294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8BB489"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 xml:space="preserve">Stevenage 915 MHz</w:t>
            </w:r>
          </w:p>
        </w:tc>
        <w:tc>
          <w:tcPr>
            <w:tcW w:w="215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99A997"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None (CMA-ES attempted, no gain)</w:t>
            </w:r>
          </w:p>
        </w:tc>
        <w:tc>
          <w:tcPr>
            <w:tcW w:w="117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0BB3B6" w14:textId="77777777" w:rsidR="009F1610" w:rsidRPr="009F1610" w:rsidRDefault="009F1610" w:rsidP="009F1610">
            <w:pPr>
              <w:spacing w:after="0" w:line="240" w:lineRule="auto"/>
              <w:jc w:val="left"/>
              <w:rPr>
                <w:rFonts w:eastAsia="Times New Roman"/>
                <w:szCs w:val="20"/>
                <w:lang w:val="en-US"/>
              </w:rPr>
            </w:pPr>
            <w:r>
              <w:rPr>
                <w:rFonts w:eastAsia="Times New Roman"/>
                <w:b/>
                <w:bCs/>
                <w:szCs w:val="20"/>
                <w:lang w:val="en-US"/>
              </w:rPr>
              <w:t>0.744</w:t>
            </w:r>
          </w:p>
        </w:tc>
        <w:tc>
          <w:tcPr>
            <w:tcW w:w="140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FA2D40"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0–2250 m</w:t>
            </w:r>
          </w:p>
        </w:tc>
        <w:tc>
          <w:tcPr>
            <w:tcW w:w="261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A6CBD0"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Suburban/new-town</w:t>
            </w:r>
          </w:p>
        </w:tc>
      </w:tr>
      <w:tr w:rsidR="009F1610" w:rsidRPr="009F1610" w14:paraId="4630B3BA" w14:textId="77777777" w:rsidTr="009F1610">
        <w:tc>
          <w:tcPr>
            <w:tcW w:w="294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078B76A"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 xml:space="preserve">Stevenage 1802 MHz</w:t>
            </w:r>
          </w:p>
        </w:tc>
        <w:tc>
          <w:tcPr>
            <w:tcW w:w="215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2215AB6"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None</w:t>
            </w:r>
          </w:p>
        </w:tc>
        <w:tc>
          <w:tcPr>
            <w:tcW w:w="11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4A1E60A" w14:textId="77777777" w:rsidR="009F1610" w:rsidRPr="009F1610" w:rsidRDefault="009F1610" w:rsidP="009F1610">
            <w:pPr>
              <w:spacing w:after="0" w:line="240" w:lineRule="auto"/>
              <w:jc w:val="left"/>
              <w:rPr>
                <w:rFonts w:eastAsia="Times New Roman"/>
                <w:szCs w:val="20"/>
                <w:lang w:val="en-US"/>
              </w:rPr>
            </w:pPr>
            <w:r>
              <w:rPr>
                <w:rFonts w:eastAsia="Times New Roman"/>
                <w:b/>
                <w:bCs/>
                <w:szCs w:val="20"/>
                <w:lang w:val="en-US"/>
              </w:rPr>
              <w:t>0.735</w:t>
            </w:r>
          </w:p>
        </w:tc>
        <w:tc>
          <w:tcPr>
            <w:tcW w:w="140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202D304"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0–1750 m</w:t>
            </w:r>
          </w:p>
        </w:tc>
        <w:tc>
          <w:tcPr>
            <w:tcW w:w="261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6621F0"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Suburban/new-town</w:t>
            </w:r>
          </w:p>
        </w:tc>
      </w:tr>
      <w:tr w:rsidR="009F1610" w:rsidRPr="009F1610" w14:paraId="004FF80C" w14:textId="77777777" w:rsidTr="009F1610">
        <w:tc>
          <w:tcPr>
            <w:tcW w:w="294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56BC19C"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 xml:space="preserve">Stevenage 2695 MHz</w:t>
            </w:r>
          </w:p>
        </w:tc>
        <w:tc>
          <w:tcPr>
            <w:tcW w:w="215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EF5737"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None</w:t>
            </w:r>
          </w:p>
        </w:tc>
        <w:tc>
          <w:tcPr>
            <w:tcW w:w="117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F18EC7" w14:textId="77777777" w:rsidR="009F1610" w:rsidRPr="009F1610" w:rsidRDefault="009F1610" w:rsidP="009F1610">
            <w:pPr>
              <w:spacing w:after="0" w:line="240" w:lineRule="auto"/>
              <w:jc w:val="left"/>
              <w:rPr>
                <w:rFonts w:eastAsia="Times New Roman"/>
                <w:szCs w:val="20"/>
                <w:lang w:val="en-US"/>
              </w:rPr>
            </w:pPr>
            <w:r>
              <w:rPr>
                <w:rFonts w:eastAsia="Times New Roman"/>
                <w:b/>
                <w:bCs/>
                <w:szCs w:val="20"/>
                <w:lang w:val="en-US"/>
              </w:rPr>
              <w:t>0.754</w:t>
            </w:r>
          </w:p>
        </w:tc>
        <w:tc>
          <w:tcPr>
            <w:tcW w:w="140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FF522B"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0–2250 m</w:t>
            </w:r>
          </w:p>
        </w:tc>
        <w:tc>
          <w:tcPr>
            <w:tcW w:w="261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00086C"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Suburban/new-town</w:t>
            </w:r>
          </w:p>
        </w:tc>
      </w:tr>
      <w:tr w:rsidR="009F1610" w:rsidRPr="009F1610" w14:paraId="34E47ED2" w14:textId="77777777" w:rsidTr="009F1610">
        <w:tc>
          <w:tcPr>
            <w:tcW w:w="294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6EB8B8D"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 xml:space="preserve">Stevenage 3602 MHz</w:t>
            </w:r>
          </w:p>
        </w:tc>
        <w:tc>
          <w:tcPr>
            <w:tcW w:w="215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555539F"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 xml:space="preserve">None (CMA stalled, </w:t>
              <w:lastRenderedPageBreak/>
              <w:t xml:space="preserve">DrJIT caching)</w:t>
            </w:r>
          </w:p>
        </w:tc>
        <w:tc>
          <w:tcPr>
            <w:tcW w:w="11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575FA33" w14:textId="77777777" w:rsidR="009F1610" w:rsidRPr="009F1610" w:rsidRDefault="009F1610" w:rsidP="009F1610">
            <w:pPr>
              <w:spacing w:after="0" w:line="240" w:lineRule="auto"/>
              <w:jc w:val="left"/>
              <w:rPr>
                <w:rFonts w:eastAsia="Times New Roman"/>
                <w:szCs w:val="20"/>
                <w:lang w:val="en-US"/>
              </w:rPr>
            </w:pPr>
            <w:r>
              <w:rPr>
                <w:rFonts w:eastAsia="Times New Roman"/>
                <w:b/>
                <w:bCs/>
                <w:szCs w:val="20"/>
                <w:lang w:val="en-US"/>
              </w:rPr>
              <w:lastRenderedPageBreak/>
              <w:t>0.755</w:t>
            </w:r>
          </w:p>
        </w:tc>
        <w:tc>
          <w:tcPr>
            <w:tcW w:w="140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A0C30BF"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0–2000 m</w:t>
            </w:r>
          </w:p>
        </w:tc>
        <w:tc>
          <w:tcPr>
            <w:tcW w:w="261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0B6EE65"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Suburban/new-town</w:t>
            </w:r>
          </w:p>
        </w:tc>
      </w:tr>
      <w:tr w:rsidR="009F1610" w:rsidRPr="009F1610" w14:paraId="758A13C3" w14:textId="77777777" w:rsidTr="009F1610">
        <w:tc>
          <w:tcPr>
            <w:tcW w:w="294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E207F2"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Southampton 915 MHz</w:t>
            </w:r>
          </w:p>
        </w:tc>
        <w:tc>
          <w:tcPr>
            <w:tcW w:w="215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579798"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CMA-ES (Phase 0 only)</w:t>
            </w:r>
          </w:p>
        </w:tc>
        <w:tc>
          <w:tcPr>
            <w:tcW w:w="117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5F8367" w14:textId="77777777" w:rsidR="009F1610" w:rsidRPr="009F1610" w:rsidRDefault="009F1610" w:rsidP="009F1610">
            <w:pPr>
              <w:spacing w:after="0" w:line="240" w:lineRule="auto"/>
              <w:jc w:val="left"/>
              <w:rPr>
                <w:rFonts w:eastAsia="Times New Roman"/>
                <w:szCs w:val="20"/>
                <w:lang w:val="en-US"/>
              </w:rPr>
            </w:pPr>
            <w:r>
              <w:rPr>
                <w:rFonts w:eastAsia="Times New Roman"/>
                <w:b/>
                <w:bCs/>
                <w:szCs w:val="20"/>
                <w:lang w:val="en-US"/>
              </w:rPr>
              <w:t>0.730</w:t>
            </w:r>
          </w:p>
        </w:tc>
        <w:tc>
          <w:tcPr>
            <w:tcW w:w="140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40D072"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0–900 m</w:t>
            </w:r>
          </w:p>
        </w:tc>
        <w:tc>
          <w:tcPr>
            <w:tcW w:w="261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8990EF"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Urban</w:t>
            </w:r>
          </w:p>
        </w:tc>
      </w:tr>
      <w:tr w:rsidR="009F1610" w:rsidRPr="009F1610" w14:paraId="0B10EDF6" w14:textId="77777777" w:rsidTr="009F1610">
        <w:tc>
          <w:tcPr>
            <w:tcW w:w="294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D25121B"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Southampton 1802 MHz</w:t>
            </w:r>
          </w:p>
        </w:tc>
        <w:tc>
          <w:tcPr>
            <w:tcW w:w="215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346FCD"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CMA-ES</w:t>
            </w:r>
          </w:p>
        </w:tc>
        <w:tc>
          <w:tcPr>
            <w:tcW w:w="11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B1C4B8" w14:textId="77777777" w:rsidR="009F1610" w:rsidRPr="009F1610" w:rsidRDefault="009F1610" w:rsidP="009F1610">
            <w:pPr>
              <w:spacing w:after="0" w:line="240" w:lineRule="auto"/>
              <w:jc w:val="left"/>
              <w:rPr>
                <w:rFonts w:eastAsia="Times New Roman"/>
                <w:szCs w:val="20"/>
                <w:lang w:val="en-US"/>
              </w:rPr>
            </w:pPr>
            <w:r>
              <w:rPr>
                <w:rFonts w:eastAsia="Times New Roman"/>
                <w:b/>
                <w:bCs/>
                <w:szCs w:val="20"/>
                <w:lang w:val="en-US"/>
              </w:rPr>
              <w:t>0.650</w:t>
            </w:r>
          </w:p>
        </w:tc>
        <w:tc>
          <w:tcPr>
            <w:tcW w:w="140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ED497FE"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0–750 m</w:t>
            </w:r>
          </w:p>
        </w:tc>
        <w:tc>
          <w:tcPr>
            <w:tcW w:w="261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D7BA3F" w14:textId="77777777" w:rsidR="009F1610" w:rsidRPr="009F1610" w:rsidRDefault="009F1610" w:rsidP="009F1610">
            <w:pPr>
              <w:spacing w:after="0" w:line="240" w:lineRule="auto"/>
              <w:jc w:val="left"/>
              <w:rPr>
                <w:rFonts w:eastAsia="Times New Roman"/>
                <w:szCs w:val="20"/>
                <w:lang w:val="en-US"/>
              </w:rPr>
            </w:pPr>
            <w:r>
              <w:rPr>
                <w:rFonts w:eastAsia="Times New Roman"/>
                <w:szCs w:val="20"/>
                <w:lang w:val="en-US"/>
              </w:rPr>
              <w:t>Urban</w:t>
            </w:r>
          </w:p>
        </w:tc>
      </w:tr>
    </w:tbl>
    <w:p w14:paraId="142D8F6D" w14:textId="147009C6" w:rsidR="009F1610" w:rsidRDefault="009F1610" w:rsidP="00254E75">
      <w:pPr>
        <w:rPr>
          <w:lang w:val="en-US" w:eastAsia="fr-FR" w:bidi="ar-LB"/>
        </w:rPr>
      </w:pPr>
    </w:p>
    <w:p w14:paraId="2933AF32" w14:textId="2B05DFDE" w:rsidR="009F1610" w:rsidRPr="009F1610" w:rsidRDefault="009F1610" w:rsidP="009F1610">
      <w:pPr>
        <w:pStyle w:val="Caption"/>
        <w:jc w:val="both"/>
        <w:rPr>
          <w:color w:val="auto"/>
          <w:lang w:eastAsia="fr-FR" w:bidi="ar-LB"/>
        </w:rPr>
      </w:pPr>
      <w:r>
        <w:t xml:space="preserve">Figure </w:t>
      </w:r>
      <w:fldSimple w:instr=" SEQ Figure \* ARABIC ">
        <w:r>
          <w:rPr>
            <w:noProof/>
          </w:rPr>
          <w:t>18</w:t>
        </w:r>
      </w:fldSimple>
      <w:r>
        <w:t xml:space="preserve">- Figure 5.1 - Final calibrated R² by site and frequency.</w:t>
      </w:r>
    </w:p>
    <w:p w14:paraId="701B7C0A" w14:textId="77777777" w:rsidR="003024AD" w:rsidRPr="003024AD" w:rsidRDefault="003024AD" w:rsidP="003024AD">
      <w:pPr>
        <w:rPr>
          <w:lang w:val="en-US" w:eastAsia="fr-FR" w:bidi="ar-LB"/>
        </w:rPr>
      </w:pPr>
      <w:r>
        <w:rPr>
          <w:lang w:val="en-US" w:eastAsia="fr-FR" w:bidi="ar-LB"/>
        </w:rPr>
        <w:t xml:space="preserve">Figure 5.1 - Bars are coloured by the calibration optimiser adopted for that site/frequency (Section 4.1): Powell for Nottingham's main scenes and Scar Hill, CMA-ES for London, Nottingham's high-frequency (HF) scene, and Southampton, and no material optimiser at all for Stevenage, where ITU-R defaults plus a per-distance-bin scalar correction were already sufficient at all four frequencies. This figure is an original visualisation built directly from Table 4.4's verified values, not a notebook screenshot.</w:t>
      </w:r>
    </w:p>
    <w:p w14:paraId="697276A1" w14:textId="77777777" w:rsidR="003024AD" w:rsidRPr="003024AD" w:rsidRDefault="003024AD" w:rsidP="003024AD">
      <w:pPr>
        <w:rPr>
          <w:lang w:val="en-US" w:eastAsia="fr-FR" w:bidi="ar-LB"/>
        </w:rPr>
      </w:pPr>
    </w:p>
    <w:p w14:paraId="14421FCD" w14:textId="045D5BB9" w:rsidR="009F1610" w:rsidRDefault="003024AD" w:rsidP="003024AD">
      <w:pPr>
        <w:rPr>
          <w:lang w:val="en-US" w:eastAsia="fr-FR" w:bidi="ar-LB"/>
        </w:rPr>
      </w:pPr>
      <w:r>
        <w:rPr>
          <w:lang w:val="en-US" w:eastAsia="fr-FR" w:bidi="ar-LB"/>
        </w:rPr>
        <w:t>Beyond the headline R² per site, the contribution of the diffuse-scattering mechanism to overall accuracy was quantified directly. This mechanism was established theoretically in Section 2.1.5 and implemented following Section 3.4, Step 6; here, each calibrated scene is re-evaluated with scattering disabled so that its individual effect can be isolated.</w:t>
      </w:r>
    </w:p>
    <w:p w14:paraId="0D175AA4" w14:textId="77777777" w:rsidR="003024AD" w:rsidRPr="003024AD" w:rsidRDefault="003024AD" w:rsidP="003024AD">
      <w:pPr>
        <w:rPr>
          <w:lang w:val="en-US" w:eastAsia="fr-FR" w:bidi="ar-LB"/>
        </w:rPr>
      </w:pPr>
      <w:r>
        <w:rPr>
          <w:b/>
          <w:bCs/>
          <w:lang w:val="en-US" w:eastAsia="fr-FR" w:bidi="ar-LB"/>
        </w:rPr>
        <w:t>Table 5.2 - Scattering ON vs. OFF, by site and frequency.</w:t>
      </w:r>
    </w:p>
    <w:tbl>
      <w:tblPr>
        <w:tblW w:w="0" w:type="auto"/>
        <w:tblCellMar>
          <w:top w:w="15" w:type="dxa"/>
          <w:left w:w="15" w:type="dxa"/>
          <w:bottom w:w="15" w:type="dxa"/>
          <w:right w:w="15" w:type="dxa"/>
        </w:tblCellMar>
        <w:tblLook w:val="04A0" w:firstRow="1" w:lastRow="0" w:firstColumn="1" w:lastColumn="0" w:noHBand="0" w:noVBand="1"/>
      </w:tblPr>
      <w:tblGrid>
        <w:gridCol w:w="3459"/>
        <w:gridCol w:w="1785"/>
        <w:gridCol w:w="2070"/>
        <w:gridCol w:w="2430"/>
      </w:tblGrid>
      <w:tr w:rsidR="003024AD" w:rsidRPr="003024AD" w14:paraId="14654561" w14:textId="77777777" w:rsidTr="003024AD">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FCFDC6" w14:textId="77777777" w:rsidR="003024AD" w:rsidRPr="003024AD" w:rsidRDefault="003024AD" w:rsidP="003024AD">
            <w:pPr>
              <w:rPr>
                <w:b/>
                <w:bCs/>
                <w:lang w:val="en-US" w:eastAsia="fr-FR" w:bidi="ar-LB"/>
              </w:rPr>
            </w:pPr>
            <w:r>
              <w:rPr>
                <w:b/>
                <w:bCs/>
                <w:lang w:val="en-US" w:eastAsia="fr-FR" w:bidi="ar-LB"/>
              </w:rPr>
              <w:t>Site / Frequency</w:t>
            </w:r>
          </w:p>
        </w:tc>
        <w:tc>
          <w:tcPr>
            <w:tcW w:w="1785"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A0779D" w14:textId="77777777" w:rsidR="003024AD" w:rsidRPr="003024AD" w:rsidRDefault="003024AD" w:rsidP="003024AD">
            <w:pPr>
              <w:rPr>
                <w:b/>
                <w:bCs/>
                <w:lang w:val="en-US" w:eastAsia="fr-FR" w:bidi="ar-LB"/>
              </w:rPr>
            </w:pPr>
            <w:r>
              <w:rPr>
                <w:b/>
                <w:bCs/>
                <w:lang w:val="en-US" w:eastAsia="fr-FR" w:bidi="ar-LB"/>
              </w:rPr>
              <w:t>R² (scattering ON)</w:t>
            </w:r>
          </w:p>
        </w:tc>
        <w:tc>
          <w:tcPr>
            <w:tcW w:w="207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197DFA" w14:textId="77777777" w:rsidR="003024AD" w:rsidRPr="003024AD" w:rsidRDefault="003024AD" w:rsidP="003024AD">
            <w:pPr>
              <w:rPr>
                <w:b/>
                <w:bCs/>
                <w:lang w:val="en-US" w:eastAsia="fr-FR" w:bidi="ar-LB"/>
              </w:rPr>
            </w:pPr>
            <w:r>
              <w:rPr>
                <w:b/>
                <w:bCs/>
                <w:lang w:val="en-US" w:eastAsia="fr-FR" w:bidi="ar-LB"/>
              </w:rPr>
              <w:t>R² (scattering OFF)</w:t>
            </w:r>
          </w:p>
        </w:tc>
        <w:tc>
          <w:tcPr>
            <w:tcW w:w="243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02C5A6" w14:textId="77777777" w:rsidR="003024AD" w:rsidRPr="003024AD" w:rsidRDefault="003024AD" w:rsidP="003024AD">
            <w:pPr>
              <w:rPr>
                <w:b/>
                <w:bCs/>
                <w:lang w:val="en-US" w:eastAsia="fr-FR" w:bidi="ar-LB"/>
              </w:rPr>
            </w:pPr>
            <w:r>
              <w:rPr>
                <w:b/>
                <w:bCs/>
                <w:lang w:val="en-US" w:eastAsia="fr-FR" w:bidi="ar-LB"/>
              </w:rPr>
              <w:t>Effect of disabling scattering</w:t>
            </w:r>
          </w:p>
        </w:tc>
      </w:tr>
      <w:tr w:rsidR="003024AD" w:rsidRPr="003024AD" w14:paraId="53B59276" w14:textId="77777777" w:rsidTr="003024AD">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234613" w14:textId="77777777" w:rsidR="003024AD" w:rsidRPr="003024AD" w:rsidRDefault="003024AD" w:rsidP="003024AD">
            <w:pPr>
              <w:rPr>
                <w:lang w:val="en-US" w:eastAsia="fr-FR" w:bidi="ar-LB"/>
              </w:rPr>
            </w:pPr>
            <w:r>
              <w:rPr>
                <w:lang w:val="en-US" w:eastAsia="fr-FR" w:bidi="ar-LB"/>
              </w:rPr>
              <w:t>Nottingham 915 MHz (0–750 m)</w:t>
            </w:r>
          </w:p>
        </w:tc>
        <w:tc>
          <w:tcPr>
            <w:tcW w:w="1785"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440458" w14:textId="77777777" w:rsidR="003024AD" w:rsidRPr="003024AD" w:rsidRDefault="003024AD" w:rsidP="003024AD">
            <w:pPr>
              <w:rPr>
                <w:lang w:val="en-US" w:eastAsia="fr-FR" w:bidi="ar-LB"/>
              </w:rPr>
            </w:pPr>
            <w:r>
              <w:rPr>
                <w:lang w:val="en-US" w:eastAsia="fr-FR" w:bidi="ar-LB"/>
              </w:rPr>
              <w:t>0.835</w:t>
            </w:r>
          </w:p>
        </w:tc>
        <w:tc>
          <w:tcPr>
            <w:tcW w:w="207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677BB7" w14:textId="77777777" w:rsidR="003024AD" w:rsidRPr="003024AD" w:rsidRDefault="003024AD" w:rsidP="003024AD">
            <w:pPr>
              <w:rPr>
                <w:lang w:val="en-US" w:eastAsia="fr-FR" w:bidi="ar-LB"/>
              </w:rPr>
            </w:pPr>
            <w:r>
              <w:rPr>
                <w:lang w:val="en-US" w:eastAsia="fr-FR" w:bidi="ar-LB"/>
              </w:rPr>
              <w:t>not evaluated</w:t>
            </w:r>
          </w:p>
        </w:tc>
        <w:tc>
          <w:tcPr>
            <w:tcW w:w="243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901C37D" w14:textId="77777777" w:rsidR="003024AD" w:rsidRPr="003024AD" w:rsidRDefault="003024AD" w:rsidP="003024AD">
            <w:pPr>
              <w:rPr>
                <w:lang w:val="en-US" w:eastAsia="fr-FR" w:bidi="ar-LB"/>
              </w:rPr>
            </w:pPr>
            <w:r>
              <w:rPr>
                <w:lang w:val="en-US" w:eastAsia="fr-FR" w:bidi="ar-LB"/>
              </w:rPr>
              <w:t>n/a</w:t>
            </w:r>
          </w:p>
        </w:tc>
      </w:tr>
      <w:tr w:rsidR="003024AD" w:rsidRPr="003024AD" w14:paraId="2DAA4E0F" w14:textId="77777777" w:rsidTr="003024AD">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7C0A30A" w14:textId="77777777" w:rsidR="003024AD" w:rsidRPr="003024AD" w:rsidRDefault="003024AD" w:rsidP="003024AD">
            <w:pPr>
              <w:rPr>
                <w:lang w:val="en-US" w:eastAsia="fr-FR" w:bidi="ar-LB"/>
              </w:rPr>
            </w:pPr>
            <w:r>
              <w:rPr>
                <w:lang w:val="en-US" w:eastAsia="fr-FR" w:bidi="ar-LB"/>
              </w:rPr>
              <w:t>Nottingham 1802 MHz (0–1250 m)</w:t>
            </w:r>
          </w:p>
        </w:tc>
        <w:tc>
          <w:tcPr>
            <w:tcW w:w="178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43B9F3C" w14:textId="77777777" w:rsidR="003024AD" w:rsidRPr="003024AD" w:rsidRDefault="003024AD" w:rsidP="003024AD">
            <w:pPr>
              <w:rPr>
                <w:lang w:val="en-US" w:eastAsia="fr-FR" w:bidi="ar-LB"/>
              </w:rPr>
            </w:pPr>
            <w:r>
              <w:rPr>
                <w:lang w:val="en-US" w:eastAsia="fr-FR" w:bidi="ar-LB"/>
              </w:rPr>
              <w:t>0.509</w:t>
            </w:r>
          </w:p>
        </w:tc>
        <w:tc>
          <w:tcPr>
            <w:tcW w:w="20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E588A26" w14:textId="77777777" w:rsidR="003024AD" w:rsidRPr="003024AD" w:rsidRDefault="003024AD" w:rsidP="003024AD">
            <w:pPr>
              <w:rPr>
                <w:lang w:val="en-US" w:eastAsia="fr-FR" w:bidi="ar-LB"/>
              </w:rPr>
            </w:pPr>
            <w:r>
              <w:rPr>
                <w:lang w:val="en-US" w:eastAsia="fr-FR" w:bidi="ar-LB"/>
              </w:rPr>
              <w:t>0.470</w:t>
            </w:r>
          </w:p>
        </w:tc>
        <w:tc>
          <w:tcPr>
            <w:tcW w:w="243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B8CD56" w14:textId="77777777" w:rsidR="003024AD" w:rsidRPr="003024AD" w:rsidRDefault="003024AD" w:rsidP="003024AD">
            <w:pPr>
              <w:rPr>
                <w:lang w:val="en-US" w:eastAsia="fr-FR" w:bidi="ar-LB"/>
              </w:rPr>
            </w:pPr>
            <w:r>
              <w:rPr>
                <w:lang w:val="en-US" w:eastAsia="fr-FR" w:bidi="ar-LB"/>
              </w:rPr>
              <w:t>Small (−0.039 R²)</w:t>
            </w:r>
          </w:p>
        </w:tc>
      </w:tr>
      <w:tr w:rsidR="003024AD" w:rsidRPr="003024AD" w14:paraId="290A5E45" w14:textId="77777777" w:rsidTr="003024AD">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9816BEA" w14:textId="77777777" w:rsidR="003024AD" w:rsidRPr="003024AD" w:rsidRDefault="003024AD" w:rsidP="003024AD">
            <w:pPr>
              <w:rPr>
                <w:lang w:val="en-US" w:eastAsia="fr-FR" w:bidi="ar-LB"/>
              </w:rPr>
            </w:pPr>
            <w:r>
              <w:rPr>
                <w:lang w:val="en-US" w:eastAsia="fr-FR" w:bidi="ar-LB"/>
              </w:rPr>
              <w:lastRenderedPageBreak/>
              <w:t>Nottingham 2695 MHz (0–1250 m)</w:t>
            </w:r>
          </w:p>
        </w:tc>
        <w:tc>
          <w:tcPr>
            <w:tcW w:w="1785"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15E15F" w14:textId="77777777" w:rsidR="003024AD" w:rsidRPr="003024AD" w:rsidRDefault="003024AD" w:rsidP="003024AD">
            <w:pPr>
              <w:rPr>
                <w:lang w:val="en-US" w:eastAsia="fr-FR" w:bidi="ar-LB"/>
              </w:rPr>
            </w:pPr>
            <w:r>
              <w:rPr>
                <w:lang w:val="en-US" w:eastAsia="fr-FR" w:bidi="ar-LB"/>
              </w:rPr>
              <w:t>0.574</w:t>
            </w:r>
          </w:p>
        </w:tc>
        <w:tc>
          <w:tcPr>
            <w:tcW w:w="207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73F2F8" w14:textId="77777777" w:rsidR="003024AD" w:rsidRPr="003024AD" w:rsidRDefault="003024AD" w:rsidP="003024AD">
            <w:pPr>
              <w:rPr>
                <w:lang w:val="en-US" w:eastAsia="fr-FR" w:bidi="ar-LB"/>
              </w:rPr>
            </w:pPr>
            <w:r>
              <w:rPr>
                <w:lang w:val="en-US" w:eastAsia="fr-FR" w:bidi="ar-LB"/>
              </w:rPr>
              <w:t>0.070</w:t>
            </w:r>
          </w:p>
        </w:tc>
        <w:tc>
          <w:tcPr>
            <w:tcW w:w="243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3CFEDD" w14:textId="77777777" w:rsidR="003024AD" w:rsidRPr="003024AD" w:rsidRDefault="003024AD" w:rsidP="003024AD">
            <w:pPr>
              <w:rPr>
                <w:lang w:val="en-US" w:eastAsia="fr-FR" w:bidi="ar-LB"/>
              </w:rPr>
            </w:pPr>
            <w:r>
              <w:rPr>
                <w:lang w:val="en-US" w:eastAsia="fr-FR" w:bidi="ar-LB"/>
              </w:rPr>
              <w:t>Large (−0.504 R²)</w:t>
            </w:r>
          </w:p>
        </w:tc>
      </w:tr>
      <w:tr w:rsidR="003024AD" w:rsidRPr="003024AD" w14:paraId="0E95177F" w14:textId="77777777" w:rsidTr="003024AD">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DCF4BD2" w14:textId="77777777" w:rsidR="003024AD" w:rsidRPr="003024AD" w:rsidRDefault="003024AD" w:rsidP="003024AD">
            <w:pPr>
              <w:rPr>
                <w:lang w:val="en-US" w:eastAsia="fr-FR" w:bidi="ar-LB"/>
              </w:rPr>
            </w:pPr>
            <w:r>
              <w:rPr>
                <w:lang w:val="en-US" w:eastAsia="fr-FR" w:bidi="ar-LB"/>
              </w:rPr>
              <w:t>Nottingham 3602 MHz (0–1250 m)</w:t>
            </w:r>
          </w:p>
        </w:tc>
        <w:tc>
          <w:tcPr>
            <w:tcW w:w="178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9C6717" w14:textId="77777777" w:rsidR="003024AD" w:rsidRPr="003024AD" w:rsidRDefault="003024AD" w:rsidP="003024AD">
            <w:pPr>
              <w:rPr>
                <w:lang w:val="en-US" w:eastAsia="fr-FR" w:bidi="ar-LB"/>
              </w:rPr>
            </w:pPr>
            <w:r>
              <w:rPr>
                <w:lang w:val="en-US" w:eastAsia="fr-FR" w:bidi="ar-LB"/>
              </w:rPr>
              <w:t>0.515</w:t>
            </w:r>
          </w:p>
        </w:tc>
        <w:tc>
          <w:tcPr>
            <w:tcW w:w="20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2BD936" w14:textId="77777777" w:rsidR="003024AD" w:rsidRPr="003024AD" w:rsidRDefault="003024AD" w:rsidP="003024AD">
            <w:pPr>
              <w:rPr>
                <w:lang w:val="en-US" w:eastAsia="fr-FR" w:bidi="ar-LB"/>
              </w:rPr>
            </w:pPr>
            <w:r>
              <w:rPr>
                <w:lang w:val="en-US" w:eastAsia="fr-FR" w:bidi="ar-LB"/>
              </w:rPr>
              <w:t>−0.929</w:t>
            </w:r>
          </w:p>
        </w:tc>
        <w:tc>
          <w:tcPr>
            <w:tcW w:w="243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038D020" w14:textId="77777777" w:rsidR="003024AD" w:rsidRPr="003024AD" w:rsidRDefault="003024AD" w:rsidP="003024AD">
            <w:pPr>
              <w:rPr>
                <w:lang w:val="en-US" w:eastAsia="fr-FR" w:bidi="ar-LB"/>
              </w:rPr>
            </w:pPr>
            <w:r>
              <w:rPr>
                <w:lang w:val="en-US" w:eastAsia="fr-FR" w:bidi="ar-LB"/>
              </w:rPr>
              <w:t>Catastrophic</w:t>
            </w:r>
          </w:p>
        </w:tc>
      </w:tr>
      <w:tr w:rsidR="003024AD" w:rsidRPr="003024AD" w14:paraId="5EDB4D98" w14:textId="77777777" w:rsidTr="003024AD">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8B31BA3" w14:textId="77777777" w:rsidR="003024AD" w:rsidRPr="003024AD" w:rsidRDefault="003024AD" w:rsidP="003024AD">
            <w:pPr>
              <w:rPr>
                <w:lang w:val="en-US" w:eastAsia="fr-FR" w:bidi="ar-LB"/>
              </w:rPr>
            </w:pPr>
            <w:r>
              <w:rPr>
                <w:lang w:val="en-US" w:eastAsia="fr-FR" w:bidi="ar-LB"/>
              </w:rPr>
              <w:t>London 915 MHz (0–1000 m)</w:t>
            </w:r>
          </w:p>
        </w:tc>
        <w:tc>
          <w:tcPr>
            <w:tcW w:w="1785"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37EE0A" w14:textId="77777777" w:rsidR="003024AD" w:rsidRPr="003024AD" w:rsidRDefault="003024AD" w:rsidP="003024AD">
            <w:pPr>
              <w:rPr>
                <w:lang w:val="en-US" w:eastAsia="fr-FR" w:bidi="ar-LB"/>
              </w:rPr>
            </w:pPr>
            <w:r>
              <w:rPr>
                <w:lang w:val="en-US" w:eastAsia="fr-FR" w:bidi="ar-LB"/>
              </w:rPr>
              <w:t>0.365</w:t>
            </w:r>
          </w:p>
        </w:tc>
        <w:tc>
          <w:tcPr>
            <w:tcW w:w="207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B3EDD2" w14:textId="77777777" w:rsidR="003024AD" w:rsidRPr="003024AD" w:rsidRDefault="003024AD" w:rsidP="003024AD">
            <w:pPr>
              <w:rPr>
                <w:lang w:val="en-US" w:eastAsia="fr-FR" w:bidi="ar-LB"/>
              </w:rPr>
            </w:pPr>
            <w:r>
              <w:rPr>
                <w:lang w:val="en-US" w:eastAsia="fr-FR" w:bidi="ar-LB"/>
              </w:rPr>
              <w:t>−22.666</w:t>
            </w:r>
          </w:p>
        </w:tc>
        <w:tc>
          <w:tcPr>
            <w:tcW w:w="243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7B75240" w14:textId="77777777" w:rsidR="003024AD" w:rsidRPr="003024AD" w:rsidRDefault="003024AD" w:rsidP="003024AD">
            <w:pPr>
              <w:rPr>
                <w:lang w:val="en-US" w:eastAsia="fr-FR" w:bidi="ar-LB"/>
              </w:rPr>
            </w:pPr>
            <w:r>
              <w:rPr>
                <w:lang w:val="en-US" w:eastAsia="fr-FR" w:bidi="ar-LB"/>
              </w:rPr>
              <w:t>Catastrophic</w:t>
            </w:r>
          </w:p>
        </w:tc>
      </w:tr>
      <w:tr w:rsidR="003024AD" w:rsidRPr="003024AD" w14:paraId="09031B58" w14:textId="77777777" w:rsidTr="003024AD">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E3CB316" w14:textId="77777777" w:rsidR="003024AD" w:rsidRPr="003024AD" w:rsidRDefault="003024AD" w:rsidP="003024AD">
            <w:pPr>
              <w:rPr>
                <w:lang w:val="en-US" w:eastAsia="fr-FR" w:bidi="ar-LB"/>
              </w:rPr>
            </w:pPr>
            <w:r>
              <w:rPr>
                <w:lang w:val="en-US" w:eastAsia="fr-FR" w:bidi="ar-LB"/>
              </w:rPr>
              <w:t xml:space="preserve">Stevenage 915 MHz (0–2250 m)</w:t>
            </w:r>
          </w:p>
        </w:tc>
        <w:tc>
          <w:tcPr>
            <w:tcW w:w="178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9AF17EE" w14:textId="77777777" w:rsidR="003024AD" w:rsidRPr="003024AD" w:rsidRDefault="003024AD" w:rsidP="003024AD">
            <w:pPr>
              <w:rPr>
                <w:lang w:val="en-US" w:eastAsia="fr-FR" w:bidi="ar-LB"/>
              </w:rPr>
            </w:pPr>
            <w:r>
              <w:rPr>
                <w:lang w:val="en-US" w:eastAsia="fr-FR" w:bidi="ar-LB"/>
              </w:rPr>
              <w:t>0.744</w:t>
            </w:r>
          </w:p>
        </w:tc>
        <w:tc>
          <w:tcPr>
            <w:tcW w:w="20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D35BD21" w14:textId="77777777" w:rsidR="003024AD" w:rsidRPr="003024AD" w:rsidRDefault="003024AD" w:rsidP="003024AD">
            <w:pPr>
              <w:rPr>
                <w:lang w:val="en-US" w:eastAsia="fr-FR" w:bidi="ar-LB"/>
              </w:rPr>
            </w:pPr>
            <w:r>
              <w:rPr>
                <w:lang w:val="en-US" w:eastAsia="fr-FR" w:bidi="ar-LB"/>
              </w:rPr>
              <w:t>0.737</w:t>
            </w:r>
          </w:p>
        </w:tc>
        <w:tc>
          <w:tcPr>
            <w:tcW w:w="243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1A5999E" w14:textId="77777777" w:rsidR="003024AD" w:rsidRPr="003024AD" w:rsidRDefault="003024AD" w:rsidP="003024AD">
            <w:pPr>
              <w:rPr>
                <w:lang w:val="en-US" w:eastAsia="fr-FR" w:bidi="ar-LB"/>
              </w:rPr>
            </w:pPr>
            <w:r>
              <w:rPr>
                <w:lang w:val="en-US" w:eastAsia="fr-FR" w:bidi="ar-LB"/>
              </w:rPr>
              <w:t>Negligible</w:t>
            </w:r>
          </w:p>
        </w:tc>
      </w:tr>
    </w:tbl>
    <w:p w14:paraId="573CA362" w14:textId="7E0A4A88" w:rsidR="003024AD" w:rsidRDefault="003024AD" w:rsidP="003024AD">
      <w:pPr>
        <w:rPr>
          <w:i/>
          <w:iCs/>
          <w:lang w:val="en-US" w:eastAsia="fr-FR" w:bidi="ar-LB"/>
        </w:rPr>
      </w:pPr>
      <w:r>
        <w:rPr>
          <w:i/>
          <w:iCs/>
          <w:lang w:val="en-US" w:eastAsia="fr-FR" w:bidi="ar-LB"/>
        </w:rPr>
        <w:t xml:space="preserve">Table 5.2 - R² collapses, in some cases to strongly negative values indicating the model performs worse than simply predicting the mean measured path loss, when diffuse scattering is disabled at every site except Stevenage. The near-negligible ΔR² at Stevenage is itself informative and is discussed in Section 5.2.</w:t>
      </w:r>
    </w:p>
    <w:p w14:paraId="6BDA50DE" w14:textId="04A1F3CA" w:rsidR="003024AD" w:rsidRPr="003024AD" w:rsidRDefault="003024AD" w:rsidP="003024AD">
      <w:pPr>
        <w:rPr>
          <w:lang w:val="en-US" w:eastAsia="fr-FR" w:bidi="ar-LB"/>
        </w:rPr>
      </w:pPr>
      <w:r>
        <w:rPr>
          <w:noProof/>
        </w:rPr>
        <w:drawing>
          <wp:inline distT="0" distB="0" distL="0" distR="0" wp14:anchorId="23E68BE8" wp14:editId="0BDEF0A9">
            <wp:extent cx="5544791" cy="2381534"/>
            <wp:effectExtent l="0" t="0" r="0" b="0"/>
            <wp:docPr id="1049" name="Picture 1049" descr="Figure 5.2 - Sensitivity to diffuse scattering: R² with scattering ON vs.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Figure 5.2 - Sensitivity to diffuse scattering: R² with scattering ON vs. OFF"/>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555369" cy="2386078"/>
                    </a:xfrm>
                    <a:prstGeom prst="rect">
                      <a:avLst/>
                    </a:prstGeom>
                    <a:noFill/>
                    <a:ln>
                      <a:noFill/>
                    </a:ln>
                  </pic:spPr>
                </pic:pic>
              </a:graphicData>
            </a:graphic>
          </wp:inline>
        </w:drawing>
      </w:r>
    </w:p>
    <w:p w14:paraId="0C948A86" w14:textId="65EF1652" w:rsidR="003024AD" w:rsidRDefault="003024AD" w:rsidP="003024AD">
      <w:pPr>
        <w:pStyle w:val="Caption"/>
        <w:rPr>
          <w:lang w:val="fr-FR" w:eastAsia="fr-FR" w:bidi="ar-LB"/>
        </w:rPr>
      </w:pPr>
      <w:r>
        <w:t xml:space="preserve">Figure </w:t>
      </w:r>
      <w:fldSimple w:instr=" SEQ Figure \* ARABIC ">
        <w:r>
          <w:rPr>
            <w:noProof/>
          </w:rPr>
          <w:t>19</w:t>
        </w:r>
      </w:fldSimple>
      <w:r>
        <w:t>-</w:t>
      </w:r>
      <w:r>
        <w:rPr>
          <w:lang w:val="fr-FR" w:eastAsia="fr-FR" w:bidi="ar-LB"/>
        </w:rPr>
        <w:t xml:space="preserve">Figure 5.2 - Sensitivity to diffuse scattering.</w:t>
      </w:r>
    </w:p>
    <w:p w14:paraId="7CC036B8" w14:textId="77777777" w:rsidR="003024AD" w:rsidRPr="003024AD" w:rsidRDefault="003024AD" w:rsidP="003024AD">
      <w:pPr>
        <w:rPr>
          <w:lang w:eastAsia="fr-FR" w:bidi="ar-LB"/>
        </w:rPr>
      </w:pPr>
    </w:p>
    <w:p w14:paraId="1952F5B3" w14:textId="618EDFA7" w:rsidR="003024AD" w:rsidRDefault="003024AD" w:rsidP="003024AD">
      <w:pPr>
        <w:pStyle w:val="Caption"/>
        <w:rPr>
          <w:i/>
          <w:iCs/>
          <w:lang w:eastAsia="fr-FR" w:bidi="ar-LB"/>
        </w:rPr>
      </w:pPr>
      <w:r>
        <w:t xml:space="preserve">Figure </w:t>
      </w:r>
      <w:fldSimple w:instr=" SEQ Figure \* ARABIC ">
        <w:r>
          <w:rPr>
            <w:noProof/>
          </w:rPr>
          <w:t>20</w:t>
        </w:r>
      </w:fldSimple>
      <w:r>
        <w:t>-</w:t>
      </w:r>
      <w:r>
        <w:rPr>
          <w:lang w:eastAsia="fr-FR" w:bidi="ar-LB"/>
        </w:rPr>
        <w:t xml:space="preserve">FIGURE 5.3 - </w:t>
      </w:r>
      <w:r>
        <w:rPr>
          <w:i/>
          <w:iCs/>
          <w:lang w:eastAsia="fr-FR" w:bidi="ar-LB"/>
        </w:rPr>
        <w:t>Measured-vs-simulated path loss scatter plot</w:t>
      </w:r>
    </w:p>
    <w:p w14:paraId="24E799C7" w14:textId="77777777" w:rsidR="003024AD" w:rsidRPr="003024AD" w:rsidRDefault="003024AD" w:rsidP="003024AD">
      <w:pPr>
        <w:rPr>
          <w:lang w:val="en-US" w:eastAsia="fr-FR" w:bidi="ar-LB"/>
        </w:rPr>
      </w:pPr>
    </w:p>
    <w:p>
      <w:pPr>
        <w:pStyle w:val="Heading2"/>
      </w:pPr>
      <w:r>
        <w:t xml:space="preserve">5.2 Analysis and Interpretation</w:t>
      </w:r>
    </w:p>
    <w:p w14:paraId="21F5464F" w14:textId="77777777" w:rsidR="003024AD" w:rsidRPr="003024AD" w:rsidRDefault="003024AD" w:rsidP="003024AD">
      <w:pPr>
        <w:rPr>
          <w:lang w:val="en-US" w:eastAsia="fr-FR" w:bidi="ar-LB"/>
        </w:rPr>
      </w:pPr>
      <w:r>
        <w:rPr>
          <w:b/>
          <w:bCs/>
          <w:lang w:val="en-US" w:eastAsia="fr-FR" w:bidi="ar-LB"/>
        </w:rPr>
        <w:t>Frequency dependence at a fixed site (RQ1, RQ2).</w:t>
      </w:r>
      <w:r>
        <w:rPr>
          <w:lang w:val="en-US" w:eastAsia="fr-FR" w:bidi="ar-LB"/>
        </w:rPr>
        <w:t xml:space="preserve"> At Nottingham, R² falls sharply from 915 MHz (0.835) to 1802 MHz (0.509), then partially recovers at 2695 MHz (0.574) before falling again at 3602 MHz (0.515) (Table 5.1). This is not a simple monotonic degradation with frequency, and the non-monotonicity is itself informative. The vegetation-modelling strategy changes at 2695 MHz (Section 4.1), moving from flat single-layer discs with a bulk Weissberger correction to three-layer stacked discs with a per-path ITU-R P.833-10 correction; the partial recovery at 2695 MHz coincides with this more physically detailed vegetation treatment being applied for the first time. At 3602 MHz, solid canopy geometry had to be disabled (DISABLE_CANOPY=True, Section 3.3) because it was found to block essentially all rays beyond approximately 400 m. This indicates that at λ = 8.3 cm, the geometric ray-tracing abstraction itself is approaching a physical limit for vegetation-dense paths, independent of calibration quality. Taken together, these results answer RQ2 directly: architectural and environmental features, specifically </w:t>
        <w:lastRenderedPageBreak/>
        <w:t>vegetation density and canopy geometry, measurably change achievable accuracy as wavelength shrinks, so the modelling strategy must change with them rather than being held fixed across frequency.</w:t>
      </w:r>
    </w:p>
    <w:p w14:paraId="59970669" w14:textId="77777777" w:rsidR="003024AD" w:rsidRPr="003024AD" w:rsidRDefault="003024AD" w:rsidP="003024AD">
      <w:pPr>
        <w:rPr>
          <w:lang w:val="en-US" w:eastAsia="fr-FR" w:bidi="ar-LB"/>
        </w:rPr>
      </w:pPr>
      <w:r>
        <w:rPr>
          <w:b/>
          <w:bCs/>
          <w:lang w:val="en-US" w:eastAsia="fr-FR" w:bidi="ar-LB"/>
        </w:rPr>
        <w:t>Cross-site variation (RQ3).</w:t>
      </w:r>
      <w:r>
        <w:rPr>
          <w:lang w:val="en-US" w:eastAsia="fr-FR" w:bidi="ar-LB"/>
        </w:rPr>
        <w:t xml:space="preserve"> The five sites span distinct environment types, and their results track those differences rather than any single global accuracy ceiling. Nottingham's dense, mixed-height urban core achieves the project's best result (R² = 0.835 at 915 MHz), and a dedicated high-frequency scene variant reaches R² = 0.65 at 3602 MHz, markedly better than the same frequency's main-scene result (0.515), by adding a third vegetation-layering configuration (Section 4.1). London, also dense urban but calibrated with CMA-ES after Powell struggled with a more correlated material space (Section 4.1), plateaus at R² = 0.365 at both 915 and 1802 MHz; this is a result explicitly accepted as a physics floor only after eight calibration attempts at 1802 MHz (Section 5.4). Scar Hill's rural hilltop environment is capped at R² = 0.083, not by a modelling deficiency but by its 30 m SRTM terrain input, a full order of magnitude coarser than the 1 m LiDAR available at the English sites (Section 3.3). Stevenage reaches its final results (R² = 0.744, 0.735, 0.754, and 0.755 across its four frequencies) using no material-parameter search at all, which is the clearest illustration of RQ3: ITU-R default material parameters plus a per-distance-bin scalar correction already describe the dominant propagation mechanism at this site, and at every frequency the CMA-ES joint search was attempted and confirmed to converge to "no change" (or, at 3602 MHz, to stall on DrJIT kernel caching) rather than overfitting to noise. Southampton, by contrast, does benefit from material calibration: a Phase 0 CMA-ES step at 915 MHz produced a small but real gain, from R² = 0.725 with ITU-R defaults alone to R² = 0.730, and a full CMA-ES joint search reaching FTOL at 1802 MHz achieved R² = 0.650. This shows that the "defaults are sufficient" finding at Stevenage does not generalise even to another site of broadly similar suburban and urban character. Stevenage's best method is also notably </w:t>
      </w:r>
      <w:r>
        <w:rPr>
          <w:i/>
          <w:iCs/>
          <w:lang w:val="en-US" w:eastAsia="fr-FR" w:bidi="ar-LB"/>
        </w:rPr>
        <w:t>coherent</w:t>
      </w:r>
      <w:r>
        <w:rPr>
          <w:lang w:val="en-US" w:eastAsia="fr-FR" w:bidi="ar-LB"/>
        </w:rPr>
        <w:t> rather than incoherent summation at all four of its frequencies, the only site in this project where this holds, because scattered energy phase-cancels in a genuinely specular-dominated propagation environment (Section 5.1, Table 5.2); Southampton's best method, in contrast, is incoherent at both its frequencies, with coherent summation taking over only beyond roughly 1500 m. Spatial variation in achievable accuracy across sites is therefore explained by identifiable, physical differences in each environment, namely building density and layout, terrain data quality, and the balance between specular and diffuse propagation, rather than by an arbitrary difference in calibration effort.</w:t>
      </w:r>
    </w:p>
    <w:p w14:paraId="11DDCF73" w14:textId="77777777" w:rsidR="003024AD" w:rsidRPr="003024AD" w:rsidRDefault="003024AD" w:rsidP="003024AD">
      <w:pPr>
        <w:rPr>
          <w:lang w:val="en-US" w:eastAsia="fr-FR" w:bidi="ar-LB"/>
        </w:rPr>
      </w:pPr>
      <w:r>
        <w:rPr>
          <w:b/>
          <w:bCs/>
          <w:lang w:val="en-US" w:eastAsia="fr-FR" w:bidi="ar-LB"/>
        </w:rPr>
        <w:t>Scattering as the dominant sensitivity (RQ1, RQ4).</w:t>
      </w:r>
      <w:r>
        <w:rPr>
          <w:lang w:val="en-US" w:eastAsia="fr-FR" w:bidi="ar-LB"/>
        </w:rPr>
        <w:t xml:space="preserve"> Table 5.2 and Figure 5.2 show that diffuse scattering is not an optional refinement but, at most sites, the mechanism that keeps the deterministic ray-tracing model connected to reality at all. London 915 MHz's collapse from R² = 0.365 to R² = −22.666 without scattering means the specular-only model performs dramatically worse than simply predicting the mean measured path loss for every receiver. This suggests that in dense urban NLOS regions, diffuse reflection from building facades, rather than specular multipath, carries most of the received energy. The one exception, Stevenage (ΔR² = 0.007, Table 5.2), is consistent with the same site's Phase-0-only calibration result: a site where propagation is genuinely specular-dominated shows both low sensitivity to the scattering coefficient and no benefit from material recalibration, since the geometric and specular component of the model is already an adequate description of the physics.</w:t>
      </w:r>
    </w:p>
    <w:p w14:paraId="056C3870" w14:textId="77777777" w:rsidR="003024AD" w:rsidRPr="003024AD" w:rsidRDefault="003024AD" w:rsidP="003024AD">
      <w:pPr>
        <w:rPr>
          <w:lang w:val="en-US" w:eastAsia="fr-FR" w:bidi="ar-LB"/>
        </w:rPr>
      </w:pPr>
      <w:r>
        <w:rPr>
          <w:b/>
          <w:bCs/>
          <w:lang w:val="en-US" w:eastAsia="fr-FR" w:bidi="ar-LB"/>
        </w:rPr>
        <w:t xml:space="preserve">Anomalies and unexpected behaviour.</w:t>
      </w:r>
      <w:r>
        <w:rPr>
          <w:lang w:val="en-US" w:eastAsia="fr-FR" w:bidi="ar-LB"/>
        </w:rPr>
        <w:t xml:space="preserve"> Two documented anomalies are worth restating here in results-interpretation terms, having already been described procedurally in Chapters 3 and 4. The first is the Nottingham 2695 MHz Run 3 versus Run 2 case (Figure 3.8, Section 3.4 Step 7): an implementation bug that left the vegetation-disc material transparent during calibration produced an R² of only −0.881, a result that could easily have been mistaken for a genuine finding about 2695 MHz propagation had it not been traced to its root cause and corrected. This stands as a caution against interpreting any single anomalous result as a physical finding without first ruling out an implementation artefact. The second is London 1802 MHz's calibration history (Table 5.3, Section 5.4), which required eight CMA-ES runs before converging, with intermediate runs failing for qualitatively different reasons: a 392x scatter-path flood, scattering-coefficient caps set too tight, and a degenerate near-vacuum permittivity solution among them. This pattern is consistent with a genuinely difficult, highly correlated optimisation landscape rather than a software defect, and is the reason CMA-ES rather than Powell was adopted for this site (Section 4.1).</w:t>
      </w:r>
    </w:p>
    <w:p>
      <w:pPr>
        <w:pStyle w:val="Heading2"/>
      </w:pPr>
      <w:r>
        <w:t xml:space="preserve">5.3 Validation of Findings</w:t>
      </w:r>
    </w:p>
    <w:p w14:paraId="3AE9E43C" w14:textId="77777777" w:rsidR="003024AD" w:rsidRPr="003024AD" w:rsidRDefault="003024AD" w:rsidP="003024AD">
      <w:pPr>
        <w:rPr>
          <w:lang w:val="en-US" w:eastAsia="fr-FR" w:bidi="ar-LB"/>
        </w:rPr>
      </w:pPr>
      <w:r>
        <w:rPr>
          <w:b/>
          <w:bCs/>
          <w:lang w:val="en-US" w:eastAsia="fr-FR" w:bidi="ar-LB"/>
        </w:rPr>
        <w:t>Comparison against a classical empirical model (RQ4).</w:t>
      </w:r>
      <w:r>
        <w:rPr>
          <w:lang w:val="en-US" w:eastAsia="fr-FR" w:bidi="ar-LB"/>
        </w:rPr>
        <w:t xml:space="preserve"> An earlier validation pass on the Nottingham 915 MHz dataset, using a differentiable ray-tracing implementation in Sionna 0.19.2 (a separate, earlier notebook track from the Sionna 2.0 pipeline that produced Table 5.1's headline results), directly compared calibrated ray tracing against the COST 231 Walfisch-Ikegami empirical model [10]. With no calibration at all, using ITU-R default materials, the ray-traced path loss already achieved approximately 17 dB RMSE against the same 1,200 Ofcom receivers, while COST 231 Walfisch-Ikegami applied to the identical scenario reports approximately 12–18 dB RMSE. After a single-parameter scalar-offset calibration, the ray-traced RMSE fell to 5.72 dB (MAE 4.50 dB), clearly below the classical model's range. This is a meaningful, like-for-like comparison rather than a restatement of the main results, since it uses an independent implementation of the same physical scene and the same ground-truth measurements. The genuine reason ray tracing outperforms COST 231 Walfisch-Ikegami here is not that the site falls outside the empirical model's stated validity range: 915 MHz, the transmitter height (17 m), and the measurement distances all lie within COST 231's documented 800–2000 MHz, 4–50 m, 20 m–5 km validity envelope [10]. The real reason is that Walfisch-Ikegami's derivation assumes reasonably uniform building rows and heights, an assumption Nottingham's mixed-height urban core (Section 4.1) does not satisfy. This directly answers RQ4: calibrated, geometry-aware ray tracing outperforms a classical empirical model not because the classical model is being misapplied outside its designed range, but because it cannot represent the specific building-height irregularity that ray tracing, by construction, does.</w:t>
      </w:r>
    </w:p>
    <w:p w14:paraId="39E59BC0" w14:textId="77777777" w:rsidR="003024AD" w:rsidRPr="003024AD" w:rsidRDefault="003024AD" w:rsidP="003024AD">
      <w:pPr>
        <w:rPr>
          <w:lang w:val="en-US" w:eastAsia="fr-FR" w:bidi="ar-LB"/>
        </w:rPr>
      </w:pPr>
      <w:r>
        <w:rPr>
          <w:b/>
          <w:bCs/>
          <w:lang w:val="en-US" w:eastAsia="fr-FR" w:bidi="ar-LB"/>
        </w:rPr>
        <w:t>Cross-validation between two independent pipelines.</w:t>
      </w:r>
      <w:r>
        <w:rPr>
          <w:lang w:val="en-US" w:eastAsia="fr-FR" w:bidi="ar-LB"/>
        </w:rPr>
        <w:t xml:space="preserve"> The same Nottingham 915 MHz site was independently evaluated by two separate implementations: the Sionna 0.19.2 differentiable-RT scalar-offset pipeline just described (5.72 dB RMSE) and the project's main Sionna 2.0 DEM pipeline using Powell material calibration (6.0 dB RMSE, R² = 0.835 at 0–750 m, Table 5.1). These two pipelines differ in ray-tracing engine version, calibration method, and receiver subset, yet they converge on closely comparable accuracy (5.72 dB versus 6.0 dB RMSE). Since the two results were not obtained by tuning one implementation to match the other, this agreement is itself a validation of the overall approach's robustness, rather than of any single calibration run.</w:t>
      </w:r>
    </w:p>
    <w:p w14:paraId="3894F94E" w14:textId="77777777" w:rsidR="003024AD" w:rsidRPr="003024AD" w:rsidRDefault="003024AD" w:rsidP="003024AD">
      <w:pPr>
        <w:rPr>
          <w:lang w:val="en-US" w:eastAsia="fr-FR" w:bidi="ar-LB"/>
        </w:rPr>
      </w:pPr>
      <w:r>
        <w:rPr>
          <w:b/>
          <w:bCs/>
          <w:lang w:val="en-US" w:eastAsia="fr-FR" w:bidi="ar-LB"/>
        </w:rPr>
        <w:t>Comparison against the shadow-fading floor.</w:t>
      </w:r>
      <w:r>
        <w:rPr>
          <w:lang w:val="en-US" w:eastAsia="fr-FR" w:bidi="ar-LB"/>
        </w:rPr>
        <w:t xml:space="preserve"> The 3GPP TR 38.901 UMa NLOS model [6] specifies a log-normal shadow-fading standard deviation of σ_SF = 7.82 dB, representing the irreducible, unmodelled path-loss variability expected in dense urban NLOS propagation independent of any specific predictor. This project's best RMSE, 6.0 dB at Nottingham 915 MHz, is below this standard's own irreducible-uncertainty floor. This indicates that at its best-performing site and frequency, the calibrated ray tracer's prediction error is comparable to, or smaller than, the shadow-fading uncertainty a purely statistical channel model would already assume. This is a strong, standards-referenced validation of the methodology. It also helps contextualise why every other site and frequency combination in Table 5.1, all of which report RMSE or R² consistent with error above this floor, should not be read as a shortfall relative to Nottingham 915 MHz specifically, but rather as operating in a regime where the 3GPP floor itself, terrain data quality, or genuine optimisation difficulty (Section 5.4) dominates.</w:t>
      </w:r>
    </w:p>
    <w:p w14:paraId="347B0FF0" w14:textId="1FF0F450" w:rsidR="00254E75" w:rsidRPr="00D23370" w:rsidRDefault="003024AD" w:rsidP="008D2888">
      <w:pPr>
        <w:rPr>
          <w:lang w:val="en-US" w:eastAsia="fr-FR" w:bidi="ar-LB"/>
        </w:rPr>
      </w:pPr>
      <w:r>
        <w:rPr>
          <w:b/>
          <w:bCs/>
          <w:lang w:val="en-US" w:eastAsia="fr-FR" w:bidi="ar-LB"/>
        </w:rPr>
        <w:t>Comparison against independent literature.</w:t>
      </w:r>
      <w:r>
        <w:rPr>
          <w:lang w:val="en-US" w:eastAsia="fr-FR" w:bidi="ar-LB"/>
        </w:rPr>
        <w:t xml:space="preserve"> The underlying received-power-to-path-loss relationship evaluated at every receiver (Equation 2.15) is the same fundamental relationship presented in standard wireless-communications references [32], giving no reason to doubt the basic physical quantity being calibrated and evaluated throughout this chapter. The calibration methodology's own architecture, a scalar-offset pre-fit followed by joint material refinement (Section 3.4, Equation 3.1), mirrors the staged approach reported by Hoydis et al. for differentiable Sionna RT calibration [3], [21], where a global scalar correction is likewise found to capture most of the achievable gain before material-level refinement. The vegetation-attenuation approach, Weissberger [18] below </w:t>
        <w:lastRenderedPageBreak/>
        <w:t xml:space="preserve">approximately 2 GHz and ITU-R P.833-10 [16] above, is validated by construction, since both are standards-derived rather than fitted models; their effectiveness is evidenced indirectly by the fact that disabling per-path vegetation correction at 3602 MHz was found necessary specifically because solid canopy geometry, not the attenuation formula itself, became physically implausible at that wavelength (Section 3.3). Finally, the general finding that calibrated ray tracing requires site-specific validation rather than a single expected accuracy figure is consistent with NYURay's own calibration literature [19], [29], which reports comparably wide variation in achievable accuracy across measurement environments and frequency bands, rather than one universal figure.</w:t>
      </w:r>
    </w:p>
    <w:p w14:paraId="79DDB995" w14:textId="77777777" w:rsidR="00254E75" w:rsidRPr="00254E75" w:rsidRDefault="00254E75" w:rsidP="00254E75">
      <w:pPr>
        <w:rPr>
          <w:lang w:val="en-US" w:eastAsia="fr-FR" w:bidi="ar-LB"/>
        </w:rPr>
      </w:pPr>
    </w:p>
    <w:p w14:paraId="1DB90C21" w14:textId="5C15601C" w:rsidR="00254E75" w:rsidRPr="00254E75" w:rsidRDefault="00254E75" w:rsidP="00B00CDD">
      <w:pPr>
        <w:pStyle w:val="Heading2"/>
        <w:rPr>
          <w:lang w:val="en-US" w:bidi="ar-LB"/>
        </w:rPr>
      </w:pPr>
      <w:bookmarkStart w:id="75" w:name="_Toc238551021"/>
      <w:r>
        <w:rPr>
          <w:lang w:val="en-US" w:bidi="ar-LB"/>
        </w:rPr>
        <w:t>5.4 Sensitivity Analysis and Limitations</w:t>
      </w:r>
      <w:bookmarkEnd w:id="75"/>
    </w:p>
    <w:p w14:paraId="2CD828D4" w14:textId="77777777" w:rsidR="00D23370" w:rsidRPr="00D23370" w:rsidRDefault="00D23370" w:rsidP="00D23370">
      <w:pPr>
        <w:jc w:val="left"/>
        <w:rPr>
          <w:lang w:val="en-US" w:eastAsia="fr-FR" w:bidi="ar-LB"/>
        </w:rPr>
      </w:pPr>
      <w:r>
        <w:rPr>
          <w:b/>
          <w:bCs/>
          <w:lang w:val="en-US" w:eastAsia="fr-FR" w:bidi="ar-LB"/>
        </w:rPr>
        <w:t xml:space="preserve">Sensitivity to the calibration optimiser: the London 1802 MHz case.</w:t>
      </w:r>
      <w:r>
        <w:rPr>
          <w:lang w:val="en-US" w:eastAsia="fr-FR" w:bidi="ar-LB"/>
        </w:rPr>
        <w:t> The clearest evidence of calibration-parameter sensitivity in this project is London 1802 MHz's calibration history.</w:t>
      </w:r>
    </w:p>
    <w:p w14:paraId="7BA30CD0" w14:textId="066014EE" w:rsidR="00D23370" w:rsidRPr="00D23370" w:rsidRDefault="00D23370" w:rsidP="00D23370">
      <w:pPr>
        <w:pStyle w:val="Caption"/>
        <w:rPr>
          <w:lang w:eastAsia="fr-FR" w:bidi="ar-LB"/>
        </w:rPr>
      </w:pPr>
      <w:r>
        <w:t xml:space="preserve">Table </w:t>
      </w:r>
      <w:fldSimple w:instr=" SEQ Table \* ARABIC ">
        <w:r>
          <w:rPr>
            <w:noProof/>
          </w:rPr>
          <w:t>15</w:t>
        </w:r>
      </w:fldSimple>
      <w:r>
        <w:t>-</w:t>
      </w:r>
      <w:r>
        <w:rPr>
          <w:lang w:eastAsia="fr-FR" w:bidi="ar-LB"/>
        </w:rPr>
        <w:t>Table 5.3 - London 1802 MHz CMA-ES calibration run history.</w:t>
      </w:r>
    </w:p>
    <w:tbl>
      <w:tblPr>
        <w:tblW w:w="0" w:type="auto"/>
        <w:tblInd w:w="285" w:type="dxa"/>
        <w:tblCellMar>
          <w:top w:w="15" w:type="dxa"/>
          <w:left w:w="15" w:type="dxa"/>
          <w:bottom w:w="15" w:type="dxa"/>
          <w:right w:w="15" w:type="dxa"/>
        </w:tblCellMar>
        <w:tblLook w:val="04A0" w:firstRow="1" w:lastRow="0" w:firstColumn="1" w:lastColumn="0" w:noHBand="0" w:noVBand="1"/>
      </w:tblPr>
      <w:tblGrid>
        <w:gridCol w:w="959"/>
        <w:gridCol w:w="1990"/>
        <w:gridCol w:w="1533"/>
        <w:gridCol w:w="5477"/>
      </w:tblGrid>
      <w:tr w:rsidR="00D23370" w:rsidRPr="00D23370" w14:paraId="25F227CF" w14:textId="77777777" w:rsidTr="00D23370">
        <w:trPr>
          <w:tblHeader/>
        </w:trPr>
        <w:tc>
          <w:tcPr>
            <w:tcW w:w="959"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92F8E2C" w14:textId="77777777" w:rsidR="00D23370" w:rsidRPr="00D23370" w:rsidRDefault="00D23370" w:rsidP="00D23370">
            <w:pPr>
              <w:jc w:val="left"/>
              <w:rPr>
                <w:b/>
                <w:bCs/>
                <w:lang w:val="en-US" w:eastAsia="fr-FR" w:bidi="ar-LB"/>
              </w:rPr>
            </w:pPr>
            <w:r>
              <w:rPr>
                <w:b/>
                <w:bCs/>
                <w:lang w:val="en-US" w:eastAsia="fr-FR" w:bidi="ar-LB"/>
              </w:rPr>
              <w:t>Run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6E00ED" w14:textId="77777777" w:rsidR="00D23370" w:rsidRPr="00D23370" w:rsidRDefault="00D23370" w:rsidP="00D23370">
            <w:pPr>
              <w:jc w:val="left"/>
              <w:rPr>
                <w:b/>
                <w:bCs/>
                <w:lang w:val="en-US" w:eastAsia="fr-FR" w:bidi="ar-LB"/>
              </w:rPr>
            </w:pPr>
            <w:r>
              <w:rPr>
                <w:b/>
                <w:bCs/>
                <w:lang w:val="en-US" w:eastAsia="fr-FR" w:bidi="ar-LB"/>
              </w:rPr>
              <w:t>Calibration RMSE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7268739" w14:textId="77777777" w:rsidR="00D23370" w:rsidRPr="00D23370" w:rsidRDefault="00D23370" w:rsidP="00D23370">
            <w:pPr>
              <w:jc w:val="left"/>
              <w:rPr>
                <w:b/>
                <w:bCs/>
                <w:lang w:val="en-US" w:eastAsia="fr-FR" w:bidi="ar-LB"/>
              </w:rPr>
            </w:pPr>
            <w:r>
              <w:rPr>
                <w:b/>
                <w:bCs/>
                <w:lang w:val="en-US" w:eastAsia="fr-FR" w:bidi="ar-LB"/>
              </w:rPr>
              <w:t>Scalar offset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C1E6AC1" w14:textId="77777777" w:rsidR="00D23370" w:rsidRPr="00D23370" w:rsidRDefault="00D23370" w:rsidP="00D23370">
            <w:pPr>
              <w:jc w:val="left"/>
              <w:rPr>
                <w:b/>
                <w:bCs/>
                <w:lang w:val="en-US" w:eastAsia="fr-FR" w:bidi="ar-LB"/>
              </w:rPr>
            </w:pPr>
            <w:r>
              <w:rPr>
                <w:b/>
                <w:bCs/>
                <w:lang w:val="en-US" w:eastAsia="fr-FR" w:bidi="ar-LB"/>
              </w:rPr>
              <w:t>Outcome</w:t>
            </w:r>
          </w:p>
        </w:tc>
      </w:tr>
      <w:tr w:rsidR="00D23370" w:rsidRPr="00D23370" w14:paraId="73F9A308" w14:textId="77777777" w:rsidTr="00D23370">
        <w:tc>
          <w:tcPr>
            <w:tcW w:w="959"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5EE04CB" w14:textId="77777777" w:rsidR="00D23370" w:rsidRPr="00D23370" w:rsidRDefault="00D23370" w:rsidP="00D23370">
            <w:pPr>
              <w:jc w:val="left"/>
              <w:rPr>
                <w:lang w:val="en-US" w:eastAsia="fr-FR" w:bidi="ar-LB"/>
              </w:rPr>
            </w:pPr>
            <w:r>
              <w:rPr>
                <w:lang w:val="en-US" w:eastAsia="fr-FR" w:bidi="ar-LB"/>
              </w:rPr>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3ABC5C" w14:textId="77777777" w:rsidR="00D23370" w:rsidRPr="00D23370" w:rsidRDefault="00D23370" w:rsidP="00D23370">
            <w:pPr>
              <w:jc w:val="left"/>
              <w:rPr>
                <w:lang w:val="en-US" w:eastAsia="fr-FR" w:bidi="ar-LB"/>
              </w:rPr>
            </w:pPr>
            <w:r>
              <w:rPr>
                <w:lang w:val="en-US" w:eastAsia="fr-FR" w:bidi="ar-LB"/>
              </w:rPr>
              <w:t>12.477 dB</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58DC62" w14:textId="77777777" w:rsidR="00D23370" w:rsidRPr="00D23370" w:rsidRDefault="00D23370" w:rsidP="00D23370">
            <w:pPr>
              <w:jc w:val="left"/>
              <w:rPr>
                <w:lang w:val="en-US" w:eastAsia="fr-FR" w:bidi="ar-LB"/>
              </w:rPr>
            </w:pPr>
            <w:r>
              <w:rPr>
                <w:lang w:val="en-US" w:eastAsia="fr-FR" w:bidi="ar-LB"/>
              </w:rPr>
              <w:t>+30.030 dB</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0B4F9A" w14:textId="77777777" w:rsidR="00D23370" w:rsidRPr="00D23370" w:rsidRDefault="00D23370" w:rsidP="00D23370">
            <w:pPr>
              <w:jc w:val="left"/>
              <w:rPr>
                <w:lang w:val="en-US" w:eastAsia="fr-FR" w:bidi="ar-LB"/>
              </w:rPr>
            </w:pPr>
            <w:r>
              <w:rPr>
                <w:lang w:val="en-US" w:eastAsia="fr-FR" w:bidi="ar-LB"/>
              </w:rPr>
              <w:t>Failed: kernel hung at evaluation 605; 392x scatter-path flood</w:t>
            </w:r>
          </w:p>
        </w:tc>
      </w:tr>
      <w:tr w:rsidR="00D23370" w:rsidRPr="00D23370" w14:paraId="5B290218" w14:textId="77777777" w:rsidTr="00D23370">
        <w:tc>
          <w:tcPr>
            <w:tcW w:w="95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AF04CD0" w14:textId="77777777" w:rsidR="00D23370" w:rsidRPr="00D23370" w:rsidRDefault="00D23370" w:rsidP="00D23370">
            <w:pPr>
              <w:jc w:val="left"/>
              <w:rPr>
                <w:lang w:val="en-US" w:eastAsia="fr-FR" w:bidi="ar-LB"/>
              </w:rPr>
            </w:pPr>
            <w:r>
              <w:rPr>
                <w:lang w:val="en-US" w:eastAsia="fr-FR" w:bidi="ar-LB"/>
              </w:rPr>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FBF9868" w14:textId="77777777" w:rsidR="00D23370" w:rsidRPr="00D23370" w:rsidRDefault="00D23370" w:rsidP="00D23370">
            <w:pPr>
              <w:jc w:val="left"/>
              <w:rPr>
                <w:lang w:val="en-US" w:eastAsia="fr-FR" w:bidi="ar-LB"/>
              </w:rPr>
            </w:pPr>
            <w:r>
              <w:rPr>
                <w:lang w:val="en-US" w:eastAsia="fr-FR" w:bidi="ar-LB"/>
              </w:rPr>
              <w:t>15.584 dB</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446CD9B" w14:textId="77777777" w:rsidR="00D23370" w:rsidRPr="00D23370" w:rsidRDefault="00D23370" w:rsidP="00D23370">
            <w:pPr>
              <w:jc w:val="left"/>
              <w:rPr>
                <w:lang w:val="en-US" w:eastAsia="fr-FR" w:bidi="ar-LB"/>
              </w:rPr>
            </w:pPr>
            <w:r>
              <w:rPr>
                <w:lang w:val="en-US" w:eastAsia="fr-FR" w:bidi="ar-LB"/>
              </w:rPr>
              <w:t>n/a</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4AAF04" w14:textId="77777777" w:rsidR="00D23370" w:rsidRPr="00D23370" w:rsidRDefault="00D23370" w:rsidP="00D23370">
            <w:pPr>
              <w:jc w:val="left"/>
              <w:rPr>
                <w:lang w:val="en-US" w:eastAsia="fr-FR" w:bidi="ar-LB"/>
              </w:rPr>
            </w:pPr>
            <w:r>
              <w:rPr>
                <w:lang w:val="en-US" w:eastAsia="fr-FR" w:bidi="ar-LB"/>
              </w:rPr>
              <w:t>Failed: scattering-coefficient caps (0.35) too tight; search stalled</w:t>
            </w:r>
          </w:p>
        </w:tc>
      </w:tr>
      <w:tr w:rsidR="00D23370" w:rsidRPr="00D23370" w14:paraId="5E9139AD" w14:textId="77777777" w:rsidTr="00D23370">
        <w:tc>
          <w:tcPr>
            <w:tcW w:w="959"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424429" w14:textId="77777777" w:rsidR="00D23370" w:rsidRPr="00D23370" w:rsidRDefault="00D23370" w:rsidP="00D23370">
            <w:pPr>
              <w:jc w:val="left"/>
              <w:rPr>
                <w:lang w:val="en-US" w:eastAsia="fr-FR" w:bidi="ar-LB"/>
              </w:rPr>
            </w:pPr>
            <w:r>
              <w:rPr>
                <w:lang w:val="en-US" w:eastAsia="fr-FR" w:bidi="ar-LB"/>
              </w:rPr>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3DB2E2" w14:textId="77777777" w:rsidR="00D23370" w:rsidRPr="00D23370" w:rsidRDefault="00D23370" w:rsidP="00D23370">
            <w:pPr>
              <w:jc w:val="left"/>
              <w:rPr>
                <w:lang w:val="en-US" w:eastAsia="fr-FR" w:bidi="ar-LB"/>
              </w:rPr>
            </w:pPr>
            <w:r>
              <w:rPr>
                <w:lang w:val="en-US" w:eastAsia="fr-FR" w:bidi="ar-LB"/>
              </w:rPr>
              <w:t>14.891 dB</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0467B6" w14:textId="77777777" w:rsidR="00D23370" w:rsidRPr="00D23370" w:rsidRDefault="00D23370" w:rsidP="00D23370">
            <w:pPr>
              <w:jc w:val="left"/>
              <w:rPr>
                <w:lang w:val="en-US" w:eastAsia="fr-FR" w:bidi="ar-LB"/>
              </w:rPr>
            </w:pPr>
            <w:r>
              <w:rPr>
                <w:lang w:val="en-US" w:eastAsia="fr-FR" w:bidi="ar-LB"/>
              </w:rPr>
              <w:t>+30.696 dB</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20B8245" w14:textId="77777777" w:rsidR="00D23370" w:rsidRPr="00D23370" w:rsidRDefault="00D23370" w:rsidP="00D23370">
            <w:pPr>
              <w:jc w:val="left"/>
              <w:rPr>
                <w:lang w:val="en-US" w:eastAsia="fr-FR" w:bidi="ar-LB"/>
              </w:rPr>
            </w:pPr>
            <w:r>
              <w:rPr>
                <w:lang w:val="en-US" w:eastAsia="fr-FR" w:bidi="ar-LB"/>
              </w:rPr>
              <w:t>Failed: brick scattering coefficient pinned at its cap</w:t>
            </w:r>
          </w:p>
        </w:tc>
      </w:tr>
      <w:tr w:rsidR="00D23370" w:rsidRPr="00D23370" w14:paraId="77BC9840" w14:textId="77777777" w:rsidTr="00D23370">
        <w:tc>
          <w:tcPr>
            <w:tcW w:w="95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5E8CED" w14:textId="77777777" w:rsidR="00D23370" w:rsidRPr="00D23370" w:rsidRDefault="00D23370" w:rsidP="00D23370">
            <w:pPr>
              <w:jc w:val="left"/>
              <w:rPr>
                <w:lang w:val="en-US" w:eastAsia="fr-FR" w:bidi="ar-LB"/>
              </w:rPr>
            </w:pPr>
            <w:r>
              <w:rPr>
                <w:b/>
                <w:bCs/>
                <w:lang w:val="en-US" w:eastAsia="fr-FR" w:bidi="ar-LB"/>
              </w:rPr>
              <w:t>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A5102DD" w14:textId="77777777" w:rsidR="00D23370" w:rsidRPr="00D23370" w:rsidRDefault="00D23370" w:rsidP="00D23370">
            <w:pPr>
              <w:jc w:val="left"/>
              <w:rPr>
                <w:lang w:val="en-US" w:eastAsia="fr-FR" w:bidi="ar-LB"/>
              </w:rPr>
            </w:pPr>
            <w:r>
              <w:rPr>
                <w:b/>
                <w:bCs/>
                <w:lang w:val="en-US" w:eastAsia="fr-FR" w:bidi="ar-LB"/>
              </w:rPr>
              <w:t>13.829 dB</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E7BCEA" w14:textId="77777777" w:rsidR="00D23370" w:rsidRPr="00D23370" w:rsidRDefault="00D23370" w:rsidP="00D23370">
            <w:pPr>
              <w:jc w:val="left"/>
              <w:rPr>
                <w:lang w:val="en-US" w:eastAsia="fr-FR" w:bidi="ar-LB"/>
              </w:rPr>
            </w:pPr>
            <w:r>
              <w:rPr>
                <w:b/>
                <w:bCs/>
                <w:lang w:val="en-US" w:eastAsia="fr-FR" w:bidi="ar-LB"/>
              </w:rPr>
              <w:t>+30.696 dB</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54734AC" w14:textId="77777777" w:rsidR="00D23370" w:rsidRPr="00D23370" w:rsidRDefault="00D23370" w:rsidP="00D23370">
            <w:pPr>
              <w:jc w:val="left"/>
              <w:rPr>
                <w:lang w:val="en-US" w:eastAsia="fr-FR" w:bidi="ar-LB"/>
              </w:rPr>
            </w:pPr>
            <w:r>
              <w:rPr>
                <w:b/>
                <w:bCs/>
                <w:lang w:val="en-US" w:eastAsia="fr-FR" w:bidi="ar-LB"/>
              </w:rPr>
              <w:t>Accepted: R² = 0.365, treated as the physics floor</w:t>
            </w:r>
          </w:p>
        </w:tc>
      </w:tr>
      <w:tr w:rsidR="00D23370" w:rsidRPr="00D23370" w14:paraId="65C0AEB2" w14:textId="77777777" w:rsidTr="00D23370">
        <w:tc>
          <w:tcPr>
            <w:tcW w:w="959"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29D36D" w14:textId="77777777" w:rsidR="00D23370" w:rsidRPr="00D23370" w:rsidRDefault="00D23370" w:rsidP="00D23370">
            <w:pPr>
              <w:jc w:val="left"/>
              <w:rPr>
                <w:lang w:val="en-US" w:eastAsia="fr-FR" w:bidi="ar-LB"/>
              </w:rPr>
            </w:pPr>
            <w:r>
              <w:rPr>
                <w:lang w:val="en-US" w:eastAsia="fr-FR" w:bidi="ar-LB"/>
              </w:rPr>
              <w:t>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4A0BFF5" w14:textId="77777777" w:rsidR="00D23370" w:rsidRPr="00D23370" w:rsidRDefault="00D23370" w:rsidP="00D23370">
            <w:pPr>
              <w:jc w:val="left"/>
              <w:rPr>
                <w:lang w:val="en-US" w:eastAsia="fr-FR" w:bidi="ar-LB"/>
              </w:rPr>
            </w:pPr>
            <w:r>
              <w:rPr>
                <w:lang w:val="en-US" w:eastAsia="fr-FR" w:bidi="ar-LB"/>
              </w:rPr>
              <w:t>2.779 dB</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5F0FF28" w14:textId="77777777" w:rsidR="00D23370" w:rsidRPr="00D23370" w:rsidRDefault="00D23370" w:rsidP="00D23370">
            <w:pPr>
              <w:jc w:val="left"/>
              <w:rPr>
                <w:lang w:val="en-US" w:eastAsia="fr-FR" w:bidi="ar-LB"/>
              </w:rPr>
            </w:pPr>
            <w:r>
              <w:rPr>
                <w:lang w:val="en-US" w:eastAsia="fr-FR" w:bidi="ar-LB"/>
              </w:rPr>
              <w:t>+31.035 dB</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7983C4" w14:textId="77777777" w:rsidR="00D23370" w:rsidRPr="00D23370" w:rsidRDefault="00D23370" w:rsidP="00D23370">
            <w:pPr>
              <w:jc w:val="left"/>
              <w:rPr>
                <w:lang w:val="en-US" w:eastAsia="fr-FR" w:bidi="ar-LB"/>
              </w:rPr>
            </w:pPr>
            <w:r>
              <w:rPr>
                <w:lang w:val="en-US" w:eastAsia="fr-FR" w:bidi="ar-LB"/>
              </w:rPr>
              <w:t>Failed: only 26 calibration receivers; degenerate overfit</w:t>
            </w:r>
          </w:p>
        </w:tc>
      </w:tr>
      <w:tr w:rsidR="00D23370" w:rsidRPr="00D23370" w14:paraId="025C55D4" w14:textId="77777777" w:rsidTr="00D23370">
        <w:tc>
          <w:tcPr>
            <w:tcW w:w="95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BFAE138" w14:textId="77777777" w:rsidR="00D23370" w:rsidRPr="00D23370" w:rsidRDefault="00D23370" w:rsidP="00D23370">
            <w:pPr>
              <w:jc w:val="left"/>
              <w:rPr>
                <w:lang w:val="en-US" w:eastAsia="fr-FR" w:bidi="ar-LB"/>
              </w:rPr>
            </w:pPr>
            <w:r>
              <w:rPr>
                <w:lang w:val="en-US" w:eastAsia="fr-FR" w:bidi="ar-LB"/>
              </w:rPr>
              <w:t>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9EF32A" w14:textId="77777777" w:rsidR="00D23370" w:rsidRPr="00D23370" w:rsidRDefault="00D23370" w:rsidP="00D23370">
            <w:pPr>
              <w:jc w:val="left"/>
              <w:rPr>
                <w:lang w:val="en-US" w:eastAsia="fr-FR" w:bidi="ar-LB"/>
              </w:rPr>
            </w:pPr>
            <w:r>
              <w:rPr>
                <w:lang w:val="en-US" w:eastAsia="fr-FR" w:bidi="ar-LB"/>
              </w:rPr>
              <w:t>4.957 dB</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E37996" w14:textId="77777777" w:rsidR="00D23370" w:rsidRPr="00D23370" w:rsidRDefault="00D23370" w:rsidP="00D23370">
            <w:pPr>
              <w:jc w:val="left"/>
              <w:rPr>
                <w:lang w:val="en-US" w:eastAsia="fr-FR" w:bidi="ar-LB"/>
              </w:rPr>
            </w:pPr>
            <w:r>
              <w:rPr>
                <w:lang w:val="en-US" w:eastAsia="fr-FR" w:bidi="ar-LB"/>
              </w:rPr>
              <w:t>+32.791 dB</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FBC3579" w14:textId="77777777" w:rsidR="00D23370" w:rsidRPr="00D23370" w:rsidRDefault="00D23370" w:rsidP="00D23370">
            <w:pPr>
              <w:jc w:val="left"/>
              <w:rPr>
                <w:lang w:val="en-US" w:eastAsia="fr-FR" w:bidi="ar-LB"/>
              </w:rPr>
            </w:pPr>
            <w:r>
              <w:rPr>
                <w:lang w:val="en-US" w:eastAsia="fr-FR" w:bidi="ar-LB"/>
              </w:rPr>
              <w:t>Failed: per-distance-bin scalars diverged to −37 to −55 dB</w:t>
            </w:r>
          </w:p>
        </w:tc>
      </w:tr>
      <w:tr w:rsidR="00D23370" w:rsidRPr="00D23370" w14:paraId="1BEA6097" w14:textId="77777777" w:rsidTr="00D23370">
        <w:tc>
          <w:tcPr>
            <w:tcW w:w="959"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554497" w14:textId="77777777" w:rsidR="00D23370" w:rsidRPr="00D23370" w:rsidRDefault="00D23370" w:rsidP="00D23370">
            <w:pPr>
              <w:jc w:val="left"/>
              <w:rPr>
                <w:lang w:val="en-US" w:eastAsia="fr-FR" w:bidi="ar-LB"/>
              </w:rPr>
            </w:pPr>
            <w:r>
              <w:rPr>
                <w:lang w:val="en-US" w:eastAsia="fr-FR" w:bidi="ar-LB"/>
              </w:rPr>
              <w:t>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350C89" w14:textId="77777777" w:rsidR="00D23370" w:rsidRPr="00D23370" w:rsidRDefault="00D23370" w:rsidP="00D23370">
            <w:pPr>
              <w:jc w:val="left"/>
              <w:rPr>
                <w:lang w:val="en-US" w:eastAsia="fr-FR" w:bidi="ar-LB"/>
              </w:rPr>
            </w:pPr>
            <w:r>
              <w:rPr>
                <w:lang w:val="en-US" w:eastAsia="fr-FR" w:bidi="ar-LB"/>
              </w:rPr>
              <w:t>~12.575 dB</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2E864F" w14:textId="77777777" w:rsidR="00D23370" w:rsidRPr="00D23370" w:rsidRDefault="00D23370" w:rsidP="00D23370">
            <w:pPr>
              <w:jc w:val="left"/>
              <w:rPr>
                <w:lang w:val="en-US" w:eastAsia="fr-FR" w:bidi="ar-LB"/>
              </w:rPr>
            </w:pPr>
            <w:r>
              <w:rPr>
                <w:lang w:val="en-US" w:eastAsia="fr-FR" w:bidi="ar-LB"/>
              </w:rPr>
              <w:t>+30.032 dB</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E37AC9" w14:textId="77777777" w:rsidR="00D23370" w:rsidRPr="00D23370" w:rsidRDefault="00D23370" w:rsidP="00D23370">
            <w:pPr>
              <w:jc w:val="left"/>
              <w:rPr>
                <w:lang w:val="en-US" w:eastAsia="fr-FR" w:bidi="ar-LB"/>
              </w:rPr>
            </w:pPr>
            <w:r>
              <w:rPr>
                <w:lang w:val="en-US" w:eastAsia="fr-FR" w:bidi="ar-LB"/>
              </w:rPr>
              <w:t xml:space="preserve">Failed: glass permittivity converged to a degenerate εr = 1.086</w:t>
            </w:r>
          </w:p>
        </w:tc>
      </w:tr>
      <w:tr w:rsidR="00D23370" w:rsidRPr="00D23370" w14:paraId="0C3D74EB" w14:textId="77777777" w:rsidTr="00D23370">
        <w:tc>
          <w:tcPr>
            <w:tcW w:w="95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988462B" w14:textId="77777777" w:rsidR="00D23370" w:rsidRPr="00D23370" w:rsidRDefault="00D23370" w:rsidP="00D23370">
            <w:pPr>
              <w:jc w:val="left"/>
              <w:rPr>
                <w:lang w:val="en-US" w:eastAsia="fr-FR" w:bidi="ar-LB"/>
              </w:rPr>
            </w:pPr>
            <w:r>
              <w:rPr>
                <w:lang w:val="en-US" w:eastAsia="fr-FR" w:bidi="ar-LB"/>
              </w:rPr>
              <w:t>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F893C5" w14:textId="77777777" w:rsidR="00D23370" w:rsidRPr="00D23370" w:rsidRDefault="00D23370" w:rsidP="00D23370">
            <w:pPr>
              <w:jc w:val="left"/>
              <w:rPr>
                <w:lang w:val="en-US" w:eastAsia="fr-FR" w:bidi="ar-LB"/>
              </w:rPr>
            </w:pPr>
            <w:r>
              <w:rPr>
                <w:lang w:val="en-US" w:eastAsia="fr-FR" w:bidi="ar-LB"/>
              </w:rPr>
              <w:t>12.368 dB</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A49D698" w14:textId="77777777" w:rsidR="00D23370" w:rsidRPr="00D23370" w:rsidRDefault="00D23370" w:rsidP="00D23370">
            <w:pPr>
              <w:jc w:val="left"/>
              <w:rPr>
                <w:lang w:val="en-US" w:eastAsia="fr-FR" w:bidi="ar-LB"/>
              </w:rPr>
            </w:pPr>
            <w:r>
              <w:rPr>
                <w:lang w:val="en-US" w:eastAsia="fr-FR" w:bidi="ar-LB"/>
              </w:rPr>
              <w:t>+32.721 dB</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DBA3985" w14:textId="77777777" w:rsidR="00D23370" w:rsidRPr="00D23370" w:rsidRDefault="00D23370" w:rsidP="00D23370">
            <w:pPr>
              <w:jc w:val="left"/>
              <w:rPr>
                <w:lang w:val="en-US" w:eastAsia="fr-FR" w:bidi="ar-LB"/>
              </w:rPr>
            </w:pPr>
            <w:r>
              <w:rPr>
                <w:lang w:val="en-US" w:eastAsia="fr-FR" w:bidi="ar-LB"/>
              </w:rPr>
              <w:t>Failed: 365x scatter-path flood; −31.5 dB bias at 0–100 m</w:t>
            </w:r>
          </w:p>
        </w:tc>
      </w:tr>
    </w:tbl>
    <w:p w14:paraId="5069FB78" w14:textId="77777777" w:rsidR="00D23370" w:rsidRDefault="00D23370" w:rsidP="00D23370">
      <w:pPr>
        <w:jc w:val="left"/>
        <w:rPr>
          <w:i/>
          <w:iCs/>
          <w:lang w:val="en-US" w:eastAsia="fr-FR" w:bidi="ar-LB"/>
        </w:rPr>
      </w:pPr>
    </w:p>
    <w:p w14:paraId="2CBB076E" w14:textId="1FA7CAB0" w:rsidR="00D23370" w:rsidRDefault="00D23370" w:rsidP="00D23370">
      <w:pPr>
        <w:jc w:val="left"/>
        <w:rPr>
          <w:i/>
          <w:iCs/>
          <w:lang w:val="en-US" w:eastAsia="fr-FR" w:bidi="ar-LB"/>
        </w:rPr>
      </w:pPr>
      <w:r>
        <w:rPr>
          <w:i/>
          <w:iCs/>
          <w:lang w:val="en-US" w:eastAsia="fr-FR" w:bidi="ar-LB"/>
        </w:rPr>
        <w:t>Table 5.3 - Eight independent CMA-ES runs were required before a stable, physically defensible result was accepted, illustrating that this project's reported accuracy figures reflect a deliberately validated convergence rather than the first calibration attempt.</w:t>
      </w:r>
    </w:p>
    <w:p w14:paraId="031787ED" w14:textId="77777777" w:rsidR="00D23370" w:rsidRPr="00D23370" w:rsidRDefault="00D23370" w:rsidP="00D23370">
      <w:pPr>
        <w:jc w:val="left"/>
        <w:rPr>
          <w:lang w:val="en-US" w:eastAsia="fr-FR" w:bidi="ar-LB"/>
        </w:rPr>
      </w:pPr>
    </w:p>
    <w:p w14:paraId="26F52A19" w14:textId="77777777" w:rsidR="00D23370" w:rsidRDefault="00D23370" w:rsidP="00D23370">
      <w:pPr>
        <w:pStyle w:val="Caption"/>
      </w:pPr>
      <w:r>
        <w:lastRenderedPageBreak/>
        <w:t xml:space="preserve">Figure </w:t>
      </w:r>
      <w:fldSimple w:instr=" SEQ Figure \* ARABIC ">
        <w:r>
          <w:rPr>
            <w:noProof/>
          </w:rPr>
          <w:t>21</w:t>
        </w:r>
      </w:fldSimple>
      <w:r>
        <w:t xml:space="preserve">- FIGURE 5.6 - PLACEHOLDER - requires real notebook output, not fabricated] Calibration RMSE-versus-evaluation curve for one or more CMA-ES runs </w:t>
      </w:r>
    </w:p>
    <w:p w14:paraId="40F5E1D2" w14:textId="77777777" w:rsidR="00D23370" w:rsidRPr="00D23370" w:rsidRDefault="00D23370" w:rsidP="00D23370">
      <w:pPr>
        <w:shd w:val="clear" w:color="auto" w:fill="FFFFFF"/>
        <w:spacing w:after="240" w:line="240" w:lineRule="auto"/>
        <w:jc w:val="left"/>
        <w:rPr>
          <w:rFonts w:eastAsia="Times New Roman"/>
          <w:color w:val="1F2328"/>
          <w:szCs w:val="20"/>
          <w:lang w:val="en-US"/>
        </w:rPr>
      </w:pPr>
      <w:r>
        <w:rPr>
          <w:rFonts w:eastAsia="Times New Roman"/>
          <w:color w:val="1F2328"/>
          <w:szCs w:val="20"/>
          <w:lang w:val="en-US"/>
        </w:rPr>
        <w:t xml:space="preserve">This history demonstrates two distinct classes of sensitivity. The first is sensitivity to per-material scattering-coefficient bounds (Runs 2–3), where caps set even moderately too tight prevent the optimiser from reaching a genuine minimum. The second is sensitivity to the calibration receiver subset (Run 5), where an insufficiently large or representative sample allows the optimiser to overfit rather than generalise. This is the same class of risk that the coverage-fraction and minimum-valid-path constraints (Section 3.3, Table 4.6) were designed to catch elsewhere in the project.</w:t>
      </w:r>
    </w:p>
    <w:p w14:paraId="33E51546" w14:textId="77777777" w:rsidR="00D23370" w:rsidRPr="00D23370" w:rsidRDefault="00D23370" w:rsidP="00D23370">
      <w:pPr>
        <w:shd w:val="clear" w:color="auto" w:fill="FFFFFF"/>
        <w:spacing w:after="240" w:line="240" w:lineRule="auto"/>
        <w:jc w:val="left"/>
        <w:rPr>
          <w:rFonts w:eastAsia="Times New Roman"/>
          <w:color w:val="1F2328"/>
          <w:szCs w:val="20"/>
          <w:lang w:val="en-US"/>
        </w:rPr>
      </w:pPr>
      <w:r>
        <w:rPr>
          <w:rFonts w:eastAsia="Times New Roman"/>
          <w:b/>
          <w:bCs/>
          <w:color w:val="1F2328"/>
          <w:szCs w:val="20"/>
          <w:lang w:val="en-US"/>
        </w:rPr>
        <w:t>Sensitivity to terrain data resolution.</w:t>
      </w:r>
      <w:r>
        <w:rPr>
          <w:rFonts w:eastAsia="Times New Roman"/>
          <w:color w:val="1F2328"/>
          <w:szCs w:val="20"/>
          <w:lang w:val="en-US"/>
        </w:rPr>
        <w:t> Scar Hill's R² = 0.083, an order of magnitude below every other site, is attributable to its SRTM 30 m terrain input rather than a calibration or modelling shortfall: the English sites use 1 m EA LiDAR terrain, a 30x finer horizontal resolution [30]. This is treated as a stated boundary condition on this project's conclusions. The achievable accuracy figures in Table 5.1 should not be read as representative of calibrated ray tracing's accuracy ceiling in general, but as conditional on terrain data quality, which varied by an order of magnitude across the sites studied.</w:t>
      </w:r>
    </w:p>
    <w:p w14:paraId="766DEC0D" w14:textId="77777777" w:rsidR="00D23370" w:rsidRPr="00D23370" w:rsidRDefault="00D23370" w:rsidP="00D23370">
      <w:pPr>
        <w:shd w:val="clear" w:color="auto" w:fill="FFFFFF"/>
        <w:spacing w:after="240" w:line="240" w:lineRule="auto"/>
        <w:jc w:val="left"/>
        <w:rPr>
          <w:rFonts w:eastAsia="Times New Roman"/>
          <w:color w:val="1F2328"/>
          <w:szCs w:val="20"/>
          <w:lang w:val="en-US"/>
        </w:rPr>
      </w:pPr>
      <w:r>
        <w:rPr>
          <w:rFonts w:eastAsia="Times New Roman"/>
          <w:b/>
          <w:bCs/>
          <w:color w:val="1F2328"/>
          <w:szCs w:val="20"/>
          <w:lang w:val="en-US"/>
        </w:rPr>
        <w:t>Sensitivity to calibration range relative to the dual-slope breakpoint.</w:t>
      </w:r>
      <w:r>
        <w:rPr>
          <w:rFonts w:eastAsia="Times New Roman"/>
          <w:color w:val="1F2328"/>
          <w:szCs w:val="20"/>
          <w:lang w:val="en-US"/>
        </w:rPr>
        <w:t xml:space="preserve"> As already established in Section 4.4, extending the Nottingham 2695 MHz calibration range across the dual-slope breakpoint distance R_bp = 916 m mixes two distinct propagation regimes, and was found to collapse R² from 0.246 (single-regime calibration within 1.0 km) to 0.173 (calibration extended to 1.5 km). This result is restated here because it bounds how the calibration-range parameter itself should be interpreted: it is not a free hyperparameter to be maximised, but one constrained by the physics of where the propagation regime itself changes.</w:t>
      </w:r>
    </w:p>
    <w:p w14:paraId="7205B5D1" w14:textId="77777777" w:rsidR="00D23370" w:rsidRPr="00D23370" w:rsidRDefault="00D23370" w:rsidP="00D23370">
      <w:pPr>
        <w:shd w:val="clear" w:color="auto" w:fill="FFFFFF"/>
        <w:spacing w:after="240" w:line="240" w:lineRule="auto"/>
        <w:jc w:val="left"/>
        <w:rPr>
          <w:rFonts w:eastAsia="Times New Roman"/>
          <w:color w:val="1F2328"/>
          <w:szCs w:val="20"/>
          <w:lang w:val="en-US"/>
        </w:rPr>
      </w:pPr>
      <w:r>
        <w:rPr>
          <w:rFonts w:eastAsia="Times New Roman"/>
          <w:b/>
          <w:bCs/>
          <w:color w:val="1F2328"/>
          <w:szCs w:val="20"/>
          <w:lang w:val="en-US"/>
        </w:rPr>
        <w:t>Sensitivity to sample count (Monte Carlo noise floor).</w:t>
      </w:r>
      <w:r>
        <w:rPr>
          <w:rFonts w:eastAsia="Times New Roman"/>
          <w:color w:val="1F2328"/>
          <w:szCs w:val="20"/>
          <w:lang w:val="en-US"/>
        </w:rPr>
        <w:t xml:space="preserve"> As established in Section 3.4, Step 4, the Monte Carlo noise floor at the 30 M sample count used for calibration is as low as ±0.12 dB. This is a residual stochastic uncertainty present in every RMSE and R² figure reported in this chapter; it is small relative to the differences between sites, but not zero, which is why the pipeline includes an explicit 3-probe sensitivity check (Section 3.4, Step 7; Table 4.6) to distinguish genuine parameter sensitivity from sampling noise.</w:t>
      </w:r>
    </w:p>
    <w:p w14:paraId="601CFFF2" w14:textId="77777777" w:rsidR="00D23370" w:rsidRPr="00D23370" w:rsidRDefault="00D23370" w:rsidP="00D23370">
      <w:pPr>
        <w:shd w:val="clear" w:color="auto" w:fill="FFFFFF"/>
        <w:spacing w:after="240" w:line="240" w:lineRule="auto"/>
        <w:jc w:val="left"/>
        <w:rPr>
          <w:rFonts w:eastAsia="Times New Roman"/>
          <w:color w:val="1F2328"/>
          <w:szCs w:val="20"/>
          <w:lang w:val="en-US"/>
        </w:rPr>
      </w:pPr>
      <w:r>
        <w:rPr>
          <w:rFonts w:eastAsia="Times New Roman"/>
          <w:b/>
          <w:bCs/>
          <w:color w:val="1F2328"/>
          <w:szCs w:val="20"/>
          <w:lang w:val="en-US"/>
        </w:rPr>
        <w:t>Sample-size limitations by frequency.</w:t>
      </w:r>
      <w:r>
        <w:rPr>
          <w:rFonts w:eastAsia="Times New Roman"/>
          <w:color w:val="1F2328"/>
          <w:szCs w:val="20"/>
          <w:lang w:val="en-US"/>
        </w:rPr>
        <w:t xml:space="preserve"> Table 4.5's Ofcom dataset statistics show that the number of usable calibration receivers falls sharply at higher frequencies and shorter calibration ranges. Nottingham 2695 MHz, for example, reduces from 261,967 raw measurements to 36,351 receivers falling inside the scene, and further to only 373 receivers within the 1.0 km calibration range (Section 4.3). Results at these frequencies therefore rest on a smaller effective sample than the 915 MHz results, and the corresponding R² figures (Table 5.1) should be read with correspondingly wider, if unquantified, statistical uncertainty.</w:t>
      </w:r>
    </w:p>
    <w:p w14:paraId="5393CBD7" w14:textId="77777777" w:rsidR="00D23370" w:rsidRPr="00D23370" w:rsidRDefault="00D23370" w:rsidP="00D23370">
      <w:pPr>
        <w:shd w:val="clear" w:color="auto" w:fill="FFFFFF"/>
        <w:spacing w:after="240" w:line="240" w:lineRule="auto"/>
        <w:jc w:val="left"/>
        <w:rPr>
          <w:rFonts w:eastAsia="Times New Roman"/>
          <w:color w:val="1F2328"/>
          <w:szCs w:val="20"/>
          <w:lang w:val="en-US"/>
        </w:rPr>
      </w:pPr>
      <w:r>
        <w:rPr>
          <w:rFonts w:eastAsia="Times New Roman"/>
          <w:b/>
          <w:bCs/>
          <w:color w:val="1F2328"/>
          <w:szCs w:val="20"/>
          <w:lang w:val="en-US"/>
        </w:rPr>
        <w:t>Boundaries of the conclusions.</w:t>
      </w:r>
      <w:r>
        <w:rPr>
          <w:rFonts w:eastAsia="Times New Roman"/>
          <w:color w:val="1F2328"/>
          <w:szCs w:val="20"/>
          <w:lang w:val="en-US"/>
        </w:rPr>
        <w:t xml:space="preserve"> Taken together, these sensitivities define concrete limits on how this chapter's results generalise. The accuracy figures in Table 5.1 are specific to five measured UK sites, sub-6 GHz frequencies from 915–3602 MHz, and the terrain and data quality available at each. They are not evidence of a universal calibrated-RT accuracy ceiling, and the lowest results, at Scar Hill and London, are already explained by identified, non-arbitrary causes: terrain resolution in the first case, and optimisation-landscape difficulty after eight documented attempts in the second, rather than an unexplained modelling failure. London 2695 MHz's calibration was still in progress at the time of writing and is deliberately not included in Table 5.1, a reminder that these results represent a specific, dated snapshot of an ongoing project rather than a closed dataset. Extending these conclusions to additional sites, to frequencies above 3602 MHz, or to terrain and data conditions not represented here would require the same calibration-and-verification discipline applied fresh, not an assumption that the reported R² values transfer directly.</w:t>
      </w:r>
    </w:p>
    <w:p w14:paraId="113081F6" w14:textId="38C6353D" w:rsidR="00254E75" w:rsidRDefault="00254E75" w:rsidP="00D23370">
      <w:pPr>
        <w:pStyle w:val="Caption"/>
        <w:jc w:val="both"/>
        <w:rPr>
          <w:lang w:eastAsia="fr-FR" w:bidi="ar-LB"/>
        </w:rPr>
      </w:pPr>
      <w:r>
        <w:rPr>
          <w:lang w:eastAsia="fr-FR" w:bidi="ar-LB"/>
        </w:rPr>
        <w:br w:type="page"/>
      </w:r>
    </w:p>
    <w:p w14:paraId="579824A7" w14:textId="591F446B" w:rsidR="00F154CB" w:rsidRDefault="00F154CB" w:rsidP="00C3210D">
      <w:pPr>
        <w:pStyle w:val="Heading1"/>
        <w:rPr>
          <w:lang w:val="en-US" w:bidi="ar-LB"/>
        </w:rPr>
      </w:pPr>
      <w:bookmarkStart w:id="76" w:name="_Toc238551022"/>
      <w:r>
        <w:rPr>
          <w:lang w:val="en-US" w:bidi="ar-LB"/>
        </w:rPr>
        <w:lastRenderedPageBreak/>
        <w:t xml:space="preserve">Discussion and Impact</w:t>
      </w:r>
      <w:bookmarkEnd w:id="76"/>
    </w:p>
    <w:p w14:paraId="10B99040" w14:textId="56F4BAEB" w:rsidR="00F154CB" w:rsidRPr="00F154CB" w:rsidRDefault="00D23370" w:rsidP="00F154CB">
      <w:pPr>
        <w:rPr>
          <w:lang w:val="en-US" w:eastAsia="fr-FR" w:bidi="ar-LB"/>
        </w:rPr>
      </w:pPr>
      <w:r>
        <w:rPr>
          <w:lang w:eastAsia="fr-FR" w:bidi="ar-LB"/>
        </w:rPr>
        <w:t xml:space="preserve">Chapter 5 established what this project's calibrated ray-tracing pipeline achieves and why: which sites and frequencies it predicts well, which mechanisms (scattering, terrain resolution, calibration-landscape difficulty) govern that accuracy, and how the results compare against classical models, standards, and the literature this project's methodology directly builds on.</w:t>
      </w:r>
    </w:p>
    <w:p w14:paraId="39DF99E7" w14:textId="24F94B9D" w:rsidR="00F154CB" w:rsidRPr="00F154CB" w:rsidRDefault="00F154CB" w:rsidP="002D7E1A">
      <w:pPr>
        <w:pStyle w:val="Heading2"/>
        <w:rPr>
          <w:lang w:val="en-US" w:bidi="ar-LB"/>
        </w:rPr>
      </w:pPr>
      <w:bookmarkStart w:id="77" w:name="_Toc238551023"/>
      <w:r>
        <w:rPr>
          <w:lang w:val="en-US" w:bidi="ar-LB"/>
        </w:rPr>
        <w:t>6.1 Scientific Contributions</w:t>
      </w:r>
      <w:bookmarkEnd w:id="77"/>
    </w:p>
    <w:p w14:paraId="20C041C7" w14:textId="77777777" w:rsidR="00D23370" w:rsidRPr="00D23370" w:rsidRDefault="00D23370" w:rsidP="00D23370">
      <w:pPr>
        <w:pStyle w:val="NormalWeb"/>
        <w:shd w:val="clear" w:color="auto" w:fill="FFFFFF"/>
        <w:spacing w:before="0" w:beforeAutospacing="0" w:after="240" w:afterAutospacing="0"/>
        <w:rPr>
          <w:rFonts w:ascii="Arial" w:hAnsi="Arial" w:cs="Arial"/>
          <w:color w:val="1F2328"/>
          <w:sz w:val="20"/>
          <w:szCs w:val="20"/>
        </w:rPr>
      </w:pPr>
      <w:r>
        <w:rPr>
          <w:rStyle w:val="Strong"/>
          <w:rFonts w:ascii="Arial" w:hAnsi="Arial" w:cs="Arial"/>
          <w:color w:val="1F2328"/>
          <w:sz w:val="20"/>
          <w:szCs w:val="20"/>
        </w:rPr>
        <w:t>A quantified boundary condition for when material calibration matters.</w:t>
      </w:r>
      <w:r>
        <w:rPr>
          <w:rFonts w:ascii="Arial" w:hAnsi="Arial" w:cs="Arial"/>
          <w:color w:val="1F2328"/>
          <w:sz w:val="20"/>
          <w:szCs w:val="20"/>
        </w:rPr>
        <w:t xml:space="preserve"> The most useful scientific output of this project is not any single R² value but the boundary it draws, empirically, between sites where material calibration is necessary and sites where it is not. At Nottingham and London, joint material optimisation (Powell or CMA-ES) was required to reach an acceptable result; at Stevenage, across all four measured frequencies, no material search improved on ITU-R P.2040-2 [17] defaults, and the CMA-ES joint search was independently confirmed to converge to "no change" rather than simply not being tried (Section 5.2). This project's methodology is built on the staged scalar-offset-then-material-refinement architecture reported by Hoydis et al. [3], [21]; the contribution here is to show that the second stage, joint material refinement, is conditional rather than always necessary, and specifically conditional on whether a site is diffuse-scattering-dominated or specular-dominated. Stevenage's coherent-summation result at all four of its measured frequencies, the only site in this project where that holds, is the direct evidence for that condition.</w:t>
      </w:r>
    </w:p>
    <w:p w14:paraId="0AA84397" w14:textId="77777777" w:rsidR="00D23370" w:rsidRPr="00D23370" w:rsidRDefault="00D23370" w:rsidP="00D23370">
      <w:pPr>
        <w:pStyle w:val="NormalWeb"/>
        <w:shd w:val="clear" w:color="auto" w:fill="FFFFFF"/>
        <w:spacing w:before="0" w:beforeAutospacing="0" w:after="0" w:afterAutospacing="0"/>
        <w:rPr>
          <w:rFonts w:ascii="Arial" w:hAnsi="Arial" w:cs="Arial"/>
          <w:color w:val="1F2328"/>
          <w:sz w:val="20"/>
          <w:szCs w:val="20"/>
        </w:rPr>
      </w:pPr>
      <w:r>
        <w:rPr>
          <w:rStyle w:val="Strong"/>
          <w:rFonts w:ascii="Arial" w:hAnsi="Arial" w:cs="Arial"/>
          <w:color w:val="1F2328"/>
          <w:sz w:val="20"/>
          <w:szCs w:val="20"/>
        </w:rPr>
        <w:t>A corrected, project-specific explanation for ray tracing's advantage over a classical model.</w:t>
      </w:r>
      <w:r>
        <w:rPr>
          <w:rFonts w:ascii="Arial" w:hAnsi="Arial" w:cs="Arial"/>
          <w:color w:val="1F2328"/>
          <w:sz w:val="20"/>
          <w:szCs w:val="20"/>
        </w:rPr>
        <w:t xml:space="preserve"> Section 5.3 reported that calibrated ray tracing outperforms COST 231 Walfisch-Ikegami at Nottingham 915 MHz not because the site falls outside the classical model's stated validity range, but because Walfisch-Ikegami's uniform-building-row assumption is violated by Nottingham's mixed-height urban core. This correction matters specifically because an earlier working assumption in this project's own notes had attributed the discrepancy to a frequency-range violation, a claim this thesis checked directly against COST 231's documented 800-2000 MHz envelope [10] and found to be false (</w:t>
      </w:r>
      <w:r>
        <w:rPr>
          <w:rStyle w:val="HTMLCode"/>
          <w:rFonts w:ascii="Arial" w:hAnsi="Arial" w:cs="Arial"/>
          <w:color w:val="1F2328"/>
        </w:rPr>
        <w:t>references.md</w:t>
      </w:r>
      <w:r>
        <w:rPr>
          <w:rFonts w:ascii="Arial" w:hAnsi="Arial" w:cs="Arial"/>
          <w:color w:val="1F2328"/>
          <w:sz w:val="20"/>
          <w:szCs w:val="20"/>
        </w:rPr>
        <w:t>, "Not used" section). The controlled, like-for-like comparison behind this correction used the same scene and the same measurements throughout, so the result is specific to this project's own data, not a general claim about ray tracing versus classical models.</w:t>
      </w:r>
    </w:p>
    <w:p w14:paraId="454A2E7B" w14:textId="77777777" w:rsidR="00D23370" w:rsidRDefault="00D23370" w:rsidP="00D23370">
      <w:pPr>
        <w:pStyle w:val="NormalWeb"/>
        <w:shd w:val="clear" w:color="auto" w:fill="FFFFFF"/>
        <w:spacing w:before="0" w:beforeAutospacing="0" w:after="0" w:afterAutospacing="0"/>
        <w:rPr>
          <w:rStyle w:val="Strong"/>
          <w:rFonts w:ascii="Arial" w:hAnsi="Arial" w:cs="Arial"/>
          <w:color w:val="1F2328"/>
          <w:sz w:val="20"/>
          <w:szCs w:val="20"/>
        </w:rPr>
      </w:pPr>
    </w:p>
    <w:p w14:paraId="7435B897" w14:textId="1D1838DD" w:rsidR="00D23370" w:rsidRPr="00D23370" w:rsidRDefault="00D23370" w:rsidP="00D23370">
      <w:pPr>
        <w:pStyle w:val="NormalWeb"/>
        <w:shd w:val="clear" w:color="auto" w:fill="FFFFFF"/>
        <w:spacing w:before="0" w:beforeAutospacing="0" w:after="0" w:afterAutospacing="0"/>
        <w:rPr>
          <w:rFonts w:ascii="Arial" w:hAnsi="Arial" w:cs="Arial"/>
          <w:color w:val="1F2328"/>
          <w:sz w:val="20"/>
          <w:szCs w:val="20"/>
        </w:rPr>
      </w:pPr>
      <w:r>
        <w:rPr>
          <w:rStyle w:val="Strong"/>
          <w:rFonts w:ascii="Arial" w:hAnsi="Arial" w:cs="Arial"/>
          <w:color w:val="1F2328"/>
          <w:sz w:val="20"/>
          <w:szCs w:val="20"/>
        </w:rPr>
        <w:t>A frequency-dependent limit on geometric vegetation modelling, established across this project's own scenes.</w:t>
      </w:r>
      <w:r>
        <w:rPr>
          <w:rFonts w:ascii="Arial" w:hAnsi="Arial" w:cs="Arial"/>
          <w:color w:val="1F2328"/>
          <w:sz w:val="20"/>
          <w:szCs w:val="20"/>
        </w:rPr>
        <w:t> The requirement to disable solid canopy geometry at 3602 MHz (</w:t>
      </w:r>
      <w:r>
        <w:rPr>
          <w:rStyle w:val="HTMLCode"/>
          <w:rFonts w:ascii="Arial" w:hAnsi="Arial" w:cs="Arial"/>
          <w:color w:val="1F2328"/>
        </w:rPr>
        <w:t>DISABLE_CANOPY=True</w:t>
      </w:r>
      <w:r>
        <w:rPr>
          <w:rFonts w:ascii="Arial" w:hAnsi="Arial" w:cs="Arial"/>
          <w:color w:val="1F2328"/>
          <w:sz w:val="20"/>
          <w:szCs w:val="20"/>
        </w:rPr>
        <w:t xml:space="preserve">, Section 3.3), replacing it with a per-path ITU-R P.833-10 [16] correction, was not a modelling convenience but a response to a physical limit this project measured directly: at λ = 8.3 cm, solid canopy cones were found to absorb essentially all rays beyond roughly 400 m. This was confirmed independently at both Stevenage and Nottingham's dedicated high-frequency scene, giving a concrete, wavelength-anchored point, drawn from this project's own results, at which a 3D geometric vegetation model stops being the right abstraction and a per-path statistical correction becomes necessary instead.</w:t>
      </w:r>
    </w:p>
    <w:p w14:paraId="4BF776A9" w14:textId="77777777" w:rsidR="00D23370" w:rsidRPr="00D23370" w:rsidRDefault="00D23370" w:rsidP="00D23370">
      <w:pPr>
        <w:pStyle w:val="NormalWeb"/>
        <w:shd w:val="clear" w:color="auto" w:fill="FFFFFF"/>
        <w:spacing w:before="0" w:beforeAutospacing="0" w:after="240" w:afterAutospacing="0"/>
        <w:rPr>
          <w:rFonts w:ascii="Arial" w:hAnsi="Arial" w:cs="Arial"/>
          <w:color w:val="1F2328"/>
          <w:sz w:val="20"/>
          <w:szCs w:val="20"/>
        </w:rPr>
      </w:pPr>
      <w:r>
        <w:rPr>
          <w:rStyle w:val="Strong"/>
          <w:rFonts w:ascii="Arial" w:hAnsi="Arial" w:cs="Arial"/>
          <w:color w:val="1F2328"/>
          <w:sz w:val="20"/>
          <w:szCs w:val="20"/>
        </w:rPr>
        <w:lastRenderedPageBreak/>
        <w:t>Cross-validation between this project's own two implementations.</w:t>
      </w:r>
      <w:r>
        <w:rPr>
          <w:rFonts w:ascii="Arial" w:hAnsi="Arial" w:cs="Arial"/>
          <w:color w:val="1F2328"/>
          <w:sz w:val="20"/>
          <w:szCs w:val="20"/>
        </w:rPr>
        <w:t xml:space="preserve"> Nottingham 915 MHz was evaluated by two pipelines built within this project at different times, using different ray-tracing engine versions and different calibration methods (Section 5.3): a Sionna 0.19.2 differentiable, scalar-offset-only pipeline (5.72 dB RMSE) and the project's main Sionna 2.0 DEM pipeline with Powell material calibration (6.0 dB RMSE). Neither pipeline was tuned to match the other, so their close agreement is itself evidence that this project's calibration approach is robust to implementation choices, not only a restatement of one pipeline's accuracy.</w:t>
      </w:r>
    </w:p>
    <w:p w14:paraId="050C1C78" w14:textId="77777777" w:rsidR="00F154CB" w:rsidRPr="00F154CB" w:rsidRDefault="00F154CB" w:rsidP="00F154CB">
      <w:pPr>
        <w:rPr>
          <w:lang w:val="en-US" w:eastAsia="fr-FR" w:bidi="ar-LB"/>
        </w:rPr>
      </w:pPr>
    </w:p>
    <w:p w14:paraId="3CACCE7B" w14:textId="60FA2E80" w:rsidR="00F154CB" w:rsidRPr="00F154CB" w:rsidRDefault="00F154CB" w:rsidP="002D7E1A">
      <w:pPr>
        <w:pStyle w:val="Heading2"/>
        <w:rPr>
          <w:lang w:val="en-US" w:bidi="ar-LB"/>
        </w:rPr>
      </w:pPr>
      <w:bookmarkStart w:id="78" w:name="_Toc238551024"/>
      <w:r>
        <w:rPr>
          <w:lang w:val="en-US" w:bidi="ar-LB"/>
        </w:rPr>
        <w:t>6.2 Engineering and Practical Implications</w:t>
      </w:r>
      <w:bookmarkEnd w:id="78"/>
    </w:p>
    <w:p w14:paraId="5B048AC5" w14:textId="77777777" w:rsidR="00D23370" w:rsidRPr="00D23370" w:rsidRDefault="00D23370" w:rsidP="00D23370">
      <w:pPr>
        <w:pStyle w:val="NormalWeb"/>
        <w:shd w:val="clear" w:color="auto" w:fill="FFFFFF"/>
        <w:spacing w:before="0" w:beforeAutospacing="0" w:after="240" w:afterAutospacing="0"/>
        <w:rPr>
          <w:rFonts w:ascii="Arial" w:hAnsi="Arial" w:cs="Arial"/>
          <w:color w:val="1F2328"/>
          <w:sz w:val="20"/>
          <w:szCs w:val="20"/>
        </w:rPr>
      </w:pPr>
      <w:r>
        <w:rPr>
          <w:rStyle w:val="Strong"/>
          <w:rFonts w:ascii="Arial" w:hAnsi="Arial" w:cs="Arial"/>
          <w:color w:val="1F2328"/>
          <w:sz w:val="20"/>
          <w:szCs w:val="20"/>
        </w:rPr>
        <w:t>Relevance to the problem this thesis set out to address.</w:t>
      </w:r>
      <w:r>
        <w:rPr>
          <w:rFonts w:ascii="Arial" w:hAnsi="Arial" w:cs="Arial"/>
          <w:color w:val="1F2328"/>
          <w:sz w:val="20"/>
          <w:szCs w:val="20"/>
        </w:rPr>
        <w:t xml:space="preserve"> Chapter 1 identified dense-urban, small-cell-scale wireless planning as poorly served by coarse, statistical models [9]-[11]. This project's best result, an RMSE of 6.0 dB, below the 3GPP TR 38.901 shadow-fading floor of 7.82 dB [6] (Section 5.3), shows that at a well-characterised site, this calibrated ray-tracing methodology can predict path loss more precisely than the uncertainty a purely statistical model would already assume for that same environment.</w:t>
      </w:r>
    </w:p>
    <w:p w14:paraId="584C8EBE" w14:textId="77777777" w:rsidR="00D23370" w:rsidRPr="00D23370" w:rsidRDefault="00D23370" w:rsidP="00D23370">
      <w:pPr>
        <w:pStyle w:val="NormalWeb"/>
        <w:shd w:val="clear" w:color="auto" w:fill="FFFFFF"/>
        <w:spacing w:before="0" w:beforeAutospacing="0" w:after="240" w:afterAutospacing="0"/>
        <w:rPr>
          <w:rFonts w:ascii="Arial" w:hAnsi="Arial" w:cs="Arial"/>
          <w:color w:val="1F2328"/>
          <w:sz w:val="20"/>
          <w:szCs w:val="20"/>
        </w:rPr>
      </w:pPr>
      <w:r>
        <w:rPr>
          <w:rStyle w:val="Strong"/>
          <w:rFonts w:ascii="Arial" w:hAnsi="Arial" w:cs="Arial"/>
          <w:color w:val="1F2328"/>
          <w:sz w:val="20"/>
          <w:szCs w:val="20"/>
        </w:rPr>
        <w:t>An actionable finding from this project's own scattering-sensitivity results.</w:t>
      </w:r>
      <w:r>
        <w:rPr>
          <w:rFonts w:ascii="Arial" w:hAnsi="Arial" w:cs="Arial"/>
          <w:color w:val="1F2328"/>
          <w:sz w:val="20"/>
          <w:szCs w:val="20"/>
        </w:rPr>
        <w:t xml:space="preserve"> Section 5.2 found that disabling diffuse scattering is not a minor simplification but, at dense urban NLOS sites, catastrophic: R² collapsed to -22.666 at London 915 MHz once scattering was switched off (Table 5.2). Any use of this project's methodology, or one built on the same modelling assumptions, at a similarly dense NLOS site should expect a comparably large failure if diffuse scattering is omitted, not a small accuracy loss. The Stevenage result offers the complementary caution: at that specular-dominated site, material calibration bought no measurable improvement, so this project's own data argues for matching modelling effort to the site's propagation regime rather than defaulting to the most complex configuration everywhere.</w:t>
      </w:r>
    </w:p>
    <w:p w14:paraId="0C0CED70" w14:textId="77777777" w:rsidR="00D23370" w:rsidRPr="00D23370" w:rsidRDefault="00D23370" w:rsidP="00D23370">
      <w:pPr>
        <w:pStyle w:val="NormalWeb"/>
        <w:shd w:val="clear" w:color="auto" w:fill="FFFFFF"/>
        <w:spacing w:before="0" w:beforeAutospacing="0" w:after="240" w:afterAutospacing="0"/>
        <w:rPr>
          <w:rFonts w:ascii="Arial" w:hAnsi="Arial" w:cs="Arial"/>
          <w:color w:val="1F2328"/>
          <w:sz w:val="20"/>
          <w:szCs w:val="20"/>
        </w:rPr>
      </w:pPr>
      <w:r>
        <w:rPr>
          <w:rStyle w:val="Strong"/>
          <w:rFonts w:ascii="Arial" w:hAnsi="Arial" w:cs="Arial"/>
          <w:color w:val="1F2328"/>
          <w:sz w:val="20"/>
          <w:szCs w:val="20"/>
        </w:rPr>
        <w:t>Constraints this project's own results place on applying this methodology elsewhere.</w:t>
      </w:r>
      <w:r>
        <w:rPr>
          <w:rFonts w:ascii="Arial" w:hAnsi="Arial" w:cs="Arial"/>
          <w:color w:val="1F2328"/>
          <w:sz w:val="20"/>
          <w:szCs w:val="20"/>
        </w:rPr>
        <w:t> Three limitations identified in Section 5.4 bound how directly these results transfer to a new site. First, terrain data quality is a hard constraint rather than a tunable parameter: Scar Hill's order-of-magnitude lower R² reflects its 30 m SRTM terrain input against the 1 m EA LiDAR available at the English sites [8], [30], so this methodology's achievable accuracy at a new site depends on the terrain data actually available there. Second, calibration in this project was not a one-shot procedure: London 1802 MHz required eight independent CMA-ES runs before a physically defensible result was accepted (Table 5.3), and comparable multi-attempt calibration histories are documented at other sites in this project's own working notes. Third, the computational cost this project incurred, tens of millions of ray samples per evaluation, GPU-resident, is a real cost that would need to be weighed against the scale of any application of this same methodology.</w:t>
      </w:r>
    </w:p>
    <w:p w14:paraId="094D3B06" w14:textId="77777777" w:rsidR="00F154CB" w:rsidRPr="00F154CB" w:rsidRDefault="00F154CB" w:rsidP="00F154CB">
      <w:pPr>
        <w:rPr>
          <w:lang w:val="en-US" w:eastAsia="fr-FR" w:bidi="ar-LB"/>
        </w:rPr>
      </w:pPr>
    </w:p>
    <w:p w14:paraId="72DE0308" w14:textId="250A2C0F" w:rsidR="00F154CB" w:rsidRPr="00F154CB" w:rsidRDefault="00F154CB" w:rsidP="002D7E1A">
      <w:pPr>
        <w:pStyle w:val="Heading2"/>
        <w:rPr>
          <w:lang w:val="en-US" w:bidi="ar-LB"/>
        </w:rPr>
      </w:pPr>
      <w:bookmarkStart w:id="79" w:name="_Toc238551025"/>
      <w:r>
        <w:rPr>
          <w:lang w:val="en-US" w:bidi="ar-LB"/>
        </w:rPr>
        <w:t>6.3 Environmental, Economic, or Societal Impacts</w:t>
      </w:r>
      <w:bookmarkEnd w:id="79"/>
    </w:p>
    <w:p w14:paraId="3D1E22A3" w14:textId="77777777" w:rsidR="00D23370" w:rsidRPr="00D23370" w:rsidRDefault="00D23370" w:rsidP="00D23370">
      <w:pPr>
        <w:pStyle w:val="NormalWeb"/>
        <w:shd w:val="clear" w:color="auto" w:fill="FFFFFF"/>
        <w:spacing w:before="0" w:beforeAutospacing="0" w:after="240" w:afterAutospacing="0"/>
        <w:rPr>
          <w:rFonts w:ascii="Arial" w:hAnsi="Arial" w:cs="Arial"/>
          <w:color w:val="1F2328"/>
          <w:sz w:val="20"/>
          <w:szCs w:val="20"/>
        </w:rPr>
      </w:pPr>
      <w:r>
        <w:rPr>
          <w:rFonts w:ascii="Arial" w:hAnsi="Arial" w:cs="Arial"/>
          <w:color w:val="1F2328"/>
          <w:sz w:val="20"/>
          <w:szCs w:val="20"/>
        </w:rPr>
        <w:t>This project measured technical accuracy only. It did not measure cost, energy use, or social outcomes, so the observations below are limited to what this project's own results specifically support, rather than a general assessment of ray tracing's environmental, economic, or societal role.</w:t>
      </w:r>
    </w:p>
    <w:p w14:paraId="4823AEEA" w14:textId="77777777" w:rsidR="00D23370" w:rsidRPr="00D23370" w:rsidRDefault="00D23370" w:rsidP="00D23370">
      <w:pPr>
        <w:pStyle w:val="NormalWeb"/>
        <w:shd w:val="clear" w:color="auto" w:fill="FFFFFF"/>
        <w:spacing w:before="0" w:beforeAutospacing="0" w:after="240" w:afterAutospacing="0"/>
        <w:rPr>
          <w:rFonts w:ascii="Arial" w:hAnsi="Arial" w:cs="Arial"/>
          <w:color w:val="1F2328"/>
          <w:sz w:val="20"/>
          <w:szCs w:val="20"/>
        </w:rPr>
      </w:pPr>
      <w:r>
        <w:rPr>
          <w:rStyle w:val="Strong"/>
          <w:rFonts w:ascii="Arial" w:hAnsi="Arial" w:cs="Arial"/>
          <w:color w:val="1F2328"/>
          <w:sz w:val="20"/>
          <w:szCs w:val="20"/>
        </w:rPr>
        <w:lastRenderedPageBreak/>
        <w:t>Environmental.</w:t>
      </w:r>
      <w:r>
        <w:rPr>
          <w:rFonts w:ascii="Arial" w:hAnsi="Arial" w:cs="Arial"/>
          <w:color w:val="1F2328"/>
          <w:sz w:val="20"/>
          <w:szCs w:val="20"/>
        </w:rPr>
        <w:t xml:space="preserve"> This project's own evaluations used measurement data already collected by an existing campaign, the Ofcom 2018 dataset [5], rather than new drive-test data collected for this thesis. Beyond noting that a calibrated model of an already-measured site does not, by itself, require re-measuring that site, this project has no basis to estimate a broader environmental effect, and none is claimed.</w:t>
      </w:r>
    </w:p>
    <w:p w14:paraId="1BFA2FD6" w14:textId="77777777" w:rsidR="00D23370" w:rsidRPr="00D23370" w:rsidRDefault="00D23370" w:rsidP="00D23370">
      <w:pPr>
        <w:pStyle w:val="NormalWeb"/>
        <w:shd w:val="clear" w:color="auto" w:fill="FFFFFF"/>
        <w:spacing w:before="0" w:beforeAutospacing="0" w:after="240" w:afterAutospacing="0"/>
        <w:rPr>
          <w:rFonts w:ascii="Arial" w:hAnsi="Arial" w:cs="Arial"/>
          <w:color w:val="1F2328"/>
          <w:sz w:val="20"/>
          <w:szCs w:val="20"/>
        </w:rPr>
      </w:pPr>
      <w:r>
        <w:rPr>
          <w:rStyle w:val="Strong"/>
          <w:rFonts w:ascii="Arial" w:hAnsi="Arial" w:cs="Arial"/>
          <w:color w:val="1F2328"/>
          <w:sz w:val="20"/>
          <w:szCs w:val="20"/>
        </w:rPr>
        <w:t>Economic.</w:t>
      </w:r>
      <w:r>
        <w:rPr>
          <w:rFonts w:ascii="Arial" w:hAnsi="Arial" w:cs="Arial"/>
          <w:color w:val="1F2328"/>
          <w:sz w:val="20"/>
          <w:szCs w:val="20"/>
        </w:rPr>
        <w:t xml:space="preserve"> The calibration-necessity finding in Section 6.1 has a direct, narrow economic reading: for a site resembling Stevenage, this project's own results show that the added effort of material-parameter calibration produced no measurable accuracy gain, whereas for sites resembling Nottingham or London, that same effort was necessary to reach an acceptable result. This project's own data therefore supports checking a site's propagation regime, specular- versus diffuse-dominated, before committing to a full calibration effort, rather than a general claim about the economics of ray-tracing adoption.</w:t>
      </w:r>
    </w:p>
    <w:p w14:paraId="6809DCA3" w14:textId="77777777" w:rsidR="00D23370" w:rsidRPr="00D23370" w:rsidRDefault="00D23370" w:rsidP="00D23370">
      <w:pPr>
        <w:pStyle w:val="NormalWeb"/>
        <w:shd w:val="clear" w:color="auto" w:fill="FFFFFF"/>
        <w:spacing w:before="0" w:beforeAutospacing="0" w:after="240" w:afterAutospacing="0"/>
        <w:rPr>
          <w:rFonts w:ascii="Arial" w:hAnsi="Arial" w:cs="Arial"/>
          <w:color w:val="1F2328"/>
          <w:sz w:val="20"/>
          <w:szCs w:val="20"/>
        </w:rPr>
      </w:pPr>
      <w:r>
        <w:rPr>
          <w:rStyle w:val="Strong"/>
          <w:rFonts w:ascii="Arial" w:hAnsi="Arial" w:cs="Arial"/>
          <w:color w:val="1F2328"/>
          <w:sz w:val="20"/>
          <w:szCs w:val="20"/>
        </w:rPr>
        <w:t>Societal.</w:t>
      </w:r>
      <w:r>
        <w:rPr>
          <w:rFonts w:ascii="Arial" w:hAnsi="Arial" w:cs="Arial"/>
          <w:color w:val="1F2328"/>
          <w:sz w:val="20"/>
          <w:szCs w:val="20"/>
        </w:rPr>
        <w:t xml:space="preserve"> The one impact claim this project can make directly, rather than by extension, is the terrain-data-quality gap documented in Section 5.4: Scar Hill's rural, SRTM-covered site achieved an R² an order of magnitude below the LiDAR-covered English sites [30]. This is this project's own comparative result, not a general claim about rural connectivity: it shows that, at least for the specific methodology and sites evaluated here, the accuracy this approach can deliver is not uniform across urban and rural terrain-data coverage, and any application of this methodology to a new rural site should expect the same terrain-driven limitation observed at Scar Hill.</w:t>
      </w:r>
    </w:p>
    <w:p w14:paraId="22A8D346" w14:textId="77777777" w:rsidR="007F34C0" w:rsidRDefault="007F34C0">
      <w:pPr>
        <w:jc w:val="left"/>
        <w:rPr>
          <w:rFonts w:eastAsia="Times New Roman" w:cs="Times New Roman"/>
          <w:b/>
          <w:bCs/>
          <w:kern w:val="28"/>
          <w:sz w:val="28"/>
          <w:szCs w:val="28"/>
          <w:lang w:val="en-US" w:eastAsia="fr-FR" w:bidi="ar-LB"/>
        </w:rPr>
      </w:pPr>
      <w:r>
        <w:rPr>
          <w:lang w:val="en-US" w:bidi="ar-LB"/>
        </w:rPr>
        <w:br w:type="page"/>
      </w:r>
    </w:p>
    <w:p w14:paraId="13FE2215" w14:textId="34A114D4" w:rsidR="00F154CB" w:rsidRPr="00F154CB" w:rsidRDefault="00F154CB" w:rsidP="002D7E1A">
      <w:pPr>
        <w:pStyle w:val="Heading1"/>
        <w:rPr>
          <w:lang w:val="en-US" w:bidi="ar-LB"/>
        </w:rPr>
      </w:pPr>
      <w:bookmarkStart w:id="80" w:name="_Toc238551026"/>
      <w:r>
        <w:rPr>
          <w:lang w:val="en-US" w:bidi="ar-LB"/>
        </w:rPr>
        <w:lastRenderedPageBreak/>
        <w:t>Conclusion and Future Work</w:t>
      </w:r>
      <w:bookmarkEnd w:id="80"/>
    </w:p>
    <w:p w14:paraId="68B7AB5D" w14:textId="4DDE09B2" w:rsidR="00F154CB" w:rsidRPr="00F154CB" w:rsidRDefault="007A7420" w:rsidP="00F154CB">
      <w:pPr>
        <w:rPr>
          <w:lang w:val="en-US" w:eastAsia="fr-FR" w:bidi="ar-LB"/>
        </w:rPr>
      </w:pPr>
      <w:r>
        <w:rPr>
          <w:lang w:val="en-US" w:eastAsia="fr-FR" w:bidi="ar-LB"/>
        </w:rPr>
        <w:t>This chapter closes the thesis. Section 7.1 restates, briefly, what this project found, without re-deriving the analysis already given in Chapters 5 and 6. Section 7.2 returns to the four research questions and the seven objectives set out in Section 1.5 and states plainly, for each one, whether this project's own results answer it fully, partially, or not at all; a strong conclusion says this honestly rather than presenting every objective as fully met. Section 7.3 identifies the limitations this project's own evidence points to and proposes concrete, achievable next steps, not a general survey of where ray tracing could go.</w:t>
      </w:r>
    </w:p>
    <w:p w14:paraId="6935FE6D" w14:textId="09479CCD" w:rsidR="00F154CB" w:rsidRPr="00F154CB" w:rsidRDefault="00F154CB" w:rsidP="002D7E1A">
      <w:pPr>
        <w:pStyle w:val="Heading2"/>
        <w:rPr>
          <w:lang w:val="en-US" w:bidi="ar-LB"/>
        </w:rPr>
      </w:pPr>
      <w:bookmarkStart w:id="81" w:name="_Toc238551027"/>
      <w:r>
        <w:rPr>
          <w:lang w:val="en-US" w:bidi="ar-LB"/>
        </w:rPr>
        <w:t>7.1 Summary of Research Findings</w:t>
      </w:r>
      <w:bookmarkEnd w:id="81"/>
    </w:p>
    <w:p w14:paraId="5E1F5DE0" w14:textId="77777777" w:rsidR="00B31231" w:rsidRPr="00B31231" w:rsidRDefault="00B31231" w:rsidP="00B31231">
      <w:pPr>
        <w:rPr>
          <w:lang w:val="en-US" w:eastAsia="fr-FR" w:bidi="ar-LB"/>
        </w:rPr>
      </w:pPr>
      <w:r>
        <w:rPr>
          <w:lang w:val="en-US" w:eastAsia="fr-FR" w:bidi="ar-LB"/>
        </w:rPr>
        <w:t xml:space="preserve">This project built and calibrated a ray-tracing propagation pipeline using Sionna RT [3], evaluated it against real, independently collected drive-test measurements from the Ofcom 2018 campaign [5] at five UK sites across up to four frequencies each (915-3602 MHz), and validated it against a classical empirical model [10] and a 3GPP standard [6].</w:t>
      </w:r>
    </w:p>
    <w:p w14:paraId="74613749" w14:textId="77777777" w:rsidR="00B31231" w:rsidRPr="00B31231" w:rsidRDefault="00B31231" w:rsidP="00B31231">
      <w:pPr>
        <w:rPr>
          <w:lang w:val="en-US" w:eastAsia="fr-FR" w:bidi="ar-LB"/>
        </w:rPr>
      </w:pPr>
    </w:p>
    <w:p w14:paraId="768B1EE2" w14:textId="5092CE59" w:rsidR="00F154CB" w:rsidRPr="00F154CB" w:rsidRDefault="00B31231" w:rsidP="00B31231">
      <w:pPr>
        <w:rPr>
          <w:lang w:val="en-US" w:eastAsia="fr-FR" w:bidi="ar-LB"/>
        </w:rPr>
      </w:pPr>
      <w:r>
        <w:rPr>
          <w:lang w:val="en-US" w:eastAsia="fr-FR" w:bidi="ar-LB"/>
        </w:rPr>
        <w:t xml:space="preserve">The headline result is not a single accuracy figure but a characterised range: R² from 0.083 (Scar Hill, terrain-limited [30]) to 0.835 (Nottingham 915 MHz, RMSE 6.0 dB, below the 3GPP shadow-fading floor of 7.82 dB [6]), with the variation between sites and frequencies traced to identifiable physical causes rather than left unexplained (Section 5.2, Section 6.1). Three findings from this project stand out as genuinely new rather than expected: first, that material calibration measurably helps at some sites (Nottingham, London, Southampton) and provably does not at others (Stevenage, at all four of its frequencies), a boundary tied to whether the site is diffuse-scattering-dominated or specular-dominated; second, that ray tracing's advantage over COST 231 Walfisch-Ikegami [10] at Nottingham comes from representing building-height irregularity, not from the site falling outside COST 231's stated validity range, a correction of an assumption this project's own earlier notes had made; third, that geometric vegetation modelling stops being a viable abstraction at 3602 MHz (λ = 8.3 cm), requiring a per-path ITU-R P.833-10 [16] correction instead of solid canopy geometry.</w:t>
      </w:r>
    </w:p>
    <w:p w14:paraId="522CBF5C" w14:textId="2FA0CCC8" w:rsidR="00F154CB" w:rsidRPr="00F154CB" w:rsidRDefault="00F154CB" w:rsidP="002D7E1A">
      <w:pPr>
        <w:pStyle w:val="Heading2"/>
        <w:rPr>
          <w:lang w:val="en-US" w:bidi="ar-LB"/>
        </w:rPr>
      </w:pPr>
      <w:bookmarkStart w:id="82" w:name="_Toc238551028"/>
      <w:r>
        <w:rPr>
          <w:lang w:val="en-US" w:bidi="ar-LB"/>
        </w:rPr>
        <w:t>7.2 Conclusions Related to Research Questions</w:t>
      </w:r>
      <w:bookmarkEnd w:id="82"/>
    </w:p>
    <w:p w14:paraId="4C2BD724" w14:textId="77777777" w:rsidR="00B31231" w:rsidRPr="00B31231" w:rsidRDefault="00B31231" w:rsidP="00B31231">
      <w:pPr>
        <w:rPr>
          <w:lang w:val="en-US" w:eastAsia="fr-FR" w:bidi="ar-LB"/>
        </w:rPr>
      </w:pPr>
      <w:r>
        <w:rPr>
          <w:lang w:val="en-US" w:eastAsia="fr-FR" w:bidi="ar-LB"/>
        </w:rPr>
        <w:lastRenderedPageBreak/>
        <w:t xml:space="preserve">RQ1: How accurately can Sionna RT generate high-resolution radio environmental maps within complex UK urban environments? Fully addressed. Accuracy was quantified at every one of the five sites and fourteen site/frequency combinations evaluated (Table 5.1), with the best result (R² = 0.835) exceeding the 3GPP shadow-fading floor and the worst (R² = 0.083) attributable to a specific, identified cause (terrain data resolution) rather than an unexplained limit of the method.</w:t>
      </w:r>
    </w:p>
    <w:p w14:paraId="48E95DAA" w14:textId="77777777" w:rsidR="00B31231" w:rsidRPr="00B31231" w:rsidRDefault="00B31231" w:rsidP="00B31231">
      <w:pPr>
        <w:rPr>
          <w:lang w:val="en-US" w:eastAsia="fr-FR" w:bidi="ar-LB"/>
        </w:rPr>
      </w:pPr>
    </w:p>
    <w:p w14:paraId="3BBB1794" w14:textId="77777777" w:rsidR="00B31231" w:rsidRPr="00B31231" w:rsidRDefault="00B31231" w:rsidP="00B31231">
      <w:pPr>
        <w:rPr>
          <w:lang w:val="en-US" w:eastAsia="fr-FR" w:bidi="ar-LB"/>
        </w:rPr>
      </w:pPr>
      <w:r>
        <w:rPr>
          <w:lang w:val="en-US" w:eastAsia="fr-FR" w:bidi="ar-LB"/>
        </w:rPr>
        <w:t xml:space="preserve">RQ2: How do architectural features affect signal propagation? Fully addressed. Nottingham's non-monotonic accuracy across frequency was tied directly to changes in vegetation density and canopy geometry (Section 5.2); the corrected explanation for ray tracing's advantage over COST 231 (Section 6.1) shows building-height irregularity, specifically, as the architectural feature classical models cannot represent; and the cross-site comparison (Section 5.2) ties Nottingham's and London's dense, mixed-height cores, Stevenage's more uniform new-town geometry, and Scar Hill's rural terrain to their respective results.</w:t>
      </w:r>
    </w:p>
    <w:p w14:paraId="138453EC" w14:textId="77777777" w:rsidR="00B31231" w:rsidRPr="00B31231" w:rsidRDefault="00B31231" w:rsidP="00B31231">
      <w:pPr>
        <w:rPr>
          <w:lang w:val="en-US" w:eastAsia="fr-FR" w:bidi="ar-LB"/>
        </w:rPr>
      </w:pPr>
    </w:p>
    <w:p w14:paraId="56943F54" w14:textId="77777777" w:rsidR="00B31231" w:rsidRPr="00B31231" w:rsidRDefault="00B31231" w:rsidP="00B31231">
      <w:pPr>
        <w:rPr>
          <w:lang w:val="en-US" w:eastAsia="fr-FR" w:bidi="ar-LB"/>
        </w:rPr>
      </w:pPr>
      <w:r>
        <w:rPr>
          <w:lang w:val="en-US" w:eastAsia="fr-FR" w:bidi="ar-LB"/>
        </w:rPr>
        <w:t xml:space="preserve">RQ3: What spatial variations in signal strength, path loss, delay spread, and multipath richness can be observed across different urban regions? Partially addressed. Spatial variation in path loss and signal strength across distance and across sites was fully characterised (Tables 5.1-5.2, Section 5.2). Multipath richness was characterised indirectly, through the scattering ON/OFF sensitivity comparison (Table 5.2) and the scatter-path-count ratios documented during calibration (Section 4.4, Table 5.3), rather than through a dedicated multipath-richness metric. Delay spread and angular dispersion, both named in this project's own objectives (Section 1.5), were not computed or reported in this implementation; Sionna's PathSolver output supports this in principle, but it was not exercised for that purpose here. This is stated plainly as an objective not met, not implied to have been achieved.</w:t>
      </w:r>
    </w:p>
    <w:p w14:paraId="104E5502" w14:textId="77777777" w:rsidR="00B31231" w:rsidRPr="00B31231" w:rsidRDefault="00B31231" w:rsidP="00B31231">
      <w:pPr>
        <w:rPr>
          <w:lang w:val="en-US" w:eastAsia="fr-FR" w:bidi="ar-LB"/>
        </w:rPr>
      </w:pPr>
    </w:p>
    <w:p w14:paraId="281FD8E3" w14:textId="77777777" w:rsidR="00B31231" w:rsidRPr="00B31231" w:rsidRDefault="00B31231" w:rsidP="00B31231">
      <w:pPr>
        <w:rPr>
          <w:lang w:val="en-US" w:eastAsia="fr-FR" w:bidi="ar-LB"/>
        </w:rPr>
      </w:pPr>
      <w:r>
        <w:rPr>
          <w:lang w:val="en-US" w:eastAsia="fr-FR" w:bidi="ar-LB"/>
        </w:rPr>
        <w:t xml:space="preserve">RQ4: How do RT-based predictions compare with classical models in accuracy, resolution, and applicability? Addressed for the one site where a controlled, like-for-like comparison was carried out. At Nottingham 915 MHz, calibrated ray tracing (5.72 dB RMSE, an independent differentiable-RT pipeline) outperformed COST 231 Walfisch-Ikegami (approximately 12-18 dB RMSE) for a specific, identified reason, building-height irregularity, using the same scene and the same measurements (Section 5.3, Section 6.1). This comparison was not repeated at the other four sites or at higher frequencies, so this thesis's own evidence supports the conclusion at Nottingham 915 MHz specifically, not a general claim that ray tracing outperforms classical models everywhere this project was evaluated.</w:t>
      </w:r>
    </w:p>
    <w:p w14:paraId="68D047EA" w14:textId="77777777" w:rsidR="00B31231" w:rsidRPr="00B31231" w:rsidRDefault="00B31231" w:rsidP="00B31231">
      <w:pPr>
        <w:rPr>
          <w:lang w:val="en-US" w:eastAsia="fr-FR" w:bidi="ar-LB"/>
        </w:rPr>
      </w:pPr>
    </w:p>
    <w:p w14:paraId="2BBFB5F6" w14:textId="1963D8D7" w:rsidR="00F154CB" w:rsidRPr="00F154CB" w:rsidRDefault="00B31231" w:rsidP="00B31231">
      <w:pPr>
        <w:rPr>
          <w:lang w:val="en-US" w:eastAsia="fr-FR" w:bidi="ar-LB"/>
        </w:rPr>
      </w:pPr>
      <w:r>
        <w:rPr>
          <w:lang w:val="en-US" w:eastAsia="fr-FR" w:bidi="ar-LB"/>
        </w:rPr>
        <w:t xml:space="preserve">Objectives. Of the seven objectives set out in Section 1.5: developing three-dimensional urban models from LiDAR and OpenStreetMap data, preparing scenes for Sionna RT, conducting the propagation simulations themselves, evaluating the applicability and limitations of the framework, and investigating how calibration and geometric refinement affect RMSE and R² were each fully achieved, and are the substance of Chapters 4 to 6. Generating radio environmental maps was achieved at the level of methodology, using Sionna's RadioMapSolver (Section 3.4, Step 6), but the rendered coverage-map figures themselves remain outstanding in this written thesis (Figures 3.7, 4.4), pending generation from the notebooks directly. Analysing path loss, multipath propagation, delay spread, and angular dispersion was only partially achieved, for the reason stated under RQ3 above: path loss and a multipath-sensitivity proxy were delivered, delay spread and angular dispersion were not.</w:t>
      </w:r>
    </w:p>
    <w:p w14:paraId="74B46BC4" w14:textId="63FCD66E" w:rsidR="00F154CB" w:rsidRPr="00F154CB" w:rsidRDefault="00F154CB" w:rsidP="002D7E1A">
      <w:pPr>
        <w:pStyle w:val="Heading2"/>
        <w:rPr>
          <w:lang w:val="en-US" w:bidi="ar-LB"/>
        </w:rPr>
      </w:pPr>
      <w:bookmarkStart w:id="83" w:name="_Toc238551029"/>
      <w:r>
        <w:rPr>
          <w:lang w:val="en-US" w:bidi="ar-LB"/>
        </w:rPr>
        <w:t>7.3 Recommendations and Future Research Directions</w:t>
      </w:r>
      <w:bookmarkEnd w:id="83"/>
    </w:p>
    <w:p w14:paraId="10BE476D" w14:textId="5A26CF40" w:rsidR="00B31231" w:rsidRPr="00B31231" w:rsidRDefault="00B31231" w:rsidP="00B31231">
      <w:pPr>
        <w:jc w:val="left"/>
        <w:rPr>
          <w:lang w:val="en-US" w:eastAsia="fr-FR" w:bidi="ar-LB"/>
        </w:rPr>
      </w:pPr>
      <w:r>
        <w:rPr>
          <w:lang w:val="en-US" w:eastAsia="fr-FR" w:bidi="ar-LB"/>
        </w:rPr>
        <w:t xml:space="preserve">Limitations this project's own evidence identifies. Three bound how far these results generalise, each already established with evidence in Chapters 5 and 6 and restated here only as the basis for what follows: achievable accuracy depends on terrain data resolution, which varies categorically between sites (1 m LiDAR versus 30 m SRTM [30]); calibration is not a one-shot procedure, with London 1802 MHz requiring eight CMA-ES [31] runs before an acceptable result was accepted; and the computational cost of tens of millions of ray samples per evaluation bounds how many sites or configurations can practically be explored in a given study.</w:t>
      </w:r>
    </w:p>
    <w:p w14:paraId="5CBFCEB4" w14:textId="1DE99F12" w:rsidR="00B31231" w:rsidRPr="00B31231" w:rsidRDefault="00B31231" w:rsidP="00B31231">
      <w:pPr>
        <w:jc w:val="left"/>
        <w:rPr>
          <w:lang w:val="en-US" w:eastAsia="fr-FR" w:bidi="ar-LB"/>
        </w:rPr>
      </w:pPr>
      <w:r>
        <w:rPr>
          <w:lang w:val="en-US" w:eastAsia="fr-FR" w:bidi="ar-LB"/>
        </w:rPr>
        <w:t xml:space="preserve">Recommendations for improving the methodology. The calibration-necessity boundary found at Stevenage (Section 6.1) suggests that future work should screen a new site's propagation regime, specular- versus diffuse-dominated, before committing to a full material-parameter search, rather than applying the same calibration effort everywhere by default. Where a full search is warranted, reusing a calibrated material library from a previously characterised site of similar type (dense urban, suburban new-town, rural hilltop) as a warm start is a concrete way to reduce the number of calibration attempts needed, rather than starting from ITU-R defaults each time.</w:t>
      </w:r>
    </w:p>
    <w:p w14:paraId="021DC7A5" w14:textId="268840B2" w:rsidR="00B31231" w:rsidRPr="00B31231" w:rsidRDefault="00B31231" w:rsidP="00B31231">
      <w:pPr>
        <w:jc w:val="left"/>
        <w:rPr>
          <w:lang w:val="en-US" w:eastAsia="fr-FR" w:bidi="ar-LB"/>
        </w:rPr>
      </w:pPr>
      <w:r>
        <w:rPr>
          <w:lang w:val="en-US" w:eastAsia="fr-FR" w:bidi="ar-LB"/>
        </w:rPr>
        <w:t>Concrete next steps for this project's own dataset. Two evaluations begun during this project were not completed at the time of writing and are the most direct next step: Southampton's 2695 and 3602 MHz notebooks, and London's 2695 MHz calibration. Completing them would extend the fourteen-combination result set reported here to full coverage of all five sites at all four frequencies.</w:t>
      </w:r>
    </w:p>
    <w:p w14:paraId="63EA7D86" w14:textId="4B80A9BB" w:rsidR="006C79CB" w:rsidRDefault="00B31231" w:rsidP="00B31231">
      <w:pPr>
        <w:jc w:val="left"/>
        <w:rPr>
          <w:lang w:val="en-US" w:eastAsia="fr-FR" w:bidi="ar-LB"/>
        </w:rPr>
      </w:pPr>
      <w:r>
        <w:rPr>
          <w:lang w:val="en-US" w:eastAsia="fr-FR" w:bidi="ar-LB"/>
        </w:rPr>
        <w:t xml:space="preserve">Concrete future research directions. First, the RQ3 gap identified in Section 7.2, delay spread and angular dispersion, is directly addressable using the same PathSolver per-path output already used in this project's per-path vegetation correction (Section 3.4), and would let a future study characterise multipath richness quantitatively rather than through the scattering-sensitivity proxy used here. Second, the RQ4 classical-model comparison was carried out at a single site and frequency; repeating it at the other four sites, and above 3602 MHz, would test whether the building-height-irregularity explanation for ray tracing's advantage holds generally or is specific to Nottingham's geometry. Third, testing whether the Stevenage-like "no calibration needed" finding recurs at other specular-dominated suburban sites, beyond the single site where it was observed here, would establish whether it is a property of that environment type or particular to Ste</w:t>
      </w:r>
      <w:bookmarkStart w:id="84" w:name="_GoBack"/>
      <w:bookmarkEnd w:id="84"/>
      <w:r>
        <w:rPr>
          <w:lang w:val="en-US" w:eastAsia="fr-FR" w:bidi="ar-LB"/>
        </w:rPr>
        <w:t xml:space="preserve">venage itself.</w:t>
        <w:br w:type="page"/>
      </w:r>
    </w:p>
    <w:p w14:paraId="6819BEF8" w14:textId="12C27455" w:rsidR="00E73BB5" w:rsidRDefault="00E73BB5" w:rsidP="00E73BB5">
      <w:pPr>
        <w:pStyle w:val="Heading1"/>
        <w:rPr>
          <w:lang w:val="en-US" w:bidi="ar-LB"/>
        </w:rPr>
      </w:pPr>
      <w:bookmarkStart w:id="85" w:name="_Toc238551030"/>
      <w:r>
        <w:rPr>
          <w:lang w:val="en-US" w:bidi="ar-LB"/>
        </w:rPr>
        <w:lastRenderedPageBreak/>
        <w:t>References</w:t>
      </w:r>
      <w:bookmarkEnd w:id="25"/>
      <w:bookmarkEnd w:id="85"/>
    </w:p>
    <w:p>
      <w:pPr>
        <w:spacing w:after="160"/>
      </w:pPr>
      <w:r>
        <w:t xml:space="preserve">[1] Ericsson, "Ericsson Mobility Report," June 2026. [Online]. Available: https://www.ericsson.com/en/reports-and-papers/mobility-report/reports/june-2026</w:t>
      </w:r>
    </w:p>
    <w:p>
      <w:pPr>
        <w:spacing w:after="160"/>
      </w:pPr>
      <w:r>
        <w:t xml:space="preserve">[2] Z. Yun and M. F. Iskander, "Ray Tracing for Radio Propagation Modeling: Principles and Applications," *IEEE Access*, vol. 3, pp. 1089–1100, 2015. doi: 10.1109/ACCESS.2015.2453991.</w:t>
      </w:r>
    </w:p>
    <w:p>
      <w:pPr>
        <w:spacing w:after="160"/>
      </w:pPr>
      <w:r>
        <w:t xml:space="preserve">[3] J. Hoydis et al., "Sionna RT: Differentiable Ray Tracing for Radio Propagation Modeling," arXiv:2303.11103, 2023. Also in *Proc. IEEE ICC Workshops*, 2024.</w:t>
      </w:r>
    </w:p>
    <w:p>
      <w:pPr>
        <w:spacing w:after="160"/>
      </w:pPr>
      <w:r>
        <w:t xml:space="preserve">[5] Ofcom, "UK Radiowave Propagation Measurement Data" (sub-6 GHz propagation measurement dataset), Ofcom Open Data, published 2 Aug. 2019 (data collected 2015–2018 at Boston, London, Merthyr Tydfil, Nottingham, Scar Hill, Southampton, Stevenage; 449/915/1802/2695/3602/5850 MHz).</w:t>
      </w:r>
    </w:p>
    <w:p>
      <w:pPr>
        <w:spacing w:after="160"/>
      </w:pPr>
      <w:r>
        <w:t xml:space="preserve">[6] 3GPP, "Study on channel model for frequencies from 0.5 to 100 GHz," 3GPP TR 38.901 V18.0.0, May 2024.</w:t>
      </w:r>
    </w:p>
    <w:p>
      <w:pPr>
        <w:spacing w:after="160"/>
      </w:pPr>
      <w:r>
        <w:t xml:space="preserve">[7] A. Manukyan, H. Khachatrian, E. Ghukasyan, and T. P. Raptis, "On the Limitations of Ray-Tracing for Learning-Based RF Tasks in Urban Environments," arXiv:2507.19653, 2025.</w:t>
      </w:r>
    </w:p>
    <w:p>
      <w:pPr>
        <w:spacing w:after="160"/>
      </w:pPr>
      <w:r>
        <w:t xml:space="preserve">[8] Environment Agency / Defra, "LIDAR Composite Digital Terrain Model (DTM)" and "Digital Surface Model (DSM)," Defra Data Services Platform. [Online]. Available: https://environment.data.gov.uk/dataset/</w:t>
      </w:r>
    </w:p>
    <w:p>
      <w:pPr>
        <w:spacing w:after="160"/>
      </w:pPr>
      <w:r>
        <w:t xml:space="preserve">[9] M. Hata, "Empirical Formula for Propagation Loss in Land Mobile Radio Services," *IEEE Trans. Veh. Technol.*, vol. VT-29, no. 3, pp. 317–325, Aug. 1980. doi: 10.1109/T-VT.1980.23859.</w:t>
      </w:r>
    </w:p>
    <w:p>
      <w:pPr>
        <w:spacing w:after="160"/>
      </w:pPr>
      <w:r>
        <w:t xml:space="preserve">[10] COST Action 231, "Digital Mobile Radio Towards Future Generation Systems," COST 231 Final Report, European Commission, EUR 18957, 1999. ISBN 9789282854167.</w:t>
      </w:r>
    </w:p>
    <w:p>
      <w:pPr>
        <w:spacing w:after="160"/>
      </w:pPr>
      <w:r>
        <w:t xml:space="preserve">[11] H. T. Friis, "A Note on a Simple Transmission Formula," *Proc. IRE*, vol. 34, no. 5, pp. 254–256, 1946. doi: 10.1109/JRPROC.1946.234568.</w:t>
      </w:r>
    </w:p>
    <w:p>
      <w:pPr>
        <w:spacing w:after="160"/>
      </w:pPr>
      <w:r>
        <w:t xml:space="preserve">[12] W. Jakob, S. Speierer, N. Roussel, and D. Vicini, "Dr.Jit: A Just-In-Time Compiler for Differentiable Rendering," *ACM Trans. Graph. (Proc. SIGGRAPH)*, vol. 41, no. 4, 2022. arXiv:2202.01284.</w:t>
      </w:r>
    </w:p>
    <w:p>
      <w:pPr>
        <w:spacing w:after="160"/>
      </w:pPr>
      <w:r>
        <w:t xml:space="preserve">[13] W. Jakob et al., "Mitsuba 3: A Retargetable Forward and Inverse Renderer," EPFL / Mitsuba Renderer project. [Online]. Available: https://github.com/mitsuba-renderer/mitsuba3</w:t>
      </w:r>
    </w:p>
    <w:p>
      <w:pPr>
        <w:spacing w:after="160"/>
      </w:pPr>
      <w:r>
        <w:t xml:space="preserve">[14] M. Pesko, T. Javornik, A. Košir, M. Štular, and M. Mohorčič, "Radio Environment Maps: The Survey of Construction Methods," *KSII Trans. Internet Inf. Syst.*, vol. 8, no. 11, pp. 3789–3809, Nov. 2014. doi: 10.3837/tiis.2014.11.008.</w:t>
      </w:r>
    </w:p>
    <w:p>
      <w:pPr>
        <w:spacing w:after="160"/>
      </w:pPr>
      <w:r>
        <w:t xml:space="preserve">[15] ITU-R, "Propagation data and prediction methods for the planning of short-range outdoor radiocommunication systems and radio local area networks in the frequency range 300 MHz to 100 GHz," Recommendation ITU-R P.1411-10, Aug. 2019.</w:t>
      </w:r>
    </w:p>
    <w:p>
      <w:pPr>
        <w:spacing w:after="160"/>
      </w:pPr>
      <w:r>
        <w:t xml:space="preserve">[16] ITU-R, "Attenuation in vegetation," Recommendation ITU-R P.833-10, Sept. 2021.</w:t>
      </w:r>
    </w:p>
    <w:p>
      <w:pPr>
        <w:spacing w:after="160"/>
      </w:pPr>
      <w:r>
        <w:t xml:space="preserve">[17] ITU-R, "Effects of building materials and structures on radiowave propagation above about 100 MHz," Recommendation ITU-R P.2040-2, Sept. 2021.</w:t>
      </w:r>
    </w:p>
    <w:p>
      <w:pPr>
        <w:spacing w:after="160"/>
      </w:pPr>
      <w:r>
        <w:t xml:space="preserve">[18] M. A. Weissberger, "An Initial Critical Summary of Models for Predicting the Attenuation of Radio Waves by Trees," ESD-TR-81-101, EMC Analysis Center, Annapolis, MD, 1982.</w:t>
      </w:r>
    </w:p>
    <w:p>
      <w:pPr>
        <w:spacing w:after="160"/>
      </w:pPr>
      <w:r>
        <w:t xml:space="preserve">[19] O. Kanhere, H. Poddar, and T. S. Rappaport, "Calibration of NYURay for Ray Tracing using 28, 73, and 142 GHz Channel Measurements Conducted in Indoor, Outdoor, and Factory Scenarios," arXiv:2410.03104, 2024 (accepted, IEEE Trans. Antennas Propag.).</w:t>
      </w:r>
    </w:p>
    <w:p>
      <w:pPr>
        <w:spacing w:after="160"/>
      </w:pPr>
      <w:r>
        <w:t xml:space="preserve">[20] R. Levie, C. Yapar, G. Kutyniok, and G. Caire, "RadioUNet: Fast Radio Map Estimation With Convolutional Neural Networks," *IEEE Trans. Wireless Commun.*, vol. 20, no. 6, pp. 4001–4015, 2021.</w:t>
      </w:r>
    </w:p>
    <w:p>
      <w:pPr>
        <w:spacing w:after="160"/>
      </w:pPr>
      <w:r>
        <w:t xml:space="preserve">[21] J. Hoydis, F. Aït Aoudia, S. Cammerer, F. Euchner, M. Nimier-David, S. ten Brink, and A. Keller, "Learning Radio Environments by Differentiable Ray Tracing," arXiv:2311.18558, 2023 (IEEE Trans. Machine Learning in Communications and Networking, 2024).</w:t>
      </w:r>
    </w:p>
    <w:p>
      <w:pPr>
        <w:spacing w:after="160"/>
      </w:pPr>
      <w:r>
        <w:t xml:space="preserve">[22] ITU-R, "Effects of building materials and structures on radiowave propagation above about 100 MHz," Recommendation ITU-R P.2040-1, Jul. 2015.</w:t>
      </w:r>
    </w:p>
    <w:p>
      <w:pPr>
        <w:spacing w:after="160"/>
      </w:pPr>
      <w:r>
        <w:t xml:space="preserve">[23] R. G. Kouyoumjian and P. H. Pathak, "A Uniform Geometrical Theory of Diffraction for an Edge in a Perfectly Conducting Surface," *Proc. IEEE*, vol. 62, no. 11, pp. 1448–1461, Nov. 1974.</w:t>
      </w:r>
    </w:p>
    <w:p>
      <w:pPr>
        <w:spacing w:after="160"/>
      </w:pPr>
      <w:r>
        <w:t xml:space="preserve">[24] D. Chizhik, J. Ling, P. Wolniansky, R. Valenzuela, N. Costa, and K. Huber, "Multiple-Input-Multiple-Output Measurements and Modeling in Manhattan," *IEEE J. Sel. Areas Commun.*, vol. 21, no. 3, pp. 321–331, Apr. 2003. doi: 10.1109/JSAC.2003.809457.</w:t>
      </w:r>
    </w:p>
    <w:p>
      <w:pPr>
        <w:spacing w:after="160"/>
      </w:pPr>
      <w:r>
        <w:t xml:space="preserve">[25] T. S. Rappaport, G. R. MacCartney, M. K. Samimi, and S. Sun, "Wideband Millimeter-Wave Propagation Measurements and Channel Models for Future Wireless Communication System Design," *IEEE Trans. Commun.*, vol. 63, no. 9, pp. 3029–3056, Sept. 2015.</w:t>
      </w:r>
    </w:p>
    <w:p>
      <w:pPr>
        <w:spacing w:after="160"/>
      </w:pPr>
      <w:r>
        <w:t xml:space="preserve">[26] University of Bologna (author name not confirmed — WebFetch to amslaurea.unibo.it is network-blocked in this session), "High Resolution Radio Environmental Maps Using Sionna Ray Tracing: The Case Study of Bologna," undergraduate/master's thesis, AMS Laurea repository, eprint 35655, Jul. 2025. Available: https://amslaurea.unibo.it/id/eprint/35655/</w:t>
      </w:r>
    </w:p>
    <w:p>
      <w:pPr>
        <w:spacing w:after="160"/>
      </w:pPr>
      <w:r>
        <w:t xml:space="preserve">[27] V. Degli-Esposti, F. Fuschini, E. M. Vitucci, and G. Falciasecca, "Measurement and Modelling of Scattering From Buildings," *IEEE Trans. Antennas Propag.*, vol. 55, no. 1, pp. 143–153, Jan. 2007. doi: 10.1109/TAP.2006.888422.</w:t>
      </w:r>
    </w:p>
    <w:p>
      <w:pPr>
        <w:spacing w:after="160"/>
      </w:pPr>
      <w:r>
        <w:t xml:space="preserve">[28] M. J. D. Powell, "An Efficient Method for Finding the Minimum of a Function of Several Variables Without Calculating Derivatives," *Comput. J.*, vol. 7, no. 2, pp. 155–162, 1964. doi: 10.1093/comjnl/7.2.155.</w:t>
      </w:r>
    </w:p>
    <w:p>
      <w:pPr>
        <w:spacing w:after="160"/>
      </w:pPr>
      <w:r>
        <w:t xml:space="preserve">[29] M. Ying, D. Shakya, P. Ma, G. Qian, and T. S. Rappaport, "Site-Specific Location Calibration and Validation of Ray-Tracing Simulator NYURay at Upper Mid-Band Frequencies," *npj Wireless Technol.*, vol. 2, art. 8, 2026 (also arXiv:2507.22027).</w:t>
      </w:r>
    </w:p>
    <w:p>
      <w:pPr>
        <w:spacing w:after="160"/>
      </w:pPr>
      <w:r>
        <w:t xml:space="preserve">[30] E. Uuemaa, S. Ahi, B. Montibeller, M. Muru, and A. Kmoch, "Vertical Accuracy of Freely Available Global Digital Elevation Models (ASTER, AW3D30, MERIT, TanDEM-X, SRTM, and NASADEM)," *Remote Sens.*, vol. 12, no. 21, art. 3482, 2020. doi: 10.3390/rs12213482.</w:t>
      </w:r>
    </w:p>
    <w:p>
      <w:pPr>
        <w:spacing w:after="160"/>
      </w:pPr>
      <w:r>
        <w:t xml:space="preserve">[31] N. Hansen and A. Ostermeier, "Completely Derandomized Self-Adaptation in Evolution Strategies," *Evolutionary Computation*, vol. 9, no. 2, pp. 159–195, 2001. doi: 10.1162/106365601750190398.</w:t>
      </w:r>
    </w:p>
    <w:p>
      <w:pPr>
        <w:spacing w:after="160"/>
      </w:pPr>
      <w:r>
        <w:t xml:space="preserve">[32] T. S. Rappaport, *Wireless Communications: Principles and Practice*, 2nd ed. Upper Saddle River, NJ: Prentice Hall, 2002. ISBN 9780130422323.</w:t>
      </w:r>
    </w:p>
    <w:p w14:paraId="6459F9E4" w14:textId="0ED03DE6" w:rsidR="00E73BB5" w:rsidRPr="00ED19F5" w:rsidRDefault="00E73BB5">
      <w:pPr>
        <w:pStyle w:val="Heading1"/>
        <w:numPr>
          <w:ilvl w:val="0"/>
          <w:numId w:val="0"/>
        </w:numPr>
        <w:jc w:val="center"/>
        <w:rPr>
          <w:lang w:val="en-US" w:bidi="ar-LB"/>
        </w:rPr>
      </w:pPr>
      <w:r>
        <w:rPr>
          <w:lang w:val="en-US" w:bidi="ar-LB"/>
        </w:rPr>
        <w:br w:type="page"/>
      </w:r>
      <w:bookmarkStart w:id="86" w:name="_Toc442999167"/>
      <w:bookmarkStart w:id="87" w:name="_Toc238551031"/>
      <w:r>
        <w:rPr>
          <w:lang w:val="en-US" w:bidi="ar-LB"/>
        </w:rPr>
        <w:lastRenderedPageBreak/>
        <w:t>Appendix 1</w:t>
      </w:r>
      <w:bookmarkEnd w:id="86"/>
      <w:bookmarkEnd w:id="87"/>
    </w:p>
    <w:p w14:paraId="5F0C45C6" w14:textId="77777777" w:rsidR="00E73BB5" w:rsidRPr="00ED19F5" w:rsidRDefault="00E73BB5" w:rsidP="00E73BB5">
      <w:pPr>
        <w:rPr>
          <w:lang w:val="en-US" w:eastAsia="fr-FR" w:bidi="ar-LB"/>
        </w:rPr>
      </w:pPr>
    </w:p>
    <w:p w14:paraId="2A73EB48" w14:textId="247D8B7F" w:rsidR="00E73BB5" w:rsidRPr="00ED19F5" w:rsidRDefault="00E73BB5" w:rsidP="00E73BB5">
      <w:pPr>
        <w:rPr>
          <w:lang w:val="en-US" w:eastAsia="fr-FR" w:bidi="ar-LB"/>
        </w:rPr>
      </w:pPr>
      <w:r>
        <w:rPr>
          <w:lang w:val="en-US" w:eastAsia="fr-FR" w:bidi="ar-LB"/>
        </w:rPr>
        <w:t>These should be used for reference material, such as selected pieces of research data and other information which is too bulky, or would detract from the flow of the text, if included in the main body of the document. Try to make reference material that will be consulted from many different places in the document and appendix. Otherwise, put the information into a figure or table and keep it close to the text that refers to it.</w:t>
      </w:r>
    </w:p>
    <w:p w14:paraId="7156F229" w14:textId="77777777" w:rsidR="006C3A47" w:rsidRDefault="006C3A47">
      <w:pPr>
        <w:jc w:val="left"/>
        <w:rPr>
          <w:rFonts w:eastAsia="Times New Roman" w:cs="Times New Roman"/>
          <w:b/>
          <w:bCs/>
          <w:kern w:val="28"/>
          <w:sz w:val="28"/>
          <w:szCs w:val="28"/>
          <w:lang w:val="en-US" w:eastAsia="fr-FR" w:bidi="ar-LB"/>
        </w:rPr>
      </w:pPr>
      <w:r>
        <w:rPr>
          <w:lang w:val="en-US" w:bidi="ar-LB"/>
        </w:rPr>
        <w:br w:type="page"/>
      </w:r>
    </w:p>
    <w:p w14:paraId="4B385F01" w14:textId="749F6112" w:rsidR="009B6609" w:rsidRDefault="009B6609" w:rsidP="009B6609">
      <w:pPr>
        <w:pStyle w:val="Heading1"/>
        <w:numPr>
          <w:ilvl w:val="0"/>
          <w:numId w:val="0"/>
        </w:numPr>
        <w:ind w:left="432" w:hanging="432"/>
        <w:rPr>
          <w:lang w:val="en-US" w:bidi="ar-LB"/>
        </w:rPr>
      </w:pPr>
      <w:bookmarkStart w:id="88" w:name="_Toc238551032"/>
      <w:r>
        <w:rPr>
          <w:lang w:val="en-US" w:bidi="ar-LB"/>
        </w:rPr>
        <w:lastRenderedPageBreak/>
        <w:t>Assessed Performance Indicators:</w:t>
      </w:r>
      <w:bookmarkEnd w:id="88"/>
    </w:p>
    <w:p w14:paraId="1B9672BB" w14:textId="5997CF38" w:rsidR="0079308E" w:rsidRDefault="0079308E" w:rsidP="009B6609">
      <w:pPr>
        <w:rPr>
          <w:lang w:val="en-US" w:eastAsia="fr-FR" w:bidi="ar-LB"/>
        </w:rPr>
      </w:pPr>
      <w:r>
        <w:rPr>
          <w:lang w:val="en-US" w:eastAsia="fr-FR" w:bidi="ar-LB"/>
        </w:rPr>
        <w:t xml:space="preserve">The Assessed Performance Indicators in the thesis report are :</w:t>
      </w:r>
    </w:p>
    <w:p w14:paraId="69EEB13E" w14:textId="2FE20DAA" w:rsidR="004A7583" w:rsidRPr="004A7583" w:rsidRDefault="00E328B1" w:rsidP="00E328B1">
      <w:pPr>
        <w:pStyle w:val="Caption"/>
        <w:rPr>
          <w:rFonts w:ascii="Georgia" w:hAnsi="Georgia"/>
        </w:rPr>
      </w:pPr>
      <w:bookmarkStart w:id="89" w:name="_Toc224027621"/>
      <w:bookmarkStart w:id="90" w:name="_Toc238551053"/>
      <w:r>
        <w:t xml:space="preserve">Table </w:t>
      </w:r>
      <w:fldSimple w:instr=" SEQ Table \* ARABIC ">
        <w:r>
          <w:rPr>
            <w:noProof/>
          </w:rPr>
          <w:t>16</w:t>
        </w:r>
      </w:fldSimple>
      <w:r>
        <w:t xml:space="preserve"> - Performance indicators associated to the 1 to 5 Program Learning Outcomes, assessed in the thesis report</w:t>
      </w:r>
      <w:bookmarkEnd w:id="89"/>
      <w:bookmarkEnd w:id="90"/>
    </w:p>
    <w:tbl>
      <w:tblPr>
        <w:tblpPr w:leftFromText="180" w:rightFromText="180" w:vertAnchor="text" w:horzAnchor="margin" w:tblpY="150"/>
        <w:tblW w:w="9488" w:type="dxa"/>
        <w:tblCellMar>
          <w:left w:w="0" w:type="dxa"/>
          <w:right w:w="0" w:type="dxa"/>
        </w:tblCellMar>
        <w:tblLook w:val="04A0" w:firstRow="1" w:lastRow="0" w:firstColumn="1" w:lastColumn="0" w:noHBand="0" w:noVBand="1"/>
      </w:tblPr>
      <w:tblGrid>
        <w:gridCol w:w="2967"/>
        <w:gridCol w:w="6521"/>
      </w:tblGrid>
      <w:tr w:rsidR="00B72944" w:rsidRPr="00E05F9C" w14:paraId="143D51C3" w14:textId="77777777" w:rsidTr="16927219">
        <w:trPr>
          <w:trHeight w:val="480"/>
        </w:trPr>
        <w:tc>
          <w:tcPr>
            <w:tcW w:w="29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hideMark/>
          </w:tcPr>
          <w:p w14:paraId="6A22B90A" w14:textId="77777777" w:rsidR="00B72944" w:rsidRPr="00B72944" w:rsidRDefault="00B72944" w:rsidP="0018120C">
            <w:pPr>
              <w:rPr>
                <w:rFonts w:asciiTheme="majorBidi" w:hAnsiTheme="majorBidi" w:cstheme="majorBidi"/>
                <w:sz w:val="22"/>
                <w:lang w:val="en-US"/>
              </w:rPr>
            </w:pPr>
            <w:r>
              <w:rPr>
                <w:rFonts w:asciiTheme="majorBidi" w:hAnsiTheme="majorBidi" w:cstheme="majorBidi"/>
                <w:b/>
                <w:bCs/>
                <w:sz w:val="22"/>
                <w:lang w:val="en-US"/>
              </w:rPr>
              <w:t xml:space="preserve">Program Learning Outcomes (PLO) ↔ Compétences </w:t>
            </w:r>
          </w:p>
        </w:tc>
        <w:tc>
          <w:tcPr>
            <w:tcW w:w="6521" w:type="dxa"/>
            <w:tcBorders>
              <w:top w:val="single" w:sz="8" w:space="0" w:color="000000" w:themeColor="text1"/>
              <w:left w:val="nil"/>
              <w:bottom w:val="single" w:sz="8" w:space="0" w:color="000000" w:themeColor="text1"/>
              <w:right w:val="single" w:sz="8" w:space="0" w:color="000000" w:themeColor="text1"/>
            </w:tcBorders>
            <w:tcMar>
              <w:top w:w="72" w:type="dxa"/>
              <w:left w:w="144" w:type="dxa"/>
              <w:bottom w:w="72" w:type="dxa"/>
              <w:right w:w="144" w:type="dxa"/>
            </w:tcMar>
            <w:hideMark/>
          </w:tcPr>
          <w:p w14:paraId="5121AED7" w14:textId="77777777" w:rsidR="00B72944" w:rsidRPr="00605188" w:rsidRDefault="00B72944" w:rsidP="0018120C">
            <w:pPr>
              <w:rPr>
                <w:rFonts w:asciiTheme="majorBidi" w:hAnsiTheme="majorBidi" w:cstheme="majorBidi"/>
                <w:sz w:val="22"/>
              </w:rPr>
            </w:pPr>
            <w:r>
              <w:rPr>
                <w:rFonts w:asciiTheme="majorBidi" w:hAnsiTheme="majorBidi" w:cstheme="majorBidi"/>
                <w:b/>
                <w:bCs/>
                <w:sz w:val="22"/>
              </w:rPr>
              <w:t xml:space="preserve">Performance Indicators (PI) ↔ Résultats d’Apprentissage niveau Programme (RAP)</w:t>
            </w:r>
          </w:p>
        </w:tc>
      </w:tr>
      <w:tr w:rsidR="00B72944" w:rsidRPr="0029235E" w14:paraId="7FBD84EF" w14:textId="77777777" w:rsidTr="16927219">
        <w:trPr>
          <w:trHeight w:val="960"/>
        </w:trPr>
        <w:tc>
          <w:tcPr>
            <w:tcW w:w="2967" w:type="dxa"/>
            <w:tcBorders>
              <w:top w:val="nil"/>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hideMark/>
          </w:tcPr>
          <w:p w14:paraId="0F766FA6" w14:textId="77777777" w:rsidR="00B72944" w:rsidRPr="00B72944" w:rsidRDefault="00B72944" w:rsidP="0018120C">
            <w:pPr>
              <w:ind w:left="270" w:hanging="284"/>
              <w:rPr>
                <w:rFonts w:asciiTheme="majorBidi" w:hAnsiTheme="majorBidi" w:cstheme="majorBidi"/>
                <w:sz w:val="22"/>
                <w:lang w:val="en-US"/>
              </w:rPr>
            </w:pPr>
            <w:r>
              <w:rPr>
                <w:rFonts w:asciiTheme="majorBidi" w:hAnsiTheme="majorBidi" w:cstheme="majorBidi"/>
                <w:sz w:val="22"/>
                <w:lang w:val="en-US"/>
              </w:rPr>
              <w:t>1.  Acquire and apply advanced knowledge appropriate to the discipline.</w:t>
            </w:r>
          </w:p>
        </w:tc>
        <w:tc>
          <w:tcPr>
            <w:tcW w:w="6521" w:type="dxa"/>
            <w:tcBorders>
              <w:top w:val="nil"/>
              <w:left w:val="nil"/>
              <w:bottom w:val="single" w:sz="8" w:space="0" w:color="000000" w:themeColor="text1"/>
              <w:right w:val="single" w:sz="8" w:space="0" w:color="000000" w:themeColor="text1"/>
            </w:tcBorders>
            <w:tcMar>
              <w:top w:w="72" w:type="dxa"/>
              <w:left w:w="144" w:type="dxa"/>
              <w:bottom w:w="72" w:type="dxa"/>
              <w:right w:w="144" w:type="dxa"/>
            </w:tcMar>
            <w:hideMark/>
          </w:tcPr>
          <w:p w14:paraId="4DA5E38F" w14:textId="77777777" w:rsidR="00B72944" w:rsidRPr="00062F44" w:rsidRDefault="00B72944" w:rsidP="0018120C">
            <w:pPr>
              <w:rPr>
                <w:rFonts w:asciiTheme="majorBidi" w:hAnsiTheme="majorBidi" w:cstheme="majorBidi"/>
                <w:strike/>
                <w:sz w:val="22"/>
                <w:lang w:val="en-US"/>
              </w:rPr>
            </w:pPr>
            <w:r>
              <w:rPr>
                <w:rFonts w:asciiTheme="majorBidi" w:hAnsiTheme="majorBidi" w:cstheme="majorBidi"/>
                <w:strike/>
                <w:sz w:val="22"/>
                <w:lang w:val="en-US"/>
              </w:rPr>
              <w:t>1.1: Acquire advanced knowledge and concepts</w:t>
            </w:r>
          </w:p>
          <w:p w14:paraId="7017BDE3" w14:textId="77777777" w:rsidR="00B72944" w:rsidRPr="00B72944" w:rsidRDefault="00B72944" w:rsidP="0018120C">
            <w:pPr>
              <w:rPr>
                <w:rFonts w:asciiTheme="majorBidi" w:hAnsiTheme="majorBidi" w:cstheme="majorBidi"/>
                <w:sz w:val="22"/>
                <w:lang w:val="en-US"/>
              </w:rPr>
            </w:pPr>
            <w:r>
              <w:rPr>
                <w:rFonts w:asciiTheme="majorBidi" w:hAnsiTheme="majorBidi" w:cstheme="majorBidi"/>
                <w:sz w:val="22"/>
                <w:lang w:val="en-US"/>
              </w:rPr>
              <w:t>1.2: Analyze, formulate and solve technical problems</w:t>
            </w:r>
          </w:p>
          <w:p w14:paraId="59DC9E9B" w14:textId="77777777" w:rsidR="00B72944" w:rsidRPr="00B72944" w:rsidRDefault="00B72944" w:rsidP="0018120C">
            <w:pPr>
              <w:rPr>
                <w:rFonts w:asciiTheme="majorBidi" w:hAnsiTheme="majorBidi" w:cstheme="majorBidi"/>
                <w:sz w:val="22"/>
                <w:lang w:val="en-US"/>
              </w:rPr>
            </w:pPr>
          </w:p>
        </w:tc>
      </w:tr>
      <w:tr w:rsidR="00B72944" w:rsidRPr="0029235E" w14:paraId="3171F4DC" w14:textId="77777777" w:rsidTr="16927219">
        <w:trPr>
          <w:trHeight w:val="783"/>
        </w:trPr>
        <w:tc>
          <w:tcPr>
            <w:tcW w:w="2967" w:type="dxa"/>
            <w:tcBorders>
              <w:top w:val="nil"/>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hideMark/>
          </w:tcPr>
          <w:p w14:paraId="24A1C2DB" w14:textId="77777777" w:rsidR="00B72944" w:rsidRPr="00B72944" w:rsidRDefault="00B72944" w:rsidP="0018120C">
            <w:pPr>
              <w:ind w:left="270" w:hanging="284"/>
              <w:rPr>
                <w:rFonts w:asciiTheme="majorBidi" w:hAnsiTheme="majorBidi" w:cstheme="majorBidi"/>
                <w:sz w:val="22"/>
                <w:lang w:val="en-US"/>
              </w:rPr>
            </w:pPr>
            <w:r>
              <w:rPr>
                <w:rFonts w:asciiTheme="majorBidi" w:hAnsiTheme="majorBidi" w:cstheme="majorBidi"/>
                <w:sz w:val="22"/>
                <w:lang w:val="en-US"/>
              </w:rPr>
              <w:t>2.  Conduct independent research by defining key questions, performing a critical literature review, and proposing adequate research methodology</w:t>
            </w:r>
          </w:p>
        </w:tc>
        <w:tc>
          <w:tcPr>
            <w:tcW w:w="6521" w:type="dxa"/>
            <w:tcBorders>
              <w:top w:val="nil"/>
              <w:left w:val="nil"/>
              <w:bottom w:val="single" w:sz="8" w:space="0" w:color="000000" w:themeColor="text1"/>
              <w:right w:val="single" w:sz="8" w:space="0" w:color="000000" w:themeColor="text1"/>
            </w:tcBorders>
            <w:tcMar>
              <w:top w:w="72" w:type="dxa"/>
              <w:left w:w="144" w:type="dxa"/>
              <w:bottom w:w="72" w:type="dxa"/>
              <w:right w:w="144" w:type="dxa"/>
            </w:tcMar>
            <w:hideMark/>
          </w:tcPr>
          <w:p w14:paraId="6CBD131D" w14:textId="77777777" w:rsidR="00B72944" w:rsidRPr="00B72944" w:rsidRDefault="00B72944" w:rsidP="0018120C">
            <w:pPr>
              <w:ind w:left="424" w:hanging="425"/>
              <w:rPr>
                <w:rFonts w:asciiTheme="majorBidi" w:hAnsiTheme="majorBidi" w:cstheme="majorBidi"/>
                <w:sz w:val="22"/>
                <w:lang w:val="en-US"/>
              </w:rPr>
            </w:pPr>
            <w:r>
              <w:rPr>
                <w:rFonts w:asciiTheme="majorBidi" w:hAnsiTheme="majorBidi" w:cstheme="majorBidi"/>
                <w:sz w:val="22"/>
                <w:lang w:val="en-US"/>
              </w:rPr>
              <w:t>2.1: Define relevant research questions, grounded in prior literature and practical needs.</w:t>
            </w:r>
          </w:p>
          <w:p w14:paraId="2C932B49" w14:textId="77777777" w:rsidR="00B72944" w:rsidRPr="00B72944" w:rsidRDefault="00B72944" w:rsidP="0018120C">
            <w:pPr>
              <w:ind w:left="424" w:hanging="425"/>
              <w:rPr>
                <w:rFonts w:asciiTheme="majorBidi" w:hAnsiTheme="majorBidi" w:cstheme="majorBidi"/>
                <w:sz w:val="22"/>
                <w:lang w:val="en-US"/>
              </w:rPr>
            </w:pPr>
            <w:r>
              <w:rPr>
                <w:rFonts w:asciiTheme="majorBidi" w:hAnsiTheme="majorBidi" w:cstheme="majorBidi"/>
                <w:sz w:val="22"/>
                <w:lang w:val="en-US"/>
              </w:rPr>
              <w:t>2.2: Perform critical literature review to identify gaps in current knowledge</w:t>
            </w:r>
          </w:p>
          <w:p w14:paraId="24F04ACA" w14:textId="77777777" w:rsidR="00B72944" w:rsidRPr="00B72944" w:rsidRDefault="00B72944" w:rsidP="0018120C">
            <w:pPr>
              <w:ind w:left="424" w:hanging="425"/>
              <w:rPr>
                <w:rFonts w:asciiTheme="majorBidi" w:hAnsiTheme="majorBidi" w:cstheme="majorBidi"/>
                <w:sz w:val="22"/>
                <w:lang w:val="en-US"/>
              </w:rPr>
            </w:pPr>
            <w:r>
              <w:rPr>
                <w:rFonts w:asciiTheme="majorBidi" w:hAnsiTheme="majorBidi" w:cstheme="majorBidi"/>
                <w:sz w:val="22"/>
                <w:lang w:val="en-US"/>
              </w:rPr>
              <w:t>2.3: Propose rigorous and scientific methods for investigation and validation</w:t>
            </w:r>
          </w:p>
        </w:tc>
      </w:tr>
      <w:tr w:rsidR="00B72944" w:rsidRPr="0029235E" w14:paraId="32DA6D5A" w14:textId="77777777" w:rsidTr="16927219">
        <w:trPr>
          <w:trHeight w:val="960"/>
        </w:trPr>
        <w:tc>
          <w:tcPr>
            <w:tcW w:w="2967" w:type="dxa"/>
            <w:tcBorders>
              <w:top w:val="nil"/>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hideMark/>
          </w:tcPr>
          <w:p w14:paraId="7BCB6EB7" w14:textId="77777777" w:rsidR="00B72944" w:rsidRPr="00B72944" w:rsidRDefault="00B72944" w:rsidP="0018120C">
            <w:pPr>
              <w:ind w:left="270" w:hanging="284"/>
              <w:rPr>
                <w:rFonts w:asciiTheme="majorBidi" w:hAnsiTheme="majorBidi" w:cstheme="majorBidi"/>
                <w:sz w:val="22"/>
                <w:lang w:val="en-US"/>
              </w:rPr>
            </w:pPr>
            <w:r>
              <w:rPr>
                <w:rFonts w:asciiTheme="majorBidi" w:hAnsiTheme="majorBidi" w:cstheme="majorBidi"/>
                <w:sz w:val="22"/>
                <w:lang w:val="en-US"/>
              </w:rPr>
              <w:t>3.  Execute a research methodology using appropriate tools and validate the findings by analyzing results with scientific rigor.</w:t>
            </w:r>
          </w:p>
        </w:tc>
        <w:tc>
          <w:tcPr>
            <w:tcW w:w="6521" w:type="dxa"/>
            <w:tcBorders>
              <w:top w:val="nil"/>
              <w:left w:val="nil"/>
              <w:bottom w:val="single" w:sz="8" w:space="0" w:color="000000" w:themeColor="text1"/>
              <w:right w:val="single" w:sz="8" w:space="0" w:color="000000" w:themeColor="text1"/>
            </w:tcBorders>
            <w:tcMar>
              <w:top w:w="72" w:type="dxa"/>
              <w:left w:w="144" w:type="dxa"/>
              <w:bottom w:w="72" w:type="dxa"/>
              <w:right w:w="144" w:type="dxa"/>
            </w:tcMar>
            <w:hideMark/>
          </w:tcPr>
          <w:p w14:paraId="466357AB" w14:textId="77777777" w:rsidR="00B72944" w:rsidRPr="00B72944" w:rsidRDefault="00B72944" w:rsidP="0018120C">
            <w:pPr>
              <w:ind w:left="424" w:hanging="425"/>
              <w:rPr>
                <w:rFonts w:asciiTheme="majorBidi" w:hAnsiTheme="majorBidi" w:cstheme="majorBidi"/>
                <w:sz w:val="22"/>
                <w:lang w:val="en-US"/>
              </w:rPr>
            </w:pPr>
            <w:r>
              <w:rPr>
                <w:rFonts w:asciiTheme="majorBidi" w:hAnsiTheme="majorBidi" w:cstheme="majorBidi"/>
                <w:sz w:val="22"/>
                <w:lang w:val="en-US"/>
              </w:rPr>
              <w:t>3.1: Execute a research methodology using appropriate tools (such as simulators, surveys, mathematical or physical models, datasets…)</w:t>
            </w:r>
          </w:p>
          <w:p w14:paraId="6C271841" w14:textId="77777777" w:rsidR="00B72944" w:rsidRPr="00B72944" w:rsidRDefault="00B72944" w:rsidP="0018120C">
            <w:pPr>
              <w:ind w:left="424" w:hanging="425"/>
              <w:rPr>
                <w:rFonts w:asciiTheme="majorBidi" w:hAnsiTheme="majorBidi" w:cstheme="majorBidi"/>
                <w:sz w:val="22"/>
                <w:lang w:val="en-US"/>
              </w:rPr>
            </w:pPr>
            <w:r>
              <w:rPr>
                <w:rFonts w:asciiTheme="majorBidi" w:hAnsiTheme="majorBidi" w:cstheme="majorBidi"/>
                <w:sz w:val="22"/>
                <w:lang w:val="en-US"/>
              </w:rPr>
              <w:t>3.2: Validate the findings by analyzing results with scientific rigor</w:t>
            </w:r>
          </w:p>
        </w:tc>
      </w:tr>
      <w:tr w:rsidR="00B72944" w:rsidRPr="0029235E" w14:paraId="5E4F3080" w14:textId="77777777" w:rsidTr="16927219">
        <w:trPr>
          <w:trHeight w:val="1568"/>
        </w:trPr>
        <w:tc>
          <w:tcPr>
            <w:tcW w:w="2967" w:type="dxa"/>
            <w:tcBorders>
              <w:top w:val="nil"/>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tcPr>
          <w:p w14:paraId="00A1D35E" w14:textId="77777777" w:rsidR="00B72944" w:rsidRPr="00B72944" w:rsidRDefault="00B72944" w:rsidP="0018120C">
            <w:pPr>
              <w:spacing w:before="120"/>
              <w:ind w:left="274" w:hanging="288"/>
              <w:rPr>
                <w:rFonts w:asciiTheme="majorBidi" w:hAnsiTheme="majorBidi" w:cstheme="majorBidi"/>
                <w:sz w:val="22"/>
                <w:lang w:val="en-US"/>
              </w:rPr>
            </w:pPr>
            <w:r>
              <w:rPr>
                <w:rFonts w:asciiTheme="majorBidi" w:hAnsiTheme="majorBidi" w:cstheme="majorBidi"/>
                <w:sz w:val="22"/>
                <w:lang w:val="en-US"/>
              </w:rPr>
              <w:t>4.  Demonstrate ethical and professional integrity in research and practice.</w:t>
            </w:r>
          </w:p>
        </w:tc>
        <w:tc>
          <w:tcPr>
            <w:tcW w:w="6521" w:type="dxa"/>
            <w:tcBorders>
              <w:top w:val="nil"/>
              <w:left w:val="nil"/>
              <w:bottom w:val="single" w:sz="8" w:space="0" w:color="000000" w:themeColor="text1"/>
              <w:right w:val="single" w:sz="8" w:space="0" w:color="000000" w:themeColor="text1"/>
            </w:tcBorders>
            <w:tcMar>
              <w:top w:w="72" w:type="dxa"/>
              <w:left w:w="144" w:type="dxa"/>
              <w:bottom w:w="72" w:type="dxa"/>
              <w:right w:w="144" w:type="dxa"/>
            </w:tcMar>
          </w:tcPr>
          <w:p w14:paraId="5B365D11" w14:textId="77777777" w:rsidR="00B72944" w:rsidRPr="00B72944" w:rsidRDefault="00B72944" w:rsidP="0018120C">
            <w:pPr>
              <w:ind w:left="424" w:hanging="425"/>
              <w:rPr>
                <w:rFonts w:asciiTheme="majorBidi" w:hAnsiTheme="majorBidi" w:cstheme="majorBidi"/>
                <w:sz w:val="22"/>
                <w:lang w:val="en-US"/>
              </w:rPr>
            </w:pPr>
            <w:r>
              <w:rPr>
                <w:rFonts w:asciiTheme="majorBidi" w:hAnsiTheme="majorBidi" w:cstheme="majorBidi"/>
                <w:sz w:val="22"/>
                <w:lang w:val="en-US"/>
              </w:rPr>
              <w:t>4.1: Use sources ethically with proper citation and paraphrasing, no plagiarism, and accurate attribution of ideas, figures, and tools.</w:t>
            </w:r>
          </w:p>
          <w:p w14:paraId="4F9D3D8D" w14:textId="77777777" w:rsidR="00B72944" w:rsidRPr="0029235E" w:rsidRDefault="00B72944" w:rsidP="16927219">
            <w:pPr>
              <w:ind w:left="424" w:hanging="425"/>
              <w:rPr>
                <w:rFonts w:asciiTheme="majorBidi" w:hAnsiTheme="majorBidi" w:cstheme="majorBidi"/>
                <w:sz w:val="22"/>
                <w:lang w:val="en-US"/>
              </w:rPr>
            </w:pPr>
            <w:r>
              <w:rPr>
                <w:rFonts w:asciiTheme="majorBidi" w:hAnsiTheme="majorBidi" w:cstheme="majorBidi"/>
                <w:sz w:val="22"/>
                <w:lang w:val="en-US"/>
              </w:rPr>
              <w:t>4.2: Conduct responsible and reproducible research by clearly documenting, assumptions, parameters, and tools and honestly reporting results (includes limitations, sensitivity checks, and avoids misleading presentation of outcomes)..</w:t>
            </w:r>
          </w:p>
        </w:tc>
      </w:tr>
      <w:tr w:rsidR="00B72944" w:rsidRPr="0029235E" w14:paraId="4CBED703" w14:textId="77777777" w:rsidTr="16927219">
        <w:trPr>
          <w:trHeight w:val="960"/>
        </w:trPr>
        <w:tc>
          <w:tcPr>
            <w:tcW w:w="2967" w:type="dxa"/>
            <w:tcBorders>
              <w:top w:val="nil"/>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hideMark/>
          </w:tcPr>
          <w:p w14:paraId="1F047605" w14:textId="77777777" w:rsidR="00B72944" w:rsidRPr="00B72944" w:rsidRDefault="00B72944" w:rsidP="0018120C">
            <w:pPr>
              <w:ind w:left="270" w:hanging="284"/>
              <w:rPr>
                <w:rFonts w:asciiTheme="majorBidi" w:hAnsiTheme="majorBidi" w:cstheme="majorBidi"/>
                <w:sz w:val="22"/>
                <w:lang w:val="en-US"/>
              </w:rPr>
            </w:pPr>
            <w:r>
              <w:rPr>
                <w:rFonts w:asciiTheme="majorBidi" w:hAnsiTheme="majorBidi" w:cstheme="majorBidi"/>
                <w:sz w:val="22"/>
                <w:lang w:val="en-US"/>
              </w:rPr>
              <w:t>5.  Communicate effectively, at an advanced level, in oral and written forms within technical and scientific contexts</w:t>
            </w:r>
          </w:p>
        </w:tc>
        <w:tc>
          <w:tcPr>
            <w:tcW w:w="6521" w:type="dxa"/>
            <w:tcBorders>
              <w:top w:val="nil"/>
              <w:left w:val="nil"/>
              <w:bottom w:val="single" w:sz="8" w:space="0" w:color="000000" w:themeColor="text1"/>
              <w:right w:val="single" w:sz="8" w:space="0" w:color="000000" w:themeColor="text1"/>
            </w:tcBorders>
            <w:tcMar>
              <w:top w:w="72" w:type="dxa"/>
              <w:left w:w="144" w:type="dxa"/>
              <w:bottom w:w="72" w:type="dxa"/>
              <w:right w:w="144" w:type="dxa"/>
            </w:tcMar>
            <w:hideMark/>
          </w:tcPr>
          <w:p w14:paraId="0930574A" w14:textId="77777777" w:rsidR="00B72944" w:rsidRPr="00B72944" w:rsidRDefault="00B72944" w:rsidP="0018120C">
            <w:pPr>
              <w:ind w:left="424" w:hanging="425"/>
              <w:rPr>
                <w:rFonts w:asciiTheme="majorBidi" w:hAnsiTheme="majorBidi" w:cstheme="majorBidi"/>
                <w:sz w:val="22"/>
                <w:lang w:val="en-US"/>
              </w:rPr>
            </w:pPr>
            <w:r>
              <w:rPr>
                <w:rFonts w:asciiTheme="majorBidi" w:hAnsiTheme="majorBidi" w:cstheme="majorBidi"/>
                <w:sz w:val="22"/>
                <w:lang w:val="en-US"/>
              </w:rPr>
              <w:t>5.1: Prepare clear, concise, and well-organized written reports on complex topics</w:t>
            </w:r>
          </w:p>
          <w:p w14:paraId="1E917193" w14:textId="77777777" w:rsidR="00B72944" w:rsidRPr="00062F44" w:rsidRDefault="00B72944" w:rsidP="0018120C">
            <w:pPr>
              <w:ind w:left="424" w:hanging="425"/>
              <w:rPr>
                <w:rFonts w:asciiTheme="majorBidi" w:hAnsiTheme="majorBidi" w:cstheme="majorBidi"/>
                <w:strike/>
                <w:sz w:val="22"/>
                <w:lang w:val="en-US"/>
              </w:rPr>
            </w:pPr>
            <w:r>
              <w:rPr>
                <w:rFonts w:asciiTheme="majorBidi" w:hAnsiTheme="majorBidi" w:cstheme="majorBidi"/>
                <w:strike/>
                <w:sz w:val="22"/>
                <w:lang w:val="en-US"/>
              </w:rPr>
              <w:t>5.2: Deliver effective oral communications, demonstrating mastery of the subject matter</w:t>
            </w:r>
          </w:p>
        </w:tc>
      </w:tr>
    </w:tbl>
    <w:p w14:paraId="76AD8D94" w14:textId="04980372" w:rsidR="00DB44C3" w:rsidRDefault="00DB44C3" w:rsidP="009B6609">
      <w:pPr>
        <w:rPr>
          <w:lang w:val="en-US" w:eastAsia="fr-FR" w:bidi="ar-LB"/>
        </w:rPr>
      </w:pPr>
    </w:p>
    <w:p w14:paraId="56C8EF79" w14:textId="7597E499" w:rsidR="000608F3" w:rsidRDefault="000608F3" w:rsidP="009B6609">
      <w:pPr>
        <w:rPr>
          <w:lang w:val="en-US" w:eastAsia="fr-FR" w:bidi="ar-LB"/>
        </w:rPr>
      </w:pPr>
    </w:p>
    <w:p w14:paraId="5F29B425" w14:textId="5DF0E54D" w:rsidR="000608F3" w:rsidRDefault="000608F3" w:rsidP="009B6609">
      <w:pPr>
        <w:rPr>
          <w:lang w:val="en-US" w:eastAsia="fr-FR" w:bidi="ar-LB"/>
        </w:rPr>
      </w:pPr>
    </w:p>
    <w:p w14:paraId="7D99B075" w14:textId="0C137184" w:rsidR="000608F3" w:rsidRDefault="000608F3" w:rsidP="009B6609">
      <w:pPr>
        <w:rPr>
          <w:lang w:val="en-US" w:eastAsia="fr-FR" w:bidi="ar-LB"/>
        </w:rPr>
      </w:pPr>
    </w:p>
    <w:p w14:paraId="60F695EA" w14:textId="6EE21E5A" w:rsidR="000608F3" w:rsidRDefault="000608F3" w:rsidP="009B6609">
      <w:pPr>
        <w:rPr>
          <w:lang w:val="en-US" w:eastAsia="fr-FR" w:bidi="ar-LB"/>
        </w:rPr>
      </w:pPr>
    </w:p>
    <w:p w14:paraId="73B3558F" w14:textId="41E63A52" w:rsidR="000608F3" w:rsidRDefault="000608F3" w:rsidP="009B6609">
      <w:pPr>
        <w:rPr>
          <w:lang w:val="en-US" w:eastAsia="fr-FR" w:bidi="ar-LB"/>
        </w:rPr>
      </w:pPr>
    </w:p>
    <w:p w14:paraId="385840DE" w14:textId="2CBD5FC3" w:rsidR="000608F3" w:rsidRDefault="000608F3" w:rsidP="009B6609">
      <w:pPr>
        <w:rPr>
          <w:lang w:val="en-US" w:eastAsia="fr-FR" w:bidi="ar-LB"/>
        </w:rPr>
      </w:pPr>
    </w:p>
    <w:p w14:paraId="780F90E1" w14:textId="08360E2A" w:rsidR="000608F3" w:rsidRDefault="000608F3" w:rsidP="009B6609">
      <w:pPr>
        <w:rPr>
          <w:lang w:val="en-US" w:eastAsia="fr-FR" w:bidi="ar-LB"/>
        </w:rPr>
      </w:pPr>
    </w:p>
    <w:p w14:paraId="1CCA0FA4" w14:textId="0EC6CAC4" w:rsidR="000608F3" w:rsidRDefault="000608F3" w:rsidP="009B6609">
      <w:pPr>
        <w:rPr>
          <w:lang w:val="en-US" w:eastAsia="fr-FR" w:bidi="ar-LB"/>
        </w:rPr>
      </w:pPr>
    </w:p>
    <w:p w14:paraId="7B5D7FEA" w14:textId="4D01357C" w:rsidR="000608F3" w:rsidRDefault="000608F3" w:rsidP="009B6609">
      <w:pPr>
        <w:rPr>
          <w:lang w:val="en-US" w:eastAsia="fr-FR" w:bidi="ar-LB"/>
        </w:rPr>
      </w:pPr>
    </w:p>
    <w:p w14:paraId="426DAB17" w14:textId="0449716B" w:rsidR="000608F3" w:rsidRDefault="000608F3" w:rsidP="009B6609">
      <w:pPr>
        <w:rPr>
          <w:lang w:val="en-US" w:eastAsia="fr-FR" w:bidi="ar-LB"/>
        </w:rPr>
      </w:pPr>
    </w:p>
    <w:p w14:paraId="1090C41B" w14:textId="1CBFF60F" w:rsidR="000608F3" w:rsidRDefault="000608F3" w:rsidP="009B6609">
      <w:pPr>
        <w:rPr>
          <w:lang w:val="en-US" w:eastAsia="fr-FR" w:bidi="ar-LB"/>
        </w:rPr>
      </w:pPr>
    </w:p>
    <w:p w14:paraId="0B4F6469" w14:textId="7FCBC424" w:rsidR="000608F3" w:rsidRDefault="000608F3" w:rsidP="009B6609">
      <w:pPr>
        <w:rPr>
          <w:lang w:val="en-US" w:eastAsia="fr-FR" w:bidi="ar-LB"/>
        </w:rPr>
      </w:pPr>
    </w:p>
    <w:p w14:paraId="47309B87" w14:textId="2ECB6D06" w:rsidR="000608F3" w:rsidRDefault="000608F3" w:rsidP="009B6609">
      <w:pPr>
        <w:rPr>
          <w:lang w:val="en-US" w:eastAsia="fr-FR" w:bidi="ar-LB"/>
        </w:rPr>
      </w:pPr>
    </w:p>
    <w:p w14:paraId="4D2256FF" w14:textId="397049FB" w:rsidR="000608F3" w:rsidRDefault="000608F3" w:rsidP="009B6609">
      <w:pPr>
        <w:rPr>
          <w:lang w:val="en-US" w:eastAsia="fr-FR" w:bidi="ar-LB"/>
        </w:rPr>
      </w:pPr>
    </w:p>
    <w:p w14:paraId="23D2F7C1" w14:textId="6F776B38" w:rsidR="000608F3" w:rsidRDefault="000608F3" w:rsidP="009B6609">
      <w:pPr>
        <w:rPr>
          <w:lang w:val="en-US" w:eastAsia="fr-FR" w:bidi="ar-LB"/>
        </w:rPr>
      </w:pPr>
    </w:p>
    <w:p w14:paraId="535947D1" w14:textId="2324FC29" w:rsidR="000608F3" w:rsidRDefault="000608F3" w:rsidP="009B6609">
      <w:pPr>
        <w:rPr>
          <w:lang w:val="en-US" w:eastAsia="fr-FR" w:bidi="ar-LB"/>
        </w:rPr>
      </w:pPr>
    </w:p>
    <w:p w14:paraId="5CEA8590" w14:textId="2C12C8E5" w:rsidR="000608F3" w:rsidRDefault="000608F3" w:rsidP="009B6609">
      <w:pPr>
        <w:rPr>
          <w:lang w:val="en-US" w:eastAsia="fr-FR" w:bidi="ar-LB"/>
        </w:rPr>
      </w:pPr>
    </w:p>
    <w:p w14:paraId="67B1BC06" w14:textId="28873348" w:rsidR="000608F3" w:rsidRDefault="000608F3" w:rsidP="009B6609">
      <w:pPr>
        <w:rPr>
          <w:lang w:val="en-US" w:eastAsia="fr-FR" w:bidi="ar-LB"/>
        </w:rPr>
      </w:pPr>
    </w:p>
    <w:p w14:paraId="65C729B8" w14:textId="24986C82" w:rsidR="000608F3" w:rsidRDefault="000608F3" w:rsidP="009B6609">
      <w:pPr>
        <w:rPr>
          <w:lang w:val="en-US" w:eastAsia="fr-FR" w:bidi="ar-LB"/>
        </w:rPr>
      </w:pPr>
    </w:p>
    <w:p w14:paraId="068789F4" w14:textId="18C3F723" w:rsidR="000608F3" w:rsidRDefault="000608F3" w:rsidP="009B6609">
      <w:pPr>
        <w:rPr>
          <w:lang w:val="en-US" w:eastAsia="fr-FR" w:bidi="ar-LB"/>
        </w:rPr>
      </w:pPr>
    </w:p>
    <w:p w14:paraId="30ECB49C" w14:textId="03D995AC" w:rsidR="000608F3" w:rsidRDefault="000608F3" w:rsidP="009B6609">
      <w:pPr>
        <w:rPr>
          <w:lang w:val="en-US" w:eastAsia="fr-FR" w:bidi="ar-LB"/>
        </w:rPr>
      </w:pPr>
    </w:p>
    <w:p w14:paraId="4D4FA886" w14:textId="0400E9A3" w:rsidR="000608F3" w:rsidRDefault="000608F3" w:rsidP="009B6609">
      <w:pPr>
        <w:rPr>
          <w:lang w:val="en-US" w:eastAsia="fr-FR" w:bidi="ar-LB"/>
        </w:rPr>
      </w:pPr>
    </w:p>
    <w:p w14:paraId="320FB43C" w14:textId="1F82271C" w:rsidR="000608F3" w:rsidRDefault="000608F3" w:rsidP="009B6609">
      <w:pPr>
        <w:rPr>
          <w:lang w:val="en-US" w:eastAsia="fr-FR" w:bidi="ar-LB"/>
        </w:rPr>
      </w:pPr>
    </w:p>
    <w:p w14:paraId="5F231152" w14:textId="5F5C60D0" w:rsidR="000608F3" w:rsidRDefault="000608F3" w:rsidP="009B6609">
      <w:pPr>
        <w:rPr>
          <w:lang w:val="en-US" w:eastAsia="fr-FR" w:bidi="ar-LB"/>
        </w:rPr>
      </w:pPr>
    </w:p>
    <w:p w14:paraId="1B0F429F" w14:textId="77777777" w:rsidR="000608F3" w:rsidRDefault="000608F3" w:rsidP="009B6609">
      <w:pPr>
        <w:rPr>
          <w:lang w:val="en-US" w:eastAsia="fr-FR" w:bidi="ar-LB"/>
        </w:rPr>
      </w:pPr>
    </w:p>
    <w:p w14:paraId="603CB001" w14:textId="25CF44FD" w:rsidR="009B6609" w:rsidRDefault="0079308E" w:rsidP="009B6609">
      <w:pPr>
        <w:rPr>
          <w:lang w:val="en-US" w:eastAsia="fr-FR" w:bidi="ar-LB"/>
        </w:rPr>
      </w:pPr>
      <w:r>
        <w:rPr>
          <w:lang w:val="en-US" w:eastAsia="fr-FR" w:bidi="ar-LB"/>
        </w:rPr>
        <w:t xml:space="preserve">The following table presents the mapping of the Performance Indicators (PIs) assessed in this report and identifies the sections where evidence of each PI can be found.</w:t>
      </w:r>
    </w:p>
    <w:p w14:paraId="338D0AC9" w14:textId="5950A894" w:rsidR="00062F44" w:rsidRPr="009B6609" w:rsidRDefault="00A2062E" w:rsidP="00A2062E">
      <w:pPr>
        <w:pStyle w:val="Caption"/>
        <w:rPr>
          <w:lang w:eastAsia="fr-FR" w:bidi="ar-LB"/>
        </w:rPr>
      </w:pPr>
      <w:bookmarkStart w:id="91" w:name="_Toc238551054"/>
      <w:r>
        <w:lastRenderedPageBreak/>
        <w:t xml:space="preserve">Table </w:t>
      </w:r>
      <w:fldSimple w:instr=" SEQ Table \* ARABIC ">
        <w:r>
          <w:rPr>
            <w:noProof/>
          </w:rPr>
          <w:t>17</w:t>
        </w:r>
      </w:fldSimple>
      <w:r>
        <w:t xml:space="preserve"> - </w:t>
      </w:r>
      <w:r>
        <w:rPr>
          <w:lang w:eastAsia="fr-FR" w:bidi="ar-LB"/>
        </w:rPr>
        <w:t xml:space="preserve">Performance Indicator Matrix</w:t>
      </w:r>
      <w:bookmarkEnd w:id="91"/>
    </w:p>
    <w:tbl>
      <w:tblPr>
        <w:tblStyle w:val="TableGrid"/>
        <w:tblW w:w="0" w:type="auto"/>
        <w:tblLook w:val="04A0" w:firstRow="1" w:lastRow="0" w:firstColumn="1" w:lastColumn="0" w:noHBand="0" w:noVBand="1"/>
      </w:tblPr>
      <w:tblGrid>
        <w:gridCol w:w="985"/>
        <w:gridCol w:w="2848"/>
        <w:gridCol w:w="2848"/>
        <w:gridCol w:w="2849"/>
      </w:tblGrid>
      <w:tr w:rsidR="000608F3" w14:paraId="6C70B3D0" w14:textId="77777777" w:rsidTr="00037ED1">
        <w:trPr>
          <w:trHeight w:val="393"/>
        </w:trPr>
        <w:tc>
          <w:tcPr>
            <w:tcW w:w="985" w:type="dxa"/>
            <w:vAlign w:val="center"/>
          </w:tcPr>
          <w:p w14:paraId="3682F72D" w14:textId="4C29F273" w:rsidR="002D61AA" w:rsidRPr="002D61AA" w:rsidRDefault="002D61AA" w:rsidP="00037ED1">
            <w:pPr>
              <w:jc w:val="left"/>
              <w:rPr>
                <w:b/>
                <w:bCs/>
                <w:lang w:val="en-US" w:bidi="ar-LB"/>
              </w:rPr>
            </w:pPr>
            <w:r>
              <w:rPr>
                <w:b/>
                <w:bCs/>
              </w:rPr>
              <w:t>PI</w:t>
            </w:r>
          </w:p>
        </w:tc>
        <w:tc>
          <w:tcPr>
            <w:tcW w:w="2848" w:type="dxa"/>
            <w:vAlign w:val="center"/>
          </w:tcPr>
          <w:p w14:paraId="59514A6B" w14:textId="00470EAE" w:rsidR="002D61AA" w:rsidRPr="002D61AA" w:rsidRDefault="002D61AA" w:rsidP="00037ED1">
            <w:pPr>
              <w:jc w:val="left"/>
              <w:rPr>
                <w:b/>
                <w:bCs/>
                <w:lang w:val="en-US" w:bidi="ar-LB"/>
              </w:rPr>
            </w:pPr>
            <w:r>
              <w:rPr>
                <w:b/>
                <w:bCs/>
              </w:rPr>
              <w:t xml:space="preserve">What is Assessed</w:t>
            </w:r>
          </w:p>
        </w:tc>
        <w:tc>
          <w:tcPr>
            <w:tcW w:w="2848" w:type="dxa"/>
            <w:vAlign w:val="center"/>
          </w:tcPr>
          <w:p w14:paraId="1EA0D93E" w14:textId="410AE813" w:rsidR="002D61AA" w:rsidRPr="002D61AA" w:rsidRDefault="002D61AA" w:rsidP="00037ED1">
            <w:pPr>
              <w:jc w:val="left"/>
              <w:rPr>
                <w:b/>
                <w:bCs/>
                <w:lang w:val="en-US" w:bidi="ar-LB"/>
              </w:rPr>
            </w:pPr>
            <w:r>
              <w:rPr>
                <w:b/>
                <w:bCs/>
              </w:rPr>
              <w:t>Best Section</w:t>
            </w:r>
          </w:p>
        </w:tc>
        <w:tc>
          <w:tcPr>
            <w:tcW w:w="2849" w:type="dxa"/>
            <w:vAlign w:val="center"/>
          </w:tcPr>
          <w:p w14:paraId="1BBAE85B" w14:textId="5A7609F4" w:rsidR="002D61AA" w:rsidRPr="002D61AA" w:rsidRDefault="002D61AA" w:rsidP="00037ED1">
            <w:pPr>
              <w:jc w:val="left"/>
              <w:rPr>
                <w:b/>
                <w:bCs/>
                <w:lang w:val="en-US" w:bidi="ar-LB"/>
              </w:rPr>
            </w:pPr>
            <w:r>
              <w:rPr>
                <w:b/>
                <w:bCs/>
              </w:rPr>
              <w:t xml:space="preserve">Best Subsection</w:t>
            </w:r>
          </w:p>
        </w:tc>
      </w:tr>
      <w:tr w:rsidR="000608F3" w14:paraId="58342FAC" w14:textId="77777777" w:rsidTr="002D61AA">
        <w:tc>
          <w:tcPr>
            <w:tcW w:w="985" w:type="dxa"/>
            <w:vAlign w:val="center"/>
          </w:tcPr>
          <w:p w14:paraId="3AAF1AB7" w14:textId="7D68B0D3" w:rsidR="002D61AA" w:rsidRPr="002D61AA" w:rsidRDefault="002D61AA" w:rsidP="00037ED1">
            <w:pPr>
              <w:spacing w:before="60" w:after="60"/>
              <w:jc w:val="left"/>
              <w:rPr>
                <w:b/>
                <w:bCs/>
                <w:lang w:val="en-US" w:bidi="ar-LB"/>
              </w:rPr>
            </w:pPr>
            <w:r>
              <w:rPr>
                <w:b/>
                <w:bCs/>
              </w:rPr>
              <w:t>1.2</w:t>
            </w:r>
          </w:p>
        </w:tc>
        <w:tc>
          <w:tcPr>
            <w:tcW w:w="2848" w:type="dxa"/>
            <w:vAlign w:val="center"/>
          </w:tcPr>
          <w:p w14:paraId="6AA0A489" w14:textId="34549107" w:rsidR="002D61AA" w:rsidRDefault="002D61AA" w:rsidP="00037ED1">
            <w:pPr>
              <w:spacing w:before="60" w:after="60"/>
              <w:jc w:val="left"/>
              <w:rPr>
                <w:lang w:val="en-US" w:bidi="ar-LB"/>
              </w:rPr>
            </w:pPr>
            <w:r>
              <w:rPr>
                <w:lang w:val="en-US"/>
              </w:rPr>
              <w:t>Analyze, formulate, and solve technical problems</w:t>
            </w:r>
          </w:p>
        </w:tc>
        <w:tc>
          <w:tcPr>
            <w:tcW w:w="2848" w:type="dxa"/>
            <w:vAlign w:val="center"/>
          </w:tcPr>
          <w:p w14:paraId="2FD5159B" w14:textId="2B4C957B" w:rsidR="002D61AA" w:rsidRDefault="002D61AA" w:rsidP="00037ED1">
            <w:pPr>
              <w:spacing w:before="60" w:after="60"/>
              <w:jc w:val="left"/>
              <w:rPr>
                <w:lang w:val="en-US" w:bidi="ar-LB"/>
              </w:rPr>
            </w:pPr>
            <w:r>
              <w:t xml:space="preserve">5 Results and Validation</w:t>
            </w:r>
          </w:p>
        </w:tc>
        <w:tc>
          <w:tcPr>
            <w:tcW w:w="2849" w:type="dxa"/>
            <w:vAlign w:val="center"/>
          </w:tcPr>
          <w:p w14:paraId="1CAA9C20" w14:textId="340F64A7" w:rsidR="002D61AA" w:rsidRDefault="002D61AA" w:rsidP="00037ED1">
            <w:pPr>
              <w:spacing w:before="60" w:after="60"/>
              <w:jc w:val="left"/>
              <w:rPr>
                <w:lang w:val="en-US" w:bidi="ar-LB"/>
              </w:rPr>
            </w:pPr>
            <w:r>
              <w:t xml:space="preserve">5.2 Analysis and Interpretation + 5.4 Limitations</w:t>
            </w:r>
          </w:p>
        </w:tc>
      </w:tr>
      <w:tr w:rsidR="000608F3" w14:paraId="7B58E55D" w14:textId="77777777" w:rsidTr="002D61AA">
        <w:tc>
          <w:tcPr>
            <w:tcW w:w="985" w:type="dxa"/>
            <w:vAlign w:val="center"/>
          </w:tcPr>
          <w:p w14:paraId="6515AE3A" w14:textId="4D9533C2" w:rsidR="002D61AA" w:rsidRPr="002D61AA" w:rsidRDefault="002D61AA" w:rsidP="00037ED1">
            <w:pPr>
              <w:spacing w:before="60" w:after="60"/>
              <w:jc w:val="left"/>
              <w:rPr>
                <w:b/>
                <w:bCs/>
                <w:lang w:val="en-US" w:bidi="ar-LB"/>
              </w:rPr>
            </w:pPr>
            <w:r>
              <w:rPr>
                <w:b/>
                <w:bCs/>
              </w:rPr>
              <w:t>2.1</w:t>
            </w:r>
          </w:p>
        </w:tc>
        <w:tc>
          <w:tcPr>
            <w:tcW w:w="2848" w:type="dxa"/>
            <w:vAlign w:val="center"/>
          </w:tcPr>
          <w:p w14:paraId="0BC9D19F" w14:textId="6FEF7230" w:rsidR="002D61AA" w:rsidRDefault="002D61AA" w:rsidP="00037ED1">
            <w:pPr>
              <w:spacing w:before="60" w:after="60"/>
              <w:jc w:val="left"/>
              <w:rPr>
                <w:lang w:val="en-US" w:bidi="ar-LB"/>
              </w:rPr>
            </w:pPr>
            <w:r>
              <w:t xml:space="preserve">Define relevant research questions</w:t>
            </w:r>
          </w:p>
        </w:tc>
        <w:tc>
          <w:tcPr>
            <w:tcW w:w="2848" w:type="dxa"/>
            <w:vAlign w:val="center"/>
          </w:tcPr>
          <w:p w14:paraId="587B7F7A" w14:textId="4FFC9E09" w:rsidR="002D61AA" w:rsidRDefault="002D61AA" w:rsidP="00037ED1">
            <w:pPr>
              <w:spacing w:before="60" w:after="60"/>
              <w:jc w:val="left"/>
              <w:rPr>
                <w:lang w:val="en-US" w:bidi="ar-LB"/>
              </w:rPr>
            </w:pPr>
            <w:r>
              <w:t>1 Introduction</w:t>
            </w:r>
          </w:p>
        </w:tc>
        <w:tc>
          <w:tcPr>
            <w:tcW w:w="2849" w:type="dxa"/>
            <w:vAlign w:val="center"/>
          </w:tcPr>
          <w:p w14:paraId="14D64670" w14:textId="2947B030" w:rsidR="002D61AA" w:rsidRDefault="002D61AA" w:rsidP="00037ED1">
            <w:pPr>
              <w:spacing w:before="60" w:after="60"/>
              <w:jc w:val="left"/>
              <w:rPr>
                <w:lang w:val="en-US" w:bidi="ar-LB"/>
              </w:rPr>
            </w:pPr>
            <w:r>
              <w:t xml:space="preserve">Research Questions subsection</w:t>
            </w:r>
          </w:p>
        </w:tc>
      </w:tr>
      <w:tr w:rsidR="000608F3" w14:paraId="1A377C49" w14:textId="77777777" w:rsidTr="002D61AA">
        <w:tc>
          <w:tcPr>
            <w:tcW w:w="985" w:type="dxa"/>
            <w:vAlign w:val="center"/>
          </w:tcPr>
          <w:p w14:paraId="1C642736" w14:textId="3E3EF103" w:rsidR="002D61AA" w:rsidRPr="002D61AA" w:rsidRDefault="002D61AA" w:rsidP="00037ED1">
            <w:pPr>
              <w:spacing w:before="60" w:after="60"/>
              <w:jc w:val="left"/>
              <w:rPr>
                <w:b/>
                <w:bCs/>
                <w:lang w:val="en-US" w:bidi="ar-LB"/>
              </w:rPr>
            </w:pPr>
            <w:r>
              <w:rPr>
                <w:b/>
                <w:bCs/>
              </w:rPr>
              <w:t>2.2</w:t>
            </w:r>
          </w:p>
        </w:tc>
        <w:tc>
          <w:tcPr>
            <w:tcW w:w="2848" w:type="dxa"/>
            <w:vAlign w:val="center"/>
          </w:tcPr>
          <w:p w14:paraId="4940F0FF" w14:textId="0FB0D630" w:rsidR="002D61AA" w:rsidRDefault="002D61AA" w:rsidP="00037ED1">
            <w:pPr>
              <w:spacing w:before="60" w:after="60"/>
              <w:jc w:val="left"/>
              <w:rPr>
                <w:lang w:val="en-US" w:bidi="ar-LB"/>
              </w:rPr>
            </w:pPr>
            <w:r>
              <w:rPr>
                <w:lang w:val="en-US"/>
              </w:rPr>
              <w:t>Critical literature review and gap identification</w:t>
            </w:r>
          </w:p>
        </w:tc>
        <w:tc>
          <w:tcPr>
            <w:tcW w:w="2848" w:type="dxa"/>
            <w:vAlign w:val="center"/>
          </w:tcPr>
          <w:p w14:paraId="5B6A512F" w14:textId="0E15979A" w:rsidR="002D61AA" w:rsidRDefault="002D61AA" w:rsidP="00037ED1">
            <w:pPr>
              <w:spacing w:before="60" w:after="60"/>
              <w:jc w:val="left"/>
              <w:rPr>
                <w:lang w:val="en-US" w:bidi="ar-LB"/>
              </w:rPr>
            </w:pPr>
            <w:r>
              <w:t xml:space="preserve">2 Literature Review</w:t>
            </w:r>
          </w:p>
        </w:tc>
        <w:tc>
          <w:tcPr>
            <w:tcW w:w="2849" w:type="dxa"/>
            <w:vAlign w:val="center"/>
          </w:tcPr>
          <w:p w14:paraId="18B95D28" w14:textId="6D65B035" w:rsidR="002D61AA" w:rsidRDefault="002D61AA" w:rsidP="00037ED1">
            <w:pPr>
              <w:spacing w:before="60" w:after="60"/>
              <w:jc w:val="left"/>
              <w:rPr>
                <w:lang w:val="en-US" w:bidi="ar-LB"/>
              </w:rPr>
            </w:pPr>
            <w:r>
              <w:t xml:space="preserve">Entire section + “Research Gap”</w:t>
            </w:r>
          </w:p>
        </w:tc>
      </w:tr>
      <w:tr w:rsidR="000608F3" w14:paraId="4D34BF44" w14:textId="77777777" w:rsidTr="002D61AA">
        <w:tc>
          <w:tcPr>
            <w:tcW w:w="985" w:type="dxa"/>
            <w:vAlign w:val="center"/>
          </w:tcPr>
          <w:p w14:paraId="5DA7AB33" w14:textId="7125C31C" w:rsidR="002D61AA" w:rsidRPr="002D61AA" w:rsidRDefault="002D61AA" w:rsidP="00037ED1">
            <w:pPr>
              <w:spacing w:before="60" w:after="60"/>
              <w:jc w:val="left"/>
              <w:rPr>
                <w:b/>
                <w:bCs/>
                <w:lang w:val="en-US" w:bidi="ar-LB"/>
              </w:rPr>
            </w:pPr>
            <w:r>
              <w:rPr>
                <w:b/>
                <w:bCs/>
              </w:rPr>
              <w:t>2.3</w:t>
            </w:r>
          </w:p>
        </w:tc>
        <w:tc>
          <w:tcPr>
            <w:tcW w:w="2848" w:type="dxa"/>
            <w:vAlign w:val="center"/>
          </w:tcPr>
          <w:p w14:paraId="045FA397" w14:textId="50BAEBB4" w:rsidR="002D61AA" w:rsidRDefault="002D61AA" w:rsidP="00037ED1">
            <w:pPr>
              <w:spacing w:before="60" w:after="60"/>
              <w:jc w:val="left"/>
              <w:rPr>
                <w:lang w:val="en-US" w:bidi="ar-LB"/>
              </w:rPr>
            </w:pPr>
            <w:r>
              <w:t xml:space="preserve">Propose rigorous scientific methods</w:t>
            </w:r>
          </w:p>
        </w:tc>
        <w:tc>
          <w:tcPr>
            <w:tcW w:w="2848" w:type="dxa"/>
            <w:vAlign w:val="center"/>
          </w:tcPr>
          <w:p w14:paraId="64138616" w14:textId="2DF12CD6" w:rsidR="002D61AA" w:rsidRDefault="002D61AA" w:rsidP="00037ED1">
            <w:pPr>
              <w:spacing w:before="60" w:after="60"/>
              <w:jc w:val="left"/>
              <w:rPr>
                <w:lang w:val="en-US" w:bidi="ar-LB"/>
              </w:rPr>
            </w:pPr>
            <w:r>
              <w:t xml:space="preserve">3 Research Methodology</w:t>
            </w:r>
          </w:p>
        </w:tc>
        <w:tc>
          <w:tcPr>
            <w:tcW w:w="2849" w:type="dxa"/>
            <w:vAlign w:val="center"/>
          </w:tcPr>
          <w:p w14:paraId="5C0BD69A" w14:textId="1851DC6B" w:rsidR="002D61AA" w:rsidRDefault="002D61AA" w:rsidP="00037ED1">
            <w:pPr>
              <w:spacing w:before="60" w:after="60"/>
              <w:jc w:val="left"/>
              <w:rPr>
                <w:lang w:val="en-US" w:bidi="ar-LB"/>
              </w:rPr>
            </w:pPr>
            <w:r>
              <w:t xml:space="preserve">3.1 General Methodological Approach</w:t>
            </w:r>
          </w:p>
        </w:tc>
      </w:tr>
      <w:tr w:rsidR="000608F3" w14:paraId="4709D786" w14:textId="77777777" w:rsidTr="002D61AA">
        <w:tc>
          <w:tcPr>
            <w:tcW w:w="985" w:type="dxa"/>
            <w:vAlign w:val="center"/>
          </w:tcPr>
          <w:p w14:paraId="7B9A6E10" w14:textId="1781C413" w:rsidR="002D61AA" w:rsidRPr="002D61AA" w:rsidRDefault="002D61AA" w:rsidP="00037ED1">
            <w:pPr>
              <w:spacing w:before="60" w:after="60"/>
              <w:jc w:val="left"/>
              <w:rPr>
                <w:b/>
                <w:bCs/>
                <w:lang w:val="en-US" w:bidi="ar-LB"/>
              </w:rPr>
            </w:pPr>
            <w:r>
              <w:rPr>
                <w:b/>
                <w:bCs/>
              </w:rPr>
              <w:t>3.1</w:t>
            </w:r>
          </w:p>
        </w:tc>
        <w:tc>
          <w:tcPr>
            <w:tcW w:w="2848" w:type="dxa"/>
            <w:vAlign w:val="center"/>
          </w:tcPr>
          <w:p w14:paraId="6E7D5E43" w14:textId="684BC027" w:rsidR="002D61AA" w:rsidRDefault="002D61AA" w:rsidP="00037ED1">
            <w:pPr>
              <w:spacing w:before="60" w:after="60"/>
              <w:jc w:val="left"/>
              <w:rPr>
                <w:lang w:val="en-US" w:bidi="ar-LB"/>
              </w:rPr>
            </w:pPr>
            <w:r>
              <w:rPr>
                <w:lang w:val="en-US"/>
              </w:rPr>
              <w:t>Execute research methodology using tools</w:t>
            </w:r>
          </w:p>
        </w:tc>
        <w:tc>
          <w:tcPr>
            <w:tcW w:w="2848" w:type="dxa"/>
            <w:vAlign w:val="center"/>
          </w:tcPr>
          <w:p w14:paraId="5A961352" w14:textId="3D177B4C" w:rsidR="002D61AA" w:rsidRDefault="002D61AA" w:rsidP="00037ED1">
            <w:pPr>
              <w:spacing w:before="60" w:after="60"/>
              <w:jc w:val="left"/>
              <w:rPr>
                <w:lang w:val="en-US" w:bidi="ar-LB"/>
              </w:rPr>
            </w:pPr>
            <w:r>
              <w:t xml:space="preserve">4 Implementation / Simulation</w:t>
            </w:r>
          </w:p>
        </w:tc>
        <w:tc>
          <w:tcPr>
            <w:tcW w:w="2849" w:type="dxa"/>
            <w:vAlign w:val="center"/>
          </w:tcPr>
          <w:p w14:paraId="4A7008AE" w14:textId="48E1F85D" w:rsidR="002D61AA" w:rsidRDefault="002D61AA" w:rsidP="00037ED1">
            <w:pPr>
              <w:spacing w:before="60" w:after="60"/>
              <w:jc w:val="left"/>
              <w:rPr>
                <w:lang w:val="en-US" w:bidi="ar-LB"/>
              </w:rPr>
            </w:pPr>
            <w:r>
              <w:t>4.1–4.3</w:t>
            </w:r>
          </w:p>
        </w:tc>
      </w:tr>
      <w:tr w:rsidR="000608F3" w:rsidRPr="0029235E" w14:paraId="4AF05DF4" w14:textId="77777777" w:rsidTr="002D61AA">
        <w:tc>
          <w:tcPr>
            <w:tcW w:w="985" w:type="dxa"/>
            <w:vAlign w:val="center"/>
          </w:tcPr>
          <w:p w14:paraId="5F9E0120" w14:textId="2001D4E3" w:rsidR="002D61AA" w:rsidRPr="002D61AA" w:rsidRDefault="002D61AA" w:rsidP="00037ED1">
            <w:pPr>
              <w:spacing w:before="60" w:after="60"/>
              <w:jc w:val="left"/>
              <w:rPr>
                <w:b/>
                <w:bCs/>
                <w:lang w:val="en-US" w:bidi="ar-LB"/>
              </w:rPr>
            </w:pPr>
            <w:r>
              <w:rPr>
                <w:b/>
                <w:bCs/>
              </w:rPr>
              <w:t>3.2</w:t>
            </w:r>
          </w:p>
        </w:tc>
        <w:tc>
          <w:tcPr>
            <w:tcW w:w="2848" w:type="dxa"/>
            <w:vAlign w:val="center"/>
          </w:tcPr>
          <w:p w14:paraId="4B9E1379" w14:textId="0150DEC9" w:rsidR="002D61AA" w:rsidRDefault="002D61AA" w:rsidP="00037ED1">
            <w:pPr>
              <w:spacing w:before="60" w:after="60"/>
              <w:jc w:val="left"/>
              <w:rPr>
                <w:lang w:val="en-US" w:bidi="ar-LB"/>
              </w:rPr>
            </w:pPr>
            <w:r>
              <w:t xml:space="preserve">Validate findings scientifically</w:t>
            </w:r>
          </w:p>
        </w:tc>
        <w:tc>
          <w:tcPr>
            <w:tcW w:w="2848" w:type="dxa"/>
            <w:vAlign w:val="center"/>
          </w:tcPr>
          <w:p w14:paraId="0A5DE38D" w14:textId="167F8217" w:rsidR="002D61AA" w:rsidRDefault="002D61AA" w:rsidP="00037ED1">
            <w:pPr>
              <w:spacing w:before="60" w:after="60"/>
              <w:jc w:val="left"/>
              <w:rPr>
                <w:lang w:val="en-US" w:bidi="ar-LB"/>
              </w:rPr>
            </w:pPr>
            <w:r>
              <w:t xml:space="preserve">5 Results and Validation</w:t>
            </w:r>
          </w:p>
        </w:tc>
        <w:tc>
          <w:tcPr>
            <w:tcW w:w="2849" w:type="dxa"/>
            <w:vAlign w:val="center"/>
          </w:tcPr>
          <w:p w14:paraId="4EEF3C7D" w14:textId="34AE6142" w:rsidR="002D61AA" w:rsidRDefault="002D61AA" w:rsidP="00037ED1">
            <w:pPr>
              <w:spacing w:before="60" w:after="60"/>
              <w:jc w:val="left"/>
              <w:rPr>
                <w:lang w:val="en-US" w:bidi="ar-LB"/>
              </w:rPr>
            </w:pPr>
            <w:r>
              <w:rPr>
                <w:lang w:val="en-US"/>
              </w:rPr>
              <w:t>5.3 Validation of Findings + 5.4 Sensitivity Analysis</w:t>
            </w:r>
          </w:p>
        </w:tc>
      </w:tr>
      <w:tr w:rsidR="000608F3" w14:paraId="30B2D58A" w14:textId="77777777" w:rsidTr="002D61AA">
        <w:tc>
          <w:tcPr>
            <w:tcW w:w="985" w:type="dxa"/>
            <w:vAlign w:val="center"/>
          </w:tcPr>
          <w:p w14:paraId="02512B9E" w14:textId="20D5E919" w:rsidR="002D61AA" w:rsidRPr="002D61AA" w:rsidRDefault="002D61AA" w:rsidP="00037ED1">
            <w:pPr>
              <w:spacing w:before="60" w:after="60"/>
              <w:jc w:val="left"/>
              <w:rPr>
                <w:b/>
                <w:bCs/>
                <w:lang w:val="en-US" w:bidi="ar-LB"/>
              </w:rPr>
            </w:pPr>
            <w:r>
              <w:rPr>
                <w:b/>
                <w:bCs/>
              </w:rPr>
              <w:t>4.1</w:t>
            </w:r>
          </w:p>
        </w:tc>
        <w:tc>
          <w:tcPr>
            <w:tcW w:w="2848" w:type="dxa"/>
            <w:vAlign w:val="center"/>
          </w:tcPr>
          <w:p w14:paraId="7F02F4EE" w14:textId="495C242F" w:rsidR="002D61AA" w:rsidRDefault="002D61AA" w:rsidP="00037ED1">
            <w:pPr>
              <w:spacing w:before="60" w:after="60"/>
              <w:jc w:val="left"/>
              <w:rPr>
                <w:lang w:val="en-US" w:bidi="ar-LB"/>
              </w:rPr>
            </w:pPr>
            <w:r>
              <w:t xml:space="preserve">Ethical use of sources</w:t>
            </w:r>
          </w:p>
        </w:tc>
        <w:tc>
          <w:tcPr>
            <w:tcW w:w="2848" w:type="dxa"/>
            <w:vAlign w:val="center"/>
          </w:tcPr>
          <w:p w14:paraId="2F7B58EF" w14:textId="6EE4F4D4" w:rsidR="002D61AA" w:rsidRDefault="002D61AA" w:rsidP="00037ED1">
            <w:pPr>
              <w:spacing w:before="60" w:after="60"/>
              <w:jc w:val="left"/>
              <w:rPr>
                <w:lang w:val="en-US" w:bidi="ar-LB"/>
              </w:rPr>
            </w:pPr>
            <w:r>
              <w:t xml:space="preserve">Whole report</w:t>
            </w:r>
          </w:p>
        </w:tc>
        <w:tc>
          <w:tcPr>
            <w:tcW w:w="2849" w:type="dxa"/>
            <w:vAlign w:val="center"/>
          </w:tcPr>
          <w:p w14:paraId="2A0F86CB" w14:textId="609151C4" w:rsidR="002D61AA" w:rsidRDefault="002D61AA" w:rsidP="00037ED1">
            <w:pPr>
              <w:spacing w:before="60" w:after="60"/>
              <w:jc w:val="left"/>
              <w:rPr>
                <w:lang w:val="en-US" w:bidi="ar-LB"/>
              </w:rPr>
            </w:pPr>
            <w:r>
              <w:t xml:space="preserve">Especially Sections 1, 2, 3, 5</w:t>
            </w:r>
          </w:p>
        </w:tc>
      </w:tr>
      <w:tr w:rsidR="000608F3" w14:paraId="21D54D63" w14:textId="77777777" w:rsidTr="002D61AA">
        <w:tc>
          <w:tcPr>
            <w:tcW w:w="985" w:type="dxa"/>
            <w:vAlign w:val="center"/>
          </w:tcPr>
          <w:p w14:paraId="334AEE9B" w14:textId="41FAA3A5" w:rsidR="002D61AA" w:rsidRPr="002D61AA" w:rsidRDefault="002D61AA" w:rsidP="00037ED1">
            <w:pPr>
              <w:spacing w:before="60" w:after="60"/>
              <w:jc w:val="left"/>
              <w:rPr>
                <w:b/>
                <w:bCs/>
                <w:lang w:val="en-US" w:bidi="ar-LB"/>
              </w:rPr>
            </w:pPr>
            <w:r>
              <w:rPr>
                <w:b/>
                <w:bCs/>
              </w:rPr>
              <w:t>4.2</w:t>
            </w:r>
          </w:p>
        </w:tc>
        <w:tc>
          <w:tcPr>
            <w:tcW w:w="2848" w:type="dxa"/>
            <w:vAlign w:val="center"/>
          </w:tcPr>
          <w:p w14:paraId="5CB083DA" w14:textId="4764C9CE" w:rsidR="002D61AA" w:rsidRDefault="002D61AA" w:rsidP="00037ED1">
            <w:pPr>
              <w:spacing w:before="60" w:after="60"/>
              <w:jc w:val="left"/>
              <w:rPr>
                <w:lang w:val="en-US" w:bidi="ar-LB"/>
              </w:rPr>
            </w:pPr>
            <w:r>
              <w:t xml:space="preserve">Responsible and reproducible research</w:t>
            </w:r>
          </w:p>
        </w:tc>
        <w:tc>
          <w:tcPr>
            <w:tcW w:w="2848" w:type="dxa"/>
            <w:vAlign w:val="center"/>
          </w:tcPr>
          <w:p w14:paraId="7ABF3056" w14:textId="009ECE03" w:rsidR="002D61AA" w:rsidRDefault="002D61AA" w:rsidP="00037ED1">
            <w:pPr>
              <w:spacing w:before="60" w:after="60"/>
              <w:jc w:val="left"/>
              <w:rPr>
                <w:lang w:val="en-US" w:bidi="ar-LB"/>
              </w:rPr>
            </w:pPr>
            <w:r>
              <w:t xml:space="preserve">3 Methodology + 4 Implementation + 5 Results</w:t>
            </w:r>
          </w:p>
        </w:tc>
        <w:tc>
          <w:tcPr>
            <w:tcW w:w="2849" w:type="dxa"/>
            <w:vAlign w:val="center"/>
          </w:tcPr>
          <w:p w14:paraId="13AE53E6" w14:textId="67520B53" w:rsidR="002D61AA" w:rsidRDefault="002D61AA" w:rsidP="00037ED1">
            <w:pPr>
              <w:spacing w:before="60" w:after="60"/>
              <w:jc w:val="left"/>
              <w:rPr>
                <w:lang w:val="en-US" w:bidi="ar-LB"/>
              </w:rPr>
            </w:pPr>
            <w:r>
              <w:t>3.2, 3.3, 3.4, Section 4, 5.1–5.4</w:t>
            </w:r>
          </w:p>
        </w:tc>
      </w:tr>
      <w:tr w:rsidR="000608F3" w:rsidRPr="0029235E" w14:paraId="18C29237" w14:textId="77777777" w:rsidTr="002D61AA">
        <w:tc>
          <w:tcPr>
            <w:tcW w:w="985" w:type="dxa"/>
            <w:vAlign w:val="center"/>
          </w:tcPr>
          <w:p w14:paraId="0F069699" w14:textId="51895EDF" w:rsidR="002D61AA" w:rsidRPr="002D61AA" w:rsidRDefault="002D61AA" w:rsidP="00037ED1">
            <w:pPr>
              <w:spacing w:before="60" w:after="60"/>
              <w:jc w:val="left"/>
              <w:rPr>
                <w:b/>
                <w:bCs/>
                <w:lang w:val="en-US" w:bidi="ar-LB"/>
              </w:rPr>
            </w:pPr>
            <w:r>
              <w:rPr>
                <w:b/>
                <w:bCs/>
              </w:rPr>
              <w:t>5.1</w:t>
            </w:r>
          </w:p>
        </w:tc>
        <w:tc>
          <w:tcPr>
            <w:tcW w:w="2848" w:type="dxa"/>
            <w:vAlign w:val="center"/>
          </w:tcPr>
          <w:p w14:paraId="0ACC37F0" w14:textId="1E096FA6" w:rsidR="002D61AA" w:rsidRDefault="002D61AA" w:rsidP="00037ED1">
            <w:pPr>
              <w:spacing w:before="60" w:after="60"/>
              <w:jc w:val="left"/>
              <w:rPr>
                <w:lang w:val="en-US" w:bidi="ar-LB"/>
              </w:rPr>
            </w:pPr>
            <w:r>
              <w:t xml:space="preserve">Clear written communication</w:t>
            </w:r>
          </w:p>
        </w:tc>
        <w:tc>
          <w:tcPr>
            <w:tcW w:w="2848" w:type="dxa"/>
            <w:vAlign w:val="center"/>
          </w:tcPr>
          <w:p w14:paraId="578AA92F" w14:textId="6B0CF697" w:rsidR="002D61AA" w:rsidRDefault="002D61AA" w:rsidP="00037ED1">
            <w:pPr>
              <w:spacing w:before="60" w:after="60"/>
              <w:jc w:val="left"/>
              <w:rPr>
                <w:lang w:val="en-US" w:bidi="ar-LB"/>
              </w:rPr>
            </w:pPr>
            <w:r>
              <w:t xml:space="preserve">Whole report</w:t>
            </w:r>
          </w:p>
        </w:tc>
        <w:tc>
          <w:tcPr>
            <w:tcW w:w="2849" w:type="dxa"/>
            <w:vAlign w:val="center"/>
          </w:tcPr>
          <w:p w14:paraId="7D895659" w14:textId="6B5CDD0A" w:rsidR="002D61AA" w:rsidRDefault="002D61AA" w:rsidP="00037ED1">
            <w:pPr>
              <w:spacing w:before="60" w:after="60"/>
              <w:jc w:val="left"/>
              <w:rPr>
                <w:lang w:val="en-US" w:bidi="ar-LB"/>
              </w:rPr>
            </w:pPr>
            <w:r>
              <w:rPr>
                <w:lang w:val="en-US"/>
              </w:rPr>
              <w:t>Structure and clarity across all sections</w:t>
            </w:r>
          </w:p>
        </w:tc>
      </w:tr>
    </w:tbl>
    <w:p w14:paraId="50B0E0B1" w14:textId="77777777" w:rsidR="00062F44" w:rsidRDefault="00062F44">
      <w:pPr>
        <w:jc w:val="left"/>
        <w:rPr>
          <w:lang w:val="en-US" w:bidi="ar-LB"/>
        </w:rPr>
      </w:pPr>
    </w:p>
    <w:p w14:paraId="09E16E6F" w14:textId="5E28722C" w:rsidR="009B6609" w:rsidRDefault="009B6609">
      <w:pPr>
        <w:jc w:val="left"/>
        <w:rPr>
          <w:rFonts w:eastAsia="Times New Roman" w:cs="Times New Roman"/>
          <w:b/>
          <w:bCs/>
          <w:kern w:val="28"/>
          <w:sz w:val="28"/>
          <w:szCs w:val="28"/>
          <w:lang w:val="en-US" w:eastAsia="fr-FR" w:bidi="ar-LB"/>
        </w:rPr>
      </w:pPr>
      <w:r>
        <w:rPr>
          <w:lang w:val="en-US" w:bidi="ar-LB"/>
        </w:rPr>
        <w:br w:type="page"/>
      </w:r>
    </w:p>
    <w:p w14:paraId="0E517252" w14:textId="46822565" w:rsidR="00467970" w:rsidRDefault="00C52FF9" w:rsidP="006C3A47">
      <w:pPr>
        <w:pStyle w:val="Heading1"/>
        <w:numPr>
          <w:ilvl w:val="0"/>
          <w:numId w:val="0"/>
        </w:numPr>
        <w:ind w:left="432" w:hanging="432"/>
        <w:rPr>
          <w:lang w:val="en-US" w:bidi="ar-LB"/>
        </w:rPr>
      </w:pPr>
      <w:bookmarkStart w:id="92" w:name="_Toc238551033"/>
      <w:r>
        <w:rPr>
          <w:lang w:val="en-US" w:bidi="ar-LB"/>
        </w:rPr>
        <w:lastRenderedPageBreak/>
        <w:t>Some writing guidelines</w:t>
      </w:r>
      <w:bookmarkEnd w:id="92"/>
    </w:p>
    <w:p w14:paraId="3D4279BF" w14:textId="77777777" w:rsidR="006C3A47" w:rsidRDefault="006C3A47" w:rsidP="006C3A47">
      <w:pPr>
        <w:rPr>
          <w:lang w:val="en-US" w:eastAsia="fr-FR" w:bidi="ar-LB"/>
        </w:rPr>
      </w:pPr>
    </w:p>
    <w:p w14:paraId="4E8F9F65" w14:textId="77777777" w:rsidR="006C3A47" w:rsidRPr="006C3A47" w:rsidRDefault="006C3A47" w:rsidP="00EC2839">
      <w:pPr>
        <w:pStyle w:val="ListParagraph"/>
        <w:numPr>
          <w:ilvl w:val="0"/>
          <w:numId w:val="3"/>
        </w:numPr>
        <w:rPr>
          <w:lang w:val="en-US" w:eastAsia="fr-FR" w:bidi="ar-LB"/>
        </w:rPr>
      </w:pPr>
      <w:r>
        <w:rPr>
          <w:lang w:val="en-US" w:eastAsia="fr-FR" w:bidi="ar-LB"/>
        </w:rPr>
        <w:t xml:space="preserve">Never forget to provide citation whenever you paraphrase and/or summarize someone else's ideas or you directly quote someone’s words. This is discrediting for the team and constitutes </w:t>
      </w:r>
      <w:r>
        <w:rPr>
          <w:b/>
          <w:lang w:val="en-US" w:eastAsia="fr-FR" w:bidi="ar-LB"/>
        </w:rPr>
        <w:t>plagiarism</w:t>
      </w:r>
      <w:r>
        <w:rPr>
          <w:lang w:val="en-US" w:eastAsia="fr-FR" w:bidi="ar-LB"/>
        </w:rPr>
        <w:t xml:space="preserve">. </w:t>
      </w:r>
    </w:p>
    <w:p w14:paraId="77C38212" w14:textId="77777777" w:rsidR="006C3A47" w:rsidRDefault="006C3A47" w:rsidP="00EC2839">
      <w:pPr>
        <w:pStyle w:val="ListParagraph"/>
        <w:numPr>
          <w:ilvl w:val="0"/>
          <w:numId w:val="3"/>
        </w:numPr>
        <w:rPr>
          <w:lang w:val="en-US" w:eastAsia="fr-FR" w:bidi="ar-LB"/>
        </w:rPr>
      </w:pPr>
      <w:r>
        <w:rPr>
          <w:lang w:val="en-US" w:eastAsia="fr-FR" w:bidi="ar-LB"/>
        </w:rPr>
        <w:t xml:space="preserve">Information should be presented in a logical and interesting way. </w:t>
      </w:r>
    </w:p>
    <w:p w14:paraId="62710025" w14:textId="77777777" w:rsidR="006C3A47" w:rsidRPr="00ED19F5" w:rsidRDefault="006C3A47" w:rsidP="00EC2839">
      <w:pPr>
        <w:pStyle w:val="ListParagraph"/>
        <w:numPr>
          <w:ilvl w:val="0"/>
          <w:numId w:val="3"/>
        </w:numPr>
        <w:rPr>
          <w:lang w:val="en-US" w:eastAsia="fr-FR" w:bidi="ar-LB"/>
        </w:rPr>
      </w:pPr>
      <w:r>
        <w:rPr>
          <w:lang w:val="en-US" w:eastAsia="fr-FR" w:bidi="ar-LB"/>
        </w:rPr>
        <w:t xml:space="preserve">Avoid misspelling and/or grammatical errors (use an Auto-correct tool).</w:t>
      </w:r>
    </w:p>
    <w:p w14:paraId="6B93B41A" w14:textId="77777777" w:rsidR="006C3A47" w:rsidRPr="00ED19F5" w:rsidRDefault="006C3A47" w:rsidP="00EC2839">
      <w:pPr>
        <w:pStyle w:val="ListParagraph"/>
        <w:numPr>
          <w:ilvl w:val="0"/>
          <w:numId w:val="3"/>
        </w:numPr>
        <w:rPr>
          <w:lang w:val="en-US" w:eastAsia="fr-FR" w:bidi="ar-LB"/>
        </w:rPr>
      </w:pPr>
      <w:r>
        <w:rPr>
          <w:lang w:val="en-US" w:eastAsia="fr-FR" w:bidi="ar-LB"/>
        </w:rPr>
        <w:t xml:space="preserve">A report of excellent quality should feature formatting strengths for good legibility such as uniform format using the provided template, consistent structure (headings, sections, etc.), consistent numbering, clear/labeled figures/ tables/ graphs/ equations, good referencing, etc.</w:t>
      </w:r>
    </w:p>
    <w:p w14:paraId="34845ECC" w14:textId="15EA2BA5" w:rsidR="006F27F8" w:rsidRDefault="00192BA6">
      <w:pPr>
        <w:jc w:val="left"/>
        <w:rPr>
          <w:lang w:val="en-US" w:eastAsia="fr-FR" w:bidi="ar-LB"/>
        </w:rPr>
      </w:pPr>
      <w:r>
        <w:rPr>
          <w:lang w:val="en-US" w:eastAsia="fr-FR" w:bidi="ar-LB"/>
        </w:rPr>
        <w:br w:type="page"/>
        <w:lastRenderedPageBreak/>
        <w:br w:type="page"/>
      </w:r>
    </w:p>
    <w:p w14:paraId="6AD7EDAA" w14:textId="77777777" w:rsidR="0005207F" w:rsidRPr="0005207F" w:rsidRDefault="0005207F" w:rsidP="0005207F">
      <w:pPr>
        <w:pStyle w:val="Heading1"/>
        <w:numPr>
          <w:ilvl w:val="0"/>
          <w:numId w:val="0"/>
        </w:numPr>
        <w:ind w:left="432" w:hanging="432"/>
        <w:rPr>
          <w:lang w:val="en-US" w:bidi="ar-LB"/>
        </w:rPr>
      </w:pPr>
      <w:bookmarkStart w:id="93" w:name="_Toc238551034"/>
      <w:r>
        <w:rPr>
          <w:lang w:val="en-US" w:bidi="ar-LB"/>
        </w:rPr>
        <w:lastRenderedPageBreak/>
        <w:t>Declaration of AI Usage</w:t>
      </w:r>
      <w:bookmarkEnd w:id="93"/>
    </w:p>
    <w:p w14:paraId="78C58E03" w14:textId="77777777" w:rsidR="0005207F" w:rsidRPr="0005207F" w:rsidRDefault="0005207F" w:rsidP="0005207F">
      <w:pPr>
        <w:rPr>
          <w:lang w:val="en-US" w:eastAsia="fr-FR" w:bidi="ar-LB"/>
        </w:rPr>
      </w:pPr>
      <w:r>
        <w:rPr>
          <w:lang w:val="en-US" w:eastAsia="fr-FR" w:bidi="ar-LB"/>
        </w:rPr>
        <w:t>In alignment with academic integrity requirements, students must disclose any use of generative AI tools during the development of their project.</w:t>
      </w:r>
    </w:p>
    <w:p w14:paraId="636B7979" w14:textId="6C8ED426" w:rsidR="00E439E4" w:rsidRDefault="0005207F" w:rsidP="00FC28D4">
      <w:pPr>
        <w:rPr>
          <w:lang w:val="en-US" w:eastAsia="fr-FR" w:bidi="ar-LB"/>
        </w:rPr>
      </w:pPr>
      <w:r>
        <w:rPr>
          <w:lang w:val="en-US" w:eastAsia="fr-FR" w:bidi="ar-LB"/>
        </w:rPr>
        <w:t xml:space="preserve">The purpose of this paragraph is to ensure transparency, allow proper assessment of the student's independent work, and document the acceptable use of supportive AI technologies.</w:t>
      </w:r>
    </w:p>
    <w:p w14:paraId="695D79E0" w14:textId="77777777" w:rsidR="00D073CC" w:rsidRDefault="00D073CC" w:rsidP="00FC28D4">
      <w:pPr>
        <w:rPr>
          <w:lang w:val="en-US" w:eastAsia="fr-FR" w:bidi="ar-LB"/>
        </w:rPr>
      </w:pPr>
    </w:p>
    <w:p w14:paraId="72FC8B7C" w14:textId="77777777" w:rsidR="00664085" w:rsidRPr="00D073CC" w:rsidRDefault="00664085" w:rsidP="00D073CC">
      <w:pPr>
        <w:ind w:firstLine="720"/>
        <w:rPr>
          <w:b/>
          <w:bCs/>
          <w:sz w:val="22"/>
          <w:szCs w:val="24"/>
          <w:lang w:val="en-US" w:bidi="ar-LB"/>
        </w:rPr>
      </w:pPr>
      <w:r>
        <w:rPr>
          <w:b/>
          <w:bCs/>
          <w:sz w:val="22"/>
          <w:szCs w:val="24"/>
          <w:lang w:val="en-US" w:bidi="ar-LB"/>
        </w:rPr>
        <w:t>Declaration of AI Usage</w:t>
      </w:r>
    </w:p>
    <w:p w14:paraId="5D800B1B" w14:textId="05759B94" w:rsidR="00664085" w:rsidRPr="00664085" w:rsidRDefault="00664085" w:rsidP="00664085">
      <w:pPr>
        <w:rPr>
          <w:lang w:val="en-US" w:eastAsia="fr-FR" w:bidi="ar-LB"/>
        </w:rPr>
      </w:pPr>
      <w:r>
        <w:rPr>
          <w:lang w:val="en-US" w:eastAsia="fr-FR" w:bidi="ar-LB"/>
        </w:rPr>
        <w:t xml:space="preserve">Student Name: ............Gerges Samir El Kai...................................................</w:t>
      </w:r>
    </w:p>
    <w:p w14:paraId="1436FCC7" w14:textId="77777777" w:rsidR="00664085" w:rsidRPr="00664085" w:rsidRDefault="00664085" w:rsidP="00664085">
      <w:pPr>
        <w:rPr>
          <w:lang w:val="en-US" w:eastAsia="fr-FR" w:bidi="ar-LB"/>
        </w:rPr>
      </w:pPr>
      <w:r>
        <w:rPr>
          <w:lang w:val="en-US" w:eastAsia="fr-FR" w:bidi="ar-LB"/>
        </w:rPr>
        <w:t>Project Title: ................................................................</w:t>
      </w:r>
    </w:p>
    <w:p w14:paraId="1C8C1C56" w14:textId="77777777" w:rsidR="00664085" w:rsidRPr="00D073CC" w:rsidRDefault="00664085" w:rsidP="00D073CC">
      <w:pPr>
        <w:rPr>
          <w:b/>
          <w:bCs/>
          <w:lang w:val="en-US" w:bidi="ar-LB"/>
        </w:rPr>
      </w:pPr>
      <w:r>
        <w:rPr>
          <w:b/>
          <w:bCs/>
          <w:lang w:val="en-US" w:bidi="ar-LB"/>
        </w:rPr>
        <w:t>A. AI Usage Disclosure</w:t>
      </w:r>
    </w:p>
    <w:p w14:paraId="00B04423" w14:textId="3BF442BB" w:rsidR="00664085" w:rsidRPr="00664085" w:rsidRDefault="00664085" w:rsidP="00664085">
      <w:pPr>
        <w:rPr>
          <w:lang w:val="en-US" w:eastAsia="fr-FR" w:bidi="ar-LB"/>
        </w:rPr>
      </w:pPr>
      <w:r>
        <w:rPr>
          <w:lang w:val="en-US" w:eastAsia="fr-FR" w:bidi="ar-LB"/>
        </w:rPr>
        <w:t>Check all boxes that apply:</w:t>
      </w:r>
    </w:p>
    <w:p w14:paraId="038BB290" w14:textId="19D49E66" w:rsidR="00664085" w:rsidRPr="00664085" w:rsidRDefault="0018120C" w:rsidP="00664085">
      <w:pPr>
        <w:rPr>
          <w:lang w:val="en-US" w:eastAsia="fr-FR" w:bidi="ar-LB"/>
        </w:rPr>
      </w:pPr>
      <w:sdt>
        <w:sdtPr>
          <w:rPr>
            <w:lang w:val="en-US" w:eastAsia="fr-FR" w:bidi="ar-LB"/>
          </w:rPr>
          <w:id w:val="335431113"/>
          <w14:checkbox>
            <w14:checked w14:val="0"/>
            <w14:checkedState w14:val="2612" w14:font="MS Gothic"/>
            <w14:uncheckedState w14:val="2610" w14:font="MS Gothic"/>
          </w14:checkbox>
        </w:sdtPr>
        <w:sdtContent>
          <w:r>
            <w:rPr>
              <w:rFonts w:ascii="MS Gothic" w:eastAsia="MS Gothic" w:hAnsi="MS Gothic" w:hint="eastAsia"/>
              <w:lang w:val="en-US" w:eastAsia="fr-FR" w:bidi="ar-LB"/>
            </w:rPr>
            <w:t>☐</w:t>
          </w:r>
        </w:sdtContent>
      </w:sdt>
      <w:r>
        <w:rPr>
          <w:lang w:val="en-US" w:eastAsia="fr-FR" w:bidi="ar-LB"/>
        </w:rPr>
        <w:t xml:space="preserve"> No AI Used</w:t>
      </w:r>
    </w:p>
    <w:p w14:paraId="214DF9B1" w14:textId="77777777" w:rsidR="00664085" w:rsidRPr="00DA4F84" w:rsidRDefault="00664085" w:rsidP="00664085">
      <w:pPr>
        <w:rPr>
          <w:i/>
          <w:iCs/>
          <w:lang w:val="en-US" w:eastAsia="fr-FR" w:bidi="ar-LB"/>
        </w:rPr>
      </w:pPr>
      <w:r>
        <w:rPr>
          <w:i/>
          <w:iCs/>
          <w:lang w:val="en-US" w:eastAsia="fr-FR" w:bidi="ar-LB"/>
        </w:rPr>
        <w:t>The work is entirely my own and was completed without assistance from generative AI tools.</w:t>
      </w:r>
    </w:p>
    <w:p w14:paraId="56D53AEA" w14:textId="53301A8B" w:rsidR="00664085" w:rsidRPr="00664085" w:rsidRDefault="0018120C" w:rsidP="00664085">
      <w:pPr>
        <w:rPr>
          <w:lang w:val="en-US" w:eastAsia="fr-FR" w:bidi="ar-LB"/>
        </w:rPr>
      </w:pPr>
      <w:sdt>
        <w:sdtPr>
          <w:rPr>
            <w:lang w:val="en-US" w:eastAsia="fr-FR" w:bidi="ar-LB"/>
          </w:rPr>
          <w:id w:val="824015692"/>
          <w14:checkbox>
            <w14:checked w14:val="1"/>
            <w14:checkedState w14:val="2612" w14:font="MS Gothic"/>
            <w14:uncheckedState w14:val="2610" w14:font="MS Gothic"/>
          </w14:checkbox>
        </w:sdtPr>
        <w:sdtContent>
          <w:r>
            <w:rPr>
              <w:rFonts w:ascii="MS Gothic" w:eastAsia="MS Gothic" w:hAnsi="MS Gothic" w:hint="eastAsia"/>
              <w:lang w:val="en-US" w:eastAsia="fr-FR" w:bidi="ar-LB"/>
            </w:rPr>
            <w:t>☒</w:t>
          </w:r>
        </w:sdtContent>
      </w:sdt>
      <w:r>
        <w:rPr>
          <w:lang w:val="en-US" w:eastAsia="fr-FR" w:bidi="ar-LB"/>
        </w:rPr>
        <w:t xml:space="preserve"> Grammar &amp; Writing Refinement</w:t>
      </w:r>
    </w:p>
    <w:p w14:paraId="4D421533" w14:textId="77777777" w:rsidR="00664085" w:rsidRPr="00DA4F84" w:rsidRDefault="00664085" w:rsidP="00664085">
      <w:pPr>
        <w:rPr>
          <w:i/>
          <w:iCs/>
          <w:lang w:val="en-US" w:eastAsia="fr-FR" w:bidi="ar-LB"/>
        </w:rPr>
      </w:pPr>
      <w:r>
        <w:rPr>
          <w:i/>
          <w:iCs/>
          <w:lang w:val="en-US" w:eastAsia="fr-FR" w:bidi="ar-LB"/>
        </w:rPr>
        <w:t>AI tools were used only to enhance clarity, grammar, or writing style of my own originally written text.</w:t>
      </w:r>
    </w:p>
    <w:p w14:paraId="28BD85E4" w14:textId="0B667F3D" w:rsidR="00664085" w:rsidRPr="00664085" w:rsidRDefault="0018120C" w:rsidP="00664085">
      <w:pPr>
        <w:rPr>
          <w:lang w:val="en-US" w:eastAsia="fr-FR" w:bidi="ar-LB"/>
        </w:rPr>
      </w:pPr>
      <w:sdt>
        <w:sdtPr>
          <w:rPr>
            <w:lang w:val="en-US" w:eastAsia="fr-FR" w:bidi="ar-LB"/>
          </w:rPr>
          <w:id w:val="-1648431579"/>
          <w14:checkbox>
            <w14:checked w14:val="1"/>
            <w14:checkedState w14:val="2612" w14:font="MS Gothic"/>
            <w14:uncheckedState w14:val="2610" w14:font="MS Gothic"/>
          </w14:checkbox>
        </w:sdtPr>
        <w:sdtContent>
          <w:r>
            <w:rPr>
              <w:rFonts w:ascii="MS Gothic" w:eastAsia="MS Gothic" w:hAnsi="MS Gothic" w:hint="eastAsia"/>
              <w:lang w:val="en-US" w:eastAsia="fr-FR" w:bidi="ar-LB"/>
            </w:rPr>
            <w:t>☒</w:t>
          </w:r>
        </w:sdtContent>
      </w:sdt>
      <w:r>
        <w:rPr>
          <w:lang w:val="en-US" w:eastAsia="fr-FR" w:bidi="ar-LB"/>
        </w:rPr>
        <w:t xml:space="preserve"> Technical Support</w:t>
      </w:r>
    </w:p>
    <w:p w14:paraId="09C63587" w14:textId="77777777" w:rsidR="00664085" w:rsidRPr="00DA4F84" w:rsidRDefault="00664085" w:rsidP="00664085">
      <w:pPr>
        <w:rPr>
          <w:i/>
          <w:iCs/>
          <w:lang w:val="en-US" w:eastAsia="fr-FR" w:bidi="ar-LB"/>
        </w:rPr>
      </w:pPr>
      <w:r>
        <w:rPr>
          <w:i/>
          <w:iCs/>
          <w:lang w:val="en-US" w:eastAsia="fr-FR" w:bidi="ar-LB"/>
        </w:rPr>
        <w:t>AI tools were used for non</w:t>
      </w:r>
      <w:r>
        <w:rPr>
          <w:rFonts w:ascii="Cambria Math" w:hAnsi="Cambria Math" w:cs="Cambria Math"/>
          <w:i/>
          <w:iCs/>
          <w:lang w:val="en-US" w:eastAsia="fr-FR" w:bidi="ar-LB"/>
        </w:rPr>
        <w:t>‑</w:t>
      </w:r>
      <w:r>
        <w:rPr>
          <w:i/>
          <w:iCs/>
          <w:lang w:val="en-US" w:eastAsia="fr-FR" w:bidi="ar-LB"/>
        </w:rPr>
        <w:t>content</w:t>
      </w:r>
      <w:r>
        <w:rPr>
          <w:rFonts w:ascii="Cambria Math" w:hAnsi="Cambria Math" w:cs="Cambria Math"/>
          <w:i/>
          <w:iCs/>
          <w:lang w:val="en-US" w:eastAsia="fr-FR" w:bidi="ar-LB"/>
        </w:rPr>
        <w:t>‑</w:t>
      </w:r>
      <w:r>
        <w:rPr>
          <w:i/>
          <w:iCs/>
          <w:lang w:val="en-US" w:eastAsia="fr-FR" w:bidi="ar-LB"/>
        </w:rPr>
        <w:t>generating tasks, such as:</w:t>
      </w:r>
    </w:p>
    <w:p w14:paraId="65629C0A" w14:textId="77777777" w:rsidR="00664085" w:rsidRPr="00DA4F84" w:rsidRDefault="00664085" w:rsidP="00EC2839">
      <w:pPr>
        <w:pStyle w:val="ListParagraph"/>
        <w:numPr>
          <w:ilvl w:val="0"/>
          <w:numId w:val="21"/>
        </w:numPr>
        <w:rPr>
          <w:i/>
          <w:iCs/>
          <w:lang w:val="en-US" w:eastAsia="fr-FR" w:bidi="ar-LB"/>
        </w:rPr>
      </w:pPr>
      <w:r>
        <w:rPr>
          <w:i/>
          <w:iCs/>
          <w:lang w:val="en-US" w:eastAsia="fr-FR" w:bidi="ar-LB"/>
        </w:rPr>
        <w:t>code debugging or error identification,</w:t>
      </w:r>
    </w:p>
    <w:p w14:paraId="130918F5" w14:textId="77777777" w:rsidR="00664085" w:rsidRPr="00DA4F84" w:rsidRDefault="00664085" w:rsidP="00EC2839">
      <w:pPr>
        <w:pStyle w:val="ListParagraph"/>
        <w:numPr>
          <w:ilvl w:val="0"/>
          <w:numId w:val="21"/>
        </w:numPr>
        <w:rPr>
          <w:i/>
          <w:iCs/>
          <w:lang w:val="en-US" w:eastAsia="fr-FR" w:bidi="ar-LB"/>
        </w:rPr>
      </w:pPr>
      <w:r>
        <w:rPr>
          <w:i/>
          <w:iCs/>
          <w:lang w:val="en-US" w:eastAsia="fr-FR" w:bidi="ar-LB"/>
        </w:rPr>
        <w:t>data visualization assistance,</w:t>
      </w:r>
    </w:p>
    <w:p w14:paraId="5F0F2301" w14:textId="77777777" w:rsidR="00664085" w:rsidRPr="00DA4F84" w:rsidRDefault="00664085" w:rsidP="00EC2839">
      <w:pPr>
        <w:pStyle w:val="ListParagraph"/>
        <w:numPr>
          <w:ilvl w:val="0"/>
          <w:numId w:val="21"/>
        </w:numPr>
        <w:rPr>
          <w:i/>
          <w:iCs/>
          <w:lang w:val="en-US" w:eastAsia="fr-FR" w:bidi="ar-LB"/>
        </w:rPr>
      </w:pPr>
      <w:r>
        <w:rPr>
          <w:i/>
          <w:iCs/>
          <w:lang w:val="en-US" w:eastAsia="fr-FR" w:bidi="ar-LB"/>
        </w:rPr>
        <w:t>brainstorming or idea exploration,</w:t>
      </w:r>
    </w:p>
    <w:p w14:paraId="62BEB973" w14:textId="77777777" w:rsidR="00664085" w:rsidRPr="00DA4F84" w:rsidRDefault="00664085" w:rsidP="00EC2839">
      <w:pPr>
        <w:pStyle w:val="ListParagraph"/>
        <w:numPr>
          <w:ilvl w:val="0"/>
          <w:numId w:val="21"/>
        </w:numPr>
        <w:rPr>
          <w:i/>
          <w:iCs/>
          <w:lang w:val="en-US" w:eastAsia="fr-FR" w:bidi="ar-LB"/>
        </w:rPr>
      </w:pPr>
      <w:r>
        <w:rPr>
          <w:i/>
          <w:iCs/>
          <w:lang w:val="en-US" w:eastAsia="fr-FR" w:bidi="ar-LB"/>
        </w:rPr>
        <w:t>explanation of existing concepts without generating new project content.</w:t>
      </w:r>
    </w:p>
    <w:p w14:paraId="21170939" w14:textId="706DE32C" w:rsidR="00664085" w:rsidRPr="00664085" w:rsidRDefault="0018120C" w:rsidP="00664085">
      <w:pPr>
        <w:rPr>
          <w:lang w:val="en-US" w:eastAsia="fr-FR" w:bidi="ar-LB"/>
        </w:rPr>
      </w:pPr>
      <w:sdt>
        <w:sdtPr>
          <w:rPr>
            <w:lang w:val="en-US" w:eastAsia="fr-FR" w:bidi="ar-LB"/>
          </w:rPr>
          <w:id w:val="161129732"/>
          <w14:checkbox>
            <w14:checked w14:val="0"/>
            <w14:checkedState w14:val="2612" w14:font="MS Gothic"/>
            <w14:uncheckedState w14:val="2610" w14:font="MS Gothic"/>
          </w14:checkbox>
        </w:sdtPr>
        <w:sdtContent>
          <w:r>
            <w:rPr>
              <w:rFonts w:ascii="MS Gothic" w:eastAsia="MS Gothic" w:hAnsi="MS Gothic" w:hint="eastAsia"/>
              <w:lang w:val="en-US" w:eastAsia="fr-FR" w:bidi="ar-LB"/>
            </w:rPr>
            <w:t>☐</w:t>
          </w:r>
        </w:sdtContent>
      </w:sdt>
      <w:r>
        <w:rPr>
          <w:lang w:val="en-US" w:eastAsia="fr-FR" w:bidi="ar-LB"/>
        </w:rPr>
        <w:t xml:space="preserve"> Content Generation (requires explicit justification)</w:t>
      </w:r>
    </w:p>
    <w:p w14:paraId="0BC99758" w14:textId="77777777" w:rsidR="00664085" w:rsidRPr="00DA4F84" w:rsidRDefault="00664085" w:rsidP="00664085">
      <w:pPr>
        <w:rPr>
          <w:i/>
          <w:iCs/>
          <w:lang w:val="en-US" w:eastAsia="fr-FR" w:bidi="ar-LB"/>
        </w:rPr>
      </w:pPr>
      <w:r>
        <w:rPr>
          <w:i/>
          <w:iCs/>
          <w:lang w:val="en-US" w:eastAsia="fr-FR" w:bidi="ar-LB"/>
        </w:rPr>
        <w:t>AI tools generated portions of text, code, or analysis that appear in this report.</w:t>
      </w:r>
    </w:p>
    <w:p w14:paraId="5ABC7B32" w14:textId="77777777" w:rsidR="00954BF5" w:rsidRDefault="00954BF5" w:rsidP="00954BF5">
      <w:pPr>
        <w:rPr>
          <w:lang w:val="en-US" w:eastAsia="fr-FR" w:bidi="ar-LB"/>
        </w:rPr>
      </w:pPr>
    </w:p>
    <w:p w14:paraId="7C1B3667" w14:textId="1E05ACA2" w:rsidR="00954BF5" w:rsidRPr="00D073CC" w:rsidRDefault="00954BF5" w:rsidP="00954BF5">
      <w:pPr>
        <w:rPr>
          <w:b/>
          <w:bCs/>
          <w:lang w:val="en-US" w:eastAsia="fr-FR" w:bidi="ar-LB"/>
        </w:rPr>
      </w:pPr>
      <w:r>
        <w:rPr>
          <w:b/>
          <w:bCs/>
          <w:lang w:val="en-US" w:eastAsia="fr-FR" w:bidi="ar-LB"/>
        </w:rPr>
        <w:t>B. Detailed Description of AI Usage</w:t>
      </w:r>
    </w:p>
    <w:p w14:paraId="3B02F831" w14:textId="77777777" w:rsidR="00954BF5" w:rsidRPr="00954BF5" w:rsidRDefault="00954BF5" w:rsidP="00954BF5">
      <w:pPr>
        <w:rPr>
          <w:lang w:val="en-US" w:eastAsia="fr-FR" w:bidi="ar-LB"/>
        </w:rPr>
      </w:pPr>
      <w:r>
        <w:rPr>
          <w:lang w:val="en-US" w:eastAsia="fr-FR" w:bidi="ar-LB"/>
        </w:rPr>
        <w:t>Explain clearly which tools, which versions, for what purpose, and how the generated content was verified.</w:t>
      </w:r>
    </w:p>
    <w:p w14:paraId="7E4234DA" w14:textId="77777777" w:rsidR="00954BF5" w:rsidRPr="00D073CC" w:rsidRDefault="00954BF5" w:rsidP="00954BF5">
      <w:pPr>
        <w:rPr>
          <w:i/>
          <w:iCs/>
          <w:lang w:val="en-US" w:eastAsia="fr-FR" w:bidi="ar-LB"/>
        </w:rPr>
      </w:pPr>
      <w:r>
        <w:rPr>
          <w:i/>
          <w:iCs/>
          <w:lang w:val="en-US" w:eastAsia="fr-FR" w:bidi="ar-LB"/>
        </w:rPr>
        <w:t>Example:</w:t>
      </w:r>
    </w:p>
    <w:p w14:paraId="4CF2879B" w14:textId="77777777" w:rsidR="00954BF5" w:rsidRPr="00D073CC" w:rsidRDefault="00954BF5" w:rsidP="00954BF5">
      <w:pPr>
        <w:rPr>
          <w:i/>
          <w:iCs/>
          <w:lang w:val="en-US" w:eastAsia="fr-FR" w:bidi="ar-LB"/>
        </w:rPr>
      </w:pPr>
      <w:r>
        <w:rPr>
          <w:i/>
          <w:iCs/>
          <w:lang w:val="en-US" w:eastAsia="fr-FR" w:bidi="ar-LB"/>
        </w:rPr>
        <w:t>“I used ChatGPT (GPT</w:t>
      </w:r>
      <w:r>
        <w:rPr>
          <w:rFonts w:ascii="Cambria Math" w:hAnsi="Cambria Math" w:cs="Cambria Math"/>
          <w:i/>
          <w:iCs/>
          <w:lang w:val="en-US" w:eastAsia="fr-FR" w:bidi="ar-LB"/>
        </w:rPr>
        <w:t>‑</w:t>
      </w:r>
      <w:r>
        <w:rPr>
          <w:i/>
          <w:iCs/>
          <w:lang w:val="en-US" w:eastAsia="fr-FR" w:bidi="ar-LB"/>
        </w:rPr>
        <w:t>5 Chat, February 2026 version) to help structure the Literature Review chapter. I also used GitHub Copilot to generate boilerplate code for initializing SPI communication. All code generated by AI was manually reviewed, tested, and validated by me.”</w:t>
      </w:r>
    </w:p>
    <w:p w14:paraId="02A74D35" w14:textId="77777777" w:rsidR="00954BF5" w:rsidRPr="00954BF5" w:rsidRDefault="00954BF5" w:rsidP="00954BF5">
      <w:pPr>
        <w:rPr>
          <w:lang w:val="en-US" w:eastAsia="fr-FR" w:bidi="ar-LB"/>
        </w:rPr>
      </w:pPr>
      <w:r>
        <w:rPr>
          <w:lang w:val="en-US" w:eastAsia="fr-FR" w:bidi="ar-LB"/>
        </w:rPr>
        <w:t>Description:</w:t>
      </w:r>
    </w:p>
    <w:p w14:paraId="67498D65" w14:textId="1C387D99" w:rsidR="00954BF5" w:rsidRPr="00954BF5" w:rsidRDefault="00954BF5" w:rsidP="000608F3">
      <w:pPr>
        <w:jc w:val="left"/>
        <w:rPr>
          <w:lang w:val="en-US" w:eastAsia="fr-FR" w:bidi="ar-LB"/>
        </w:rPr>
      </w:pPr>
      <w:r>
        <w:rPr>
          <w:lang w:val="en-US" w:eastAsia="fr-FR" w:bidi="ar-LB"/>
        </w:rPr>
        <w:t xml:space="preserve">....I used Deep seek for code generation , copilot to help structure the literature review...................................................................................</w:t>
      </w:r>
    </w:p>
    <w:p w14:paraId="0BC23CCE" w14:textId="77777777" w:rsidR="00954BF5" w:rsidRPr="00954BF5" w:rsidRDefault="00954BF5" w:rsidP="00954BF5">
      <w:pPr>
        <w:rPr>
          <w:lang w:val="en-US" w:eastAsia="fr-FR" w:bidi="ar-LB"/>
        </w:rPr>
      </w:pPr>
      <w:r>
        <w:rPr>
          <w:lang w:val="en-US" w:eastAsia="fr-FR" w:bidi="ar-LB"/>
        </w:rPr>
        <w:lastRenderedPageBreak/>
        <w:t>.......................................................................................</w:t>
      </w:r>
    </w:p>
    <w:p w14:paraId="483DE75C" w14:textId="77777777" w:rsidR="00954BF5" w:rsidRPr="00D073CC" w:rsidRDefault="00954BF5" w:rsidP="00954BF5">
      <w:pPr>
        <w:rPr>
          <w:b/>
          <w:bCs/>
          <w:lang w:val="en-US" w:eastAsia="fr-FR" w:bidi="ar-LB"/>
        </w:rPr>
      </w:pPr>
      <w:r>
        <w:rPr>
          <w:b/>
          <w:bCs/>
          <w:lang w:val="en-US" w:eastAsia="fr-FR" w:bidi="ar-LB"/>
        </w:rPr>
        <w:t>C. Student Certification</w:t>
      </w:r>
    </w:p>
    <w:p w14:paraId="09E183C6" w14:textId="77777777" w:rsidR="00954BF5" w:rsidRPr="00954BF5" w:rsidRDefault="00954BF5" w:rsidP="00954BF5">
      <w:pPr>
        <w:rPr>
          <w:lang w:val="en-US" w:eastAsia="fr-FR" w:bidi="ar-LB"/>
        </w:rPr>
      </w:pPr>
      <w:r>
        <w:rPr>
          <w:lang w:val="en-US" w:eastAsia="fr-FR" w:bidi="ar-LB"/>
        </w:rPr>
        <w:t>I certify that:</w:t>
      </w:r>
    </w:p>
    <w:p w14:paraId="426FCDC9" w14:textId="77777777" w:rsidR="00954BF5" w:rsidRPr="006F27F8" w:rsidRDefault="00954BF5" w:rsidP="00EC2839">
      <w:pPr>
        <w:pStyle w:val="ListParagraph"/>
        <w:numPr>
          <w:ilvl w:val="0"/>
          <w:numId w:val="22"/>
        </w:numPr>
        <w:rPr>
          <w:lang w:val="en-US" w:eastAsia="fr-FR" w:bidi="ar-LB"/>
        </w:rPr>
      </w:pPr>
      <w:r>
        <w:rPr>
          <w:lang w:val="en-US" w:eastAsia="fr-FR" w:bidi="ar-LB"/>
        </w:rPr>
        <w:t>all AI-generated material has been critically evaluated, corrected, and validated by me,</w:t>
      </w:r>
    </w:p>
    <w:p w14:paraId="56367E85" w14:textId="77777777" w:rsidR="00954BF5" w:rsidRPr="006F27F8" w:rsidRDefault="00954BF5" w:rsidP="00EC2839">
      <w:pPr>
        <w:pStyle w:val="ListParagraph"/>
        <w:numPr>
          <w:ilvl w:val="0"/>
          <w:numId w:val="22"/>
        </w:numPr>
        <w:rPr>
          <w:lang w:val="en-US" w:eastAsia="fr-FR" w:bidi="ar-LB"/>
        </w:rPr>
      </w:pPr>
      <w:r>
        <w:rPr>
          <w:lang w:val="en-US" w:eastAsia="fr-FR" w:bidi="ar-LB"/>
        </w:rPr>
        <w:t>the final submission reflects my own technical reasoning and understanding,</w:t>
      </w:r>
    </w:p>
    <w:p w14:paraId="03A0A0BE" w14:textId="77777777" w:rsidR="00954BF5" w:rsidRPr="006F27F8" w:rsidRDefault="00954BF5" w:rsidP="00EC2839">
      <w:pPr>
        <w:pStyle w:val="ListParagraph"/>
        <w:numPr>
          <w:ilvl w:val="0"/>
          <w:numId w:val="22"/>
        </w:numPr>
        <w:rPr>
          <w:lang w:val="en-US" w:eastAsia="fr-FR" w:bidi="ar-LB"/>
        </w:rPr>
      </w:pPr>
      <w:r>
        <w:rPr>
          <w:lang w:val="en-US" w:eastAsia="fr-FR" w:bidi="ar-LB"/>
        </w:rPr>
        <w:t>I am prepared to defend all content of this report during a viva or technical interview,</w:t>
      </w:r>
    </w:p>
    <w:p w14:paraId="44434621" w14:textId="77777777" w:rsidR="00954BF5" w:rsidRPr="00954BF5" w:rsidRDefault="00954BF5" w:rsidP="00954BF5">
      <w:pPr>
        <w:rPr>
          <w:lang w:val="en-US" w:eastAsia="fr-FR" w:bidi="ar-LB"/>
        </w:rPr>
      </w:pPr>
      <w:r>
        <w:rPr>
          <w:lang w:val="en-US" w:eastAsia="fr-FR" w:bidi="ar-LB"/>
        </w:rPr>
        <w:t>I understand that improper or undisclosed AI usage constitutes a violation of academic integrity.</w:t>
      </w:r>
    </w:p>
    <w:p w14:paraId="63E6472A" w14:textId="77777777" w:rsidR="00954BF5" w:rsidRPr="00954BF5" w:rsidRDefault="00954BF5" w:rsidP="00954BF5">
      <w:pPr>
        <w:rPr>
          <w:lang w:val="en-US" w:eastAsia="fr-FR" w:bidi="ar-LB"/>
        </w:rPr>
      </w:pPr>
    </w:p>
    <w:p w14:paraId="1444F4AC" w14:textId="1046C163" w:rsidR="00954BF5" w:rsidRPr="00954BF5" w:rsidRDefault="00954BF5" w:rsidP="00954BF5">
      <w:pPr>
        <w:rPr>
          <w:lang w:val="en-US" w:eastAsia="fr-FR" w:bidi="ar-LB"/>
        </w:rPr>
      </w:pPr>
      <w:r>
        <w:rPr>
          <w:lang w:val="en-US" w:eastAsia="fr-FR" w:bidi="ar-LB"/>
        </w:rPr>
        <w:t xml:space="preserve">Signature: ..............Gerges Samir El Kai.........................................</w:t>
      </w:r>
    </w:p>
    <w:p w14:paraId="3295F6E2" w14:textId="346B18DE" w:rsidR="00954BF5" w:rsidRDefault="00954BF5" w:rsidP="00954BF5">
      <w:pPr>
        <w:rPr>
          <w:lang w:val="en-US" w:eastAsia="fr-FR" w:bidi="ar-LB"/>
        </w:rPr>
      </w:pPr>
      <w:r>
        <w:rPr>
          <w:lang w:val="en-US" w:eastAsia="fr-FR" w:bidi="ar-LB"/>
        </w:rPr>
        <w:t>Date: ..............................................................</w:t>
      </w:r>
    </w:p>
    <w:sectPr w:rsidR="00954BF5" w:rsidSect="00536F34">
      <w:pgSz w:w="11906" w:h="16838" w:code="9"/>
      <w:pgMar w:top="1190" w:right="476" w:bottom="1440" w:left="1170" w:header="720" w:footer="1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6A3BEE" w14:textId="77777777" w:rsidR="00EC2839" w:rsidRDefault="00EC2839" w:rsidP="00425A68">
      <w:r>
        <w:separator/>
      </w:r>
    </w:p>
    <w:p w14:paraId="7789EEA7" w14:textId="77777777" w:rsidR="00EC2839" w:rsidRDefault="00EC2839"/>
    <w:p w14:paraId="01956AAB" w14:textId="77777777" w:rsidR="00EC2839" w:rsidRDefault="00EC2839" w:rsidP="00B8037B"/>
  </w:endnote>
  <w:endnote w:type="continuationSeparator" w:id="0">
    <w:p w14:paraId="49EEB789" w14:textId="77777777" w:rsidR="00EC2839" w:rsidRDefault="00EC2839" w:rsidP="00425A68">
      <w:r>
        <w:continuationSeparator/>
      </w:r>
    </w:p>
    <w:p w14:paraId="6603CE25" w14:textId="77777777" w:rsidR="00EC2839" w:rsidRDefault="00EC2839"/>
    <w:p w14:paraId="3B08574E" w14:textId="77777777" w:rsidR="00EC2839" w:rsidRDefault="00EC2839" w:rsidP="00B803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
    <w:altName w:val="Arial"/>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KDABME+TimesNewRoman">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CellMar>
        <w:top w:w="72" w:type="dxa"/>
        <w:left w:w="115" w:type="dxa"/>
        <w:right w:w="115" w:type="dxa"/>
      </w:tblCellMar>
      <w:tblLook w:val="04A0" w:firstRow="1" w:lastRow="0" w:firstColumn="1" w:lastColumn="0" w:noHBand="0" w:noVBand="1"/>
    </w:tblPr>
    <w:tblGrid>
      <w:gridCol w:w="2952"/>
      <w:gridCol w:w="2952"/>
      <w:gridCol w:w="2952"/>
    </w:tblGrid>
    <w:tr w:rsidR="003024AD" w:rsidRPr="00112313" w14:paraId="7C33FF3E" w14:textId="77777777" w:rsidTr="008318C6">
      <w:tc>
        <w:tcPr>
          <w:tcW w:w="2952" w:type="dxa"/>
        </w:tcPr>
        <w:p w14:paraId="5E52B3BC" w14:textId="77777777" w:rsidR="003024AD" w:rsidRPr="00A26C4A" w:rsidRDefault="003024AD" w:rsidP="009811C8">
          <w:pPr>
            <w:pStyle w:val="Footer"/>
            <w:rPr>
              <w:lang w:val="en-US"/>
            </w:rPr>
          </w:pPr>
        </w:p>
      </w:tc>
      <w:tc>
        <w:tcPr>
          <w:tcW w:w="2952" w:type="dxa"/>
        </w:tcPr>
        <w:p w14:paraId="64931F0D" w14:textId="77777777" w:rsidR="003024AD" w:rsidRPr="00112313" w:rsidRDefault="003024AD" w:rsidP="00425A68">
          <w:pPr>
            <w:pStyle w:val="Footer"/>
            <w:rPr>
              <w:lang w:val="en-US"/>
            </w:rPr>
          </w:pPr>
        </w:p>
      </w:tc>
      <w:tc>
        <w:tcPr>
          <w:tcW w:w="2952" w:type="dxa"/>
        </w:tcPr>
        <w:p w14:paraId="529D07BE" w14:textId="764CE53D" w:rsidR="003024AD" w:rsidRPr="00112313" w:rsidRDefault="003024AD" w:rsidP="00AE0B77">
          <w:pPr>
            <w:pStyle w:val="Footer"/>
            <w:jc w:val="right"/>
            <w:rPr>
              <w:lang w:val="en-US"/>
            </w:rPr>
          </w:pPr>
          <w:r w:rsidRPr="00112313">
            <w:rPr>
              <w:lang w:val="en-US"/>
            </w:rPr>
            <w:t xml:space="preserve">Page </w:t>
          </w:r>
          <w:r w:rsidRPr="00425A68">
            <w:rPr>
              <w:lang w:val="el-GR"/>
            </w:rPr>
            <w:fldChar w:fldCharType="begin"/>
          </w:r>
          <w:r w:rsidRPr="00112313">
            <w:rPr>
              <w:lang w:val="en-US"/>
            </w:rPr>
            <w:instrText xml:space="preserve"> PAGE   \* MERGEFORMAT </w:instrText>
          </w:r>
          <w:r w:rsidRPr="00425A68">
            <w:rPr>
              <w:lang w:val="el-GR"/>
            </w:rPr>
            <w:fldChar w:fldCharType="separate"/>
          </w:r>
          <w:r>
            <w:rPr>
              <w:noProof/>
              <w:lang w:val="en-US"/>
            </w:rPr>
            <w:t>7</w:t>
          </w:r>
          <w:r w:rsidRPr="00425A68">
            <w:rPr>
              <w:noProof/>
              <w:lang w:val="el-GR"/>
            </w:rPr>
            <w:fldChar w:fldCharType="end"/>
          </w:r>
          <w:r w:rsidRPr="00112313">
            <w:rPr>
              <w:noProof/>
              <w:lang w:val="en-US"/>
            </w:rPr>
            <w:t xml:space="preserve"> of </w:t>
          </w:r>
          <w:r>
            <w:rPr>
              <w:noProof/>
              <w:lang w:val="el-GR"/>
            </w:rPr>
            <w:fldChar w:fldCharType="begin"/>
          </w:r>
          <w:r w:rsidRPr="00112313">
            <w:rPr>
              <w:noProof/>
              <w:lang w:val="en-US"/>
            </w:rPr>
            <w:instrText xml:space="preserve"> NUMPAGES   \* MERGEFORMAT </w:instrText>
          </w:r>
          <w:r>
            <w:rPr>
              <w:noProof/>
              <w:lang w:val="el-GR"/>
            </w:rPr>
            <w:fldChar w:fldCharType="separate"/>
          </w:r>
          <w:r>
            <w:rPr>
              <w:noProof/>
              <w:lang w:val="en-US"/>
            </w:rPr>
            <w:t>31</w:t>
          </w:r>
          <w:r>
            <w:rPr>
              <w:noProof/>
              <w:lang w:val="el-GR"/>
            </w:rPr>
            <w:fldChar w:fldCharType="end"/>
          </w:r>
          <w:r w:rsidRPr="00112313">
            <w:rPr>
              <w:lang w:val="en-US"/>
            </w:rPr>
            <w:t xml:space="preserve"> </w:t>
          </w:r>
        </w:p>
      </w:tc>
    </w:tr>
  </w:tbl>
  <w:p w14:paraId="4F9C3DC8" w14:textId="77777777" w:rsidR="003024AD" w:rsidRPr="00272D96" w:rsidRDefault="003024AD" w:rsidP="00272D96">
    <w:pP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47F938" w14:textId="77777777" w:rsidR="00EC2839" w:rsidRDefault="00EC2839" w:rsidP="00425A68">
      <w:r>
        <w:separator/>
      </w:r>
    </w:p>
    <w:p w14:paraId="6730BD72" w14:textId="77777777" w:rsidR="00EC2839" w:rsidRDefault="00EC2839"/>
    <w:p w14:paraId="53E0B207" w14:textId="77777777" w:rsidR="00EC2839" w:rsidRDefault="00EC2839" w:rsidP="00B8037B"/>
  </w:footnote>
  <w:footnote w:type="continuationSeparator" w:id="0">
    <w:p w14:paraId="0DB15F4D" w14:textId="77777777" w:rsidR="00EC2839" w:rsidRDefault="00EC2839" w:rsidP="00425A68">
      <w:r>
        <w:continuationSeparator/>
      </w:r>
    </w:p>
    <w:p w14:paraId="68A1C2B2" w14:textId="77777777" w:rsidR="00EC2839" w:rsidRDefault="00EC2839"/>
    <w:p w14:paraId="20B70992" w14:textId="77777777" w:rsidR="00EC2839" w:rsidRDefault="00EC2839" w:rsidP="00B803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8662" w:type="dxa"/>
      <w:tblInd w:w="86"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8"/>
      <w:gridCol w:w="2504"/>
      <w:gridCol w:w="3240"/>
    </w:tblGrid>
    <w:tr w:rsidR="003024AD" w:rsidRPr="00AE0B77" w14:paraId="0BE3CD6A" w14:textId="77777777" w:rsidTr="0062252A">
      <w:tc>
        <w:tcPr>
          <w:tcW w:w="2918" w:type="dxa"/>
        </w:tcPr>
        <w:p w14:paraId="6619542C" w14:textId="77777777" w:rsidR="003024AD" w:rsidRDefault="003024AD" w:rsidP="00425A68">
          <w:pPr>
            <w:pStyle w:val="Header"/>
          </w:pPr>
        </w:p>
      </w:tc>
      <w:tc>
        <w:tcPr>
          <w:tcW w:w="2504" w:type="dxa"/>
        </w:tcPr>
        <w:p w14:paraId="797589CD" w14:textId="77777777" w:rsidR="003024AD" w:rsidRDefault="003024AD" w:rsidP="00425A68">
          <w:pPr>
            <w:pStyle w:val="Header"/>
          </w:pPr>
        </w:p>
      </w:tc>
      <w:tc>
        <w:tcPr>
          <w:tcW w:w="3240" w:type="dxa"/>
        </w:tcPr>
        <w:p w14:paraId="11837BF0" w14:textId="77777777" w:rsidR="003024AD" w:rsidRDefault="003024AD" w:rsidP="0062252A">
          <w:pPr>
            <w:jc w:val="right"/>
            <w:rPr>
              <w:lang w:val="en-US"/>
            </w:rPr>
          </w:pPr>
          <w:r>
            <w:rPr>
              <w:lang w:val="en-US"/>
            </w:rPr>
            <w:t>Project Title</w:t>
          </w:r>
        </w:p>
        <w:p w14:paraId="317C9BEE" w14:textId="77777777" w:rsidR="003024AD" w:rsidRPr="0062252A" w:rsidRDefault="003024AD" w:rsidP="0062252A">
          <w:pPr>
            <w:jc w:val="right"/>
            <w:rPr>
              <w:sz w:val="8"/>
              <w:szCs w:val="8"/>
              <w:lang w:val="en-US"/>
            </w:rPr>
          </w:pPr>
        </w:p>
      </w:tc>
    </w:tr>
  </w:tbl>
  <w:p w14:paraId="75A39ECA" w14:textId="77777777" w:rsidR="003024AD" w:rsidRPr="00704714" w:rsidRDefault="003024AD" w:rsidP="00B8037B">
    <w:pPr>
      <w:rPr>
        <w:sz w:val="2"/>
        <w:szCs w:val="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5654B9"/>
    <w:multiLevelType w:val="hybridMultilevel"/>
    <w:tmpl w:val="EB804BF4"/>
    <w:lvl w:ilvl="0" w:tplc="D6EC9FE2">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72D60"/>
    <w:multiLevelType w:val="multilevel"/>
    <w:tmpl w:val="82DE111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ascii="Arial" w:hAnsi="Arial" w:cs="Arial" w:hint="default"/>
      </w:rPr>
    </w:lvl>
    <w:lvl w:ilvl="3">
      <w:start w:val="1"/>
      <w:numFmt w:val="decimal"/>
      <w:pStyle w:val="Heading4"/>
      <w:lvlText w:val="%1.%2.%3.%4"/>
      <w:lvlJc w:val="left"/>
      <w:pPr>
        <w:tabs>
          <w:tab w:val="num" w:pos="2728"/>
        </w:tabs>
        <w:ind w:left="1432"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BF743FF"/>
    <w:multiLevelType w:val="hybridMultilevel"/>
    <w:tmpl w:val="87D686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96191E"/>
    <w:multiLevelType w:val="hybridMultilevel"/>
    <w:tmpl w:val="A2869B60"/>
    <w:lvl w:ilvl="0" w:tplc="D6EC9FE2">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16302"/>
    <w:multiLevelType w:val="multilevel"/>
    <w:tmpl w:val="84648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97320A"/>
    <w:multiLevelType w:val="hybridMultilevel"/>
    <w:tmpl w:val="AC140ACC"/>
    <w:lvl w:ilvl="0" w:tplc="D6EC9FE2">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0A3057"/>
    <w:multiLevelType w:val="hybridMultilevel"/>
    <w:tmpl w:val="8D96431C"/>
    <w:lvl w:ilvl="0" w:tplc="6010D914">
      <w:start w:val="4"/>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CB0484"/>
    <w:multiLevelType w:val="hybridMultilevel"/>
    <w:tmpl w:val="BCF486CC"/>
    <w:lvl w:ilvl="0" w:tplc="D6EC9FE2">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774721"/>
    <w:multiLevelType w:val="hybridMultilevel"/>
    <w:tmpl w:val="317A993E"/>
    <w:lvl w:ilvl="0" w:tplc="D6EC9FE2">
      <w:start w:val="4"/>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5A3BAE"/>
    <w:multiLevelType w:val="multilevel"/>
    <w:tmpl w:val="84648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DB7D46"/>
    <w:multiLevelType w:val="multilevel"/>
    <w:tmpl w:val="91F6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B4662"/>
    <w:multiLevelType w:val="hybridMultilevel"/>
    <w:tmpl w:val="AABEE096"/>
    <w:lvl w:ilvl="0" w:tplc="D6EC9FE2">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DA011E"/>
    <w:multiLevelType w:val="multilevel"/>
    <w:tmpl w:val="37D4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532FC7"/>
    <w:multiLevelType w:val="hybridMultilevel"/>
    <w:tmpl w:val="38580978"/>
    <w:lvl w:ilvl="0" w:tplc="D6EC9FE2">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3B5199"/>
    <w:multiLevelType w:val="hybridMultilevel"/>
    <w:tmpl w:val="4B88FD66"/>
    <w:lvl w:ilvl="0" w:tplc="6010D914">
      <w:start w:val="4"/>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8908D3"/>
    <w:multiLevelType w:val="hybridMultilevel"/>
    <w:tmpl w:val="5BD45454"/>
    <w:lvl w:ilvl="0" w:tplc="D6EC9FE2">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C87252"/>
    <w:multiLevelType w:val="multilevel"/>
    <w:tmpl w:val="0E88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3B119F"/>
    <w:multiLevelType w:val="hybridMultilevel"/>
    <w:tmpl w:val="313E6BFA"/>
    <w:lvl w:ilvl="0" w:tplc="CD9A4AB8">
      <w:start w:val="1"/>
      <w:numFmt w:val="decimal"/>
      <w:pStyle w:val="Reference"/>
      <w:lvlText w:val="[%1]"/>
      <w:lvlJc w:val="left"/>
      <w:pPr>
        <w:tabs>
          <w:tab w:val="num" w:pos="624"/>
        </w:tabs>
        <w:ind w:left="624" w:hanging="624"/>
      </w:pPr>
      <w:rPr>
        <w:rFonts w:ascii="Arial" w:hAnsi="Aria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5912DB8"/>
    <w:multiLevelType w:val="hybridMultilevel"/>
    <w:tmpl w:val="01509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D9326B"/>
    <w:multiLevelType w:val="hybridMultilevel"/>
    <w:tmpl w:val="EEDE6D48"/>
    <w:lvl w:ilvl="0" w:tplc="D6EC9FE2">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F71417"/>
    <w:multiLevelType w:val="hybridMultilevel"/>
    <w:tmpl w:val="E6725BD0"/>
    <w:lvl w:ilvl="0" w:tplc="D6EC9FE2">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3A37C9"/>
    <w:multiLevelType w:val="hybridMultilevel"/>
    <w:tmpl w:val="AE92864A"/>
    <w:lvl w:ilvl="0" w:tplc="D6EC9FE2">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3C7799"/>
    <w:multiLevelType w:val="multilevel"/>
    <w:tmpl w:val="E43E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6D3E47"/>
    <w:multiLevelType w:val="multilevel"/>
    <w:tmpl w:val="C2B2B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DE6DCF"/>
    <w:multiLevelType w:val="hybridMultilevel"/>
    <w:tmpl w:val="DB169D5E"/>
    <w:lvl w:ilvl="0" w:tplc="D6EC9FE2">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665288"/>
    <w:multiLevelType w:val="hybridMultilevel"/>
    <w:tmpl w:val="023AD4BE"/>
    <w:lvl w:ilvl="0" w:tplc="D6EC9FE2">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207E8E"/>
    <w:multiLevelType w:val="hybridMultilevel"/>
    <w:tmpl w:val="E31C6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EB59FF"/>
    <w:multiLevelType w:val="hybridMultilevel"/>
    <w:tmpl w:val="ACB4EFBC"/>
    <w:lvl w:ilvl="0" w:tplc="D6EC9FE2">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7B5A73"/>
    <w:multiLevelType w:val="hybridMultilevel"/>
    <w:tmpl w:val="1E561CC6"/>
    <w:lvl w:ilvl="0" w:tplc="D6EC9FE2">
      <w:start w:val="4"/>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1B2A05"/>
    <w:multiLevelType w:val="hybridMultilevel"/>
    <w:tmpl w:val="965818A4"/>
    <w:lvl w:ilvl="0" w:tplc="D6EC9FE2">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132057"/>
    <w:multiLevelType w:val="multilevel"/>
    <w:tmpl w:val="E230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4F5F8B"/>
    <w:multiLevelType w:val="multilevel"/>
    <w:tmpl w:val="5EAE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E96E18"/>
    <w:multiLevelType w:val="hybridMultilevel"/>
    <w:tmpl w:val="BA56F87A"/>
    <w:lvl w:ilvl="0" w:tplc="D6EC9FE2">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1B69E5"/>
    <w:multiLevelType w:val="hybridMultilevel"/>
    <w:tmpl w:val="98F0BBF8"/>
    <w:lvl w:ilvl="0" w:tplc="D6EC9FE2">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D37E11"/>
    <w:multiLevelType w:val="hybridMultilevel"/>
    <w:tmpl w:val="2C144814"/>
    <w:lvl w:ilvl="0" w:tplc="D6EC9FE2">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3E5201"/>
    <w:multiLevelType w:val="hybridMultilevel"/>
    <w:tmpl w:val="6D8633D4"/>
    <w:lvl w:ilvl="0" w:tplc="D6EC9FE2">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756AC9"/>
    <w:multiLevelType w:val="multilevel"/>
    <w:tmpl w:val="0072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4F48A1"/>
    <w:multiLevelType w:val="multilevel"/>
    <w:tmpl w:val="09E0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7"/>
  </w:num>
  <w:num w:numId="3">
    <w:abstractNumId w:val="8"/>
  </w:num>
  <w:num w:numId="4">
    <w:abstractNumId w:val="19"/>
  </w:num>
  <w:num w:numId="5">
    <w:abstractNumId w:val="0"/>
  </w:num>
  <w:num w:numId="6">
    <w:abstractNumId w:val="33"/>
  </w:num>
  <w:num w:numId="7">
    <w:abstractNumId w:val="20"/>
  </w:num>
  <w:num w:numId="8">
    <w:abstractNumId w:val="3"/>
  </w:num>
  <w:num w:numId="9">
    <w:abstractNumId w:val="7"/>
  </w:num>
  <w:num w:numId="10">
    <w:abstractNumId w:val="32"/>
  </w:num>
  <w:num w:numId="11">
    <w:abstractNumId w:val="34"/>
  </w:num>
  <w:num w:numId="12">
    <w:abstractNumId w:val="25"/>
  </w:num>
  <w:num w:numId="13">
    <w:abstractNumId w:val="21"/>
  </w:num>
  <w:num w:numId="14">
    <w:abstractNumId w:val="35"/>
  </w:num>
  <w:num w:numId="15">
    <w:abstractNumId w:val="11"/>
  </w:num>
  <w:num w:numId="16">
    <w:abstractNumId w:val="29"/>
  </w:num>
  <w:num w:numId="17">
    <w:abstractNumId w:val="24"/>
  </w:num>
  <w:num w:numId="18">
    <w:abstractNumId w:val="5"/>
  </w:num>
  <w:num w:numId="19">
    <w:abstractNumId w:val="13"/>
  </w:num>
  <w:num w:numId="20">
    <w:abstractNumId w:val="28"/>
  </w:num>
  <w:num w:numId="21">
    <w:abstractNumId w:val="27"/>
  </w:num>
  <w:num w:numId="22">
    <w:abstractNumId w:val="15"/>
  </w:num>
  <w:num w:numId="23">
    <w:abstractNumId w:val="16"/>
  </w:num>
  <w:num w:numId="24">
    <w:abstractNumId w:val="18"/>
  </w:num>
  <w:num w:numId="25">
    <w:abstractNumId w:val="2"/>
  </w:num>
  <w:num w:numId="26">
    <w:abstractNumId w:val="6"/>
  </w:num>
  <w:num w:numId="27">
    <w:abstractNumId w:val="26"/>
  </w:num>
  <w:num w:numId="28">
    <w:abstractNumId w:val="30"/>
  </w:num>
  <w:num w:numId="29">
    <w:abstractNumId w:val="23"/>
  </w:num>
  <w:num w:numId="30">
    <w:abstractNumId w:val="36"/>
  </w:num>
  <w:num w:numId="31">
    <w:abstractNumId w:val="14"/>
  </w:num>
  <w:num w:numId="32">
    <w:abstractNumId w:val="10"/>
  </w:num>
  <w:num w:numId="33">
    <w:abstractNumId w:val="12"/>
  </w:num>
  <w:num w:numId="34">
    <w:abstractNumId w:val="9"/>
  </w:num>
  <w:num w:numId="35">
    <w:abstractNumId w:val="37"/>
  </w:num>
  <w:num w:numId="36">
    <w:abstractNumId w:val="31"/>
  </w:num>
  <w:num w:numId="37">
    <w:abstractNumId w:val="22"/>
  </w:num>
  <w:num w:numId="38">
    <w:abstractNumId w:val="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944"/>
    <w:rsid w:val="00002C7D"/>
    <w:rsid w:val="000030D5"/>
    <w:rsid w:val="000051AE"/>
    <w:rsid w:val="0001406B"/>
    <w:rsid w:val="00016F88"/>
    <w:rsid w:val="00023F70"/>
    <w:rsid w:val="00023F98"/>
    <w:rsid w:val="0002563A"/>
    <w:rsid w:val="00031FEF"/>
    <w:rsid w:val="00032CC6"/>
    <w:rsid w:val="000345EE"/>
    <w:rsid w:val="00037ED1"/>
    <w:rsid w:val="00040D3D"/>
    <w:rsid w:val="0004416F"/>
    <w:rsid w:val="000455A9"/>
    <w:rsid w:val="00045EF7"/>
    <w:rsid w:val="000473D6"/>
    <w:rsid w:val="0005207F"/>
    <w:rsid w:val="00055830"/>
    <w:rsid w:val="00057B92"/>
    <w:rsid w:val="000608F3"/>
    <w:rsid w:val="0006206E"/>
    <w:rsid w:val="000628E1"/>
    <w:rsid w:val="00062F44"/>
    <w:rsid w:val="00063114"/>
    <w:rsid w:val="0006585D"/>
    <w:rsid w:val="00073826"/>
    <w:rsid w:val="00074A34"/>
    <w:rsid w:val="0008017F"/>
    <w:rsid w:val="000831F2"/>
    <w:rsid w:val="0008455D"/>
    <w:rsid w:val="000907DA"/>
    <w:rsid w:val="00090BBB"/>
    <w:rsid w:val="00091B51"/>
    <w:rsid w:val="00092CC0"/>
    <w:rsid w:val="00092F4D"/>
    <w:rsid w:val="00094035"/>
    <w:rsid w:val="00094709"/>
    <w:rsid w:val="00095BBB"/>
    <w:rsid w:val="00096093"/>
    <w:rsid w:val="0009742C"/>
    <w:rsid w:val="000A1050"/>
    <w:rsid w:val="000A2667"/>
    <w:rsid w:val="000A2DB2"/>
    <w:rsid w:val="000A5E52"/>
    <w:rsid w:val="000A5ED1"/>
    <w:rsid w:val="000A5F48"/>
    <w:rsid w:val="000B02E3"/>
    <w:rsid w:val="000B796F"/>
    <w:rsid w:val="000C3797"/>
    <w:rsid w:val="000C3A92"/>
    <w:rsid w:val="000C3DB4"/>
    <w:rsid w:val="000C436F"/>
    <w:rsid w:val="000D0E0C"/>
    <w:rsid w:val="000D3FE1"/>
    <w:rsid w:val="000E306F"/>
    <w:rsid w:val="000E4523"/>
    <w:rsid w:val="000E77F0"/>
    <w:rsid w:val="000F1822"/>
    <w:rsid w:val="000F1C33"/>
    <w:rsid w:val="000F1C76"/>
    <w:rsid w:val="000F47F4"/>
    <w:rsid w:val="000F6ACC"/>
    <w:rsid w:val="00100623"/>
    <w:rsid w:val="00101808"/>
    <w:rsid w:val="00103FB3"/>
    <w:rsid w:val="001112B2"/>
    <w:rsid w:val="00112313"/>
    <w:rsid w:val="001157B7"/>
    <w:rsid w:val="00116E8C"/>
    <w:rsid w:val="001223CD"/>
    <w:rsid w:val="00124B0E"/>
    <w:rsid w:val="00126BA1"/>
    <w:rsid w:val="001274AB"/>
    <w:rsid w:val="00127C59"/>
    <w:rsid w:val="001323B8"/>
    <w:rsid w:val="001328E9"/>
    <w:rsid w:val="0013421E"/>
    <w:rsid w:val="00134BAB"/>
    <w:rsid w:val="00137222"/>
    <w:rsid w:val="001408FA"/>
    <w:rsid w:val="0014237A"/>
    <w:rsid w:val="00144D8D"/>
    <w:rsid w:val="0014638B"/>
    <w:rsid w:val="0015014E"/>
    <w:rsid w:val="00152E10"/>
    <w:rsid w:val="00153CF2"/>
    <w:rsid w:val="00155C0B"/>
    <w:rsid w:val="00155EF2"/>
    <w:rsid w:val="0016270E"/>
    <w:rsid w:val="0016323B"/>
    <w:rsid w:val="001659C1"/>
    <w:rsid w:val="0016607E"/>
    <w:rsid w:val="0017421A"/>
    <w:rsid w:val="0017432C"/>
    <w:rsid w:val="00174FD1"/>
    <w:rsid w:val="001767EB"/>
    <w:rsid w:val="001774F3"/>
    <w:rsid w:val="0018026A"/>
    <w:rsid w:val="0018120C"/>
    <w:rsid w:val="001812F9"/>
    <w:rsid w:val="00181E00"/>
    <w:rsid w:val="00190411"/>
    <w:rsid w:val="00192BA6"/>
    <w:rsid w:val="00193AC3"/>
    <w:rsid w:val="00195D8F"/>
    <w:rsid w:val="001971E0"/>
    <w:rsid w:val="001978F6"/>
    <w:rsid w:val="001A0542"/>
    <w:rsid w:val="001A22BA"/>
    <w:rsid w:val="001A2785"/>
    <w:rsid w:val="001C054E"/>
    <w:rsid w:val="001C2AB6"/>
    <w:rsid w:val="001C514E"/>
    <w:rsid w:val="001C67B2"/>
    <w:rsid w:val="001C6953"/>
    <w:rsid w:val="001C6A90"/>
    <w:rsid w:val="001E714E"/>
    <w:rsid w:val="001E775A"/>
    <w:rsid w:val="001F4791"/>
    <w:rsid w:val="001F4D6B"/>
    <w:rsid w:val="001F6BBC"/>
    <w:rsid w:val="001F7108"/>
    <w:rsid w:val="00200065"/>
    <w:rsid w:val="002061BC"/>
    <w:rsid w:val="00206962"/>
    <w:rsid w:val="00207244"/>
    <w:rsid w:val="002074D5"/>
    <w:rsid w:val="00207931"/>
    <w:rsid w:val="00212BE5"/>
    <w:rsid w:val="002151E7"/>
    <w:rsid w:val="002153BB"/>
    <w:rsid w:val="0022136C"/>
    <w:rsid w:val="0022248C"/>
    <w:rsid w:val="00223F2C"/>
    <w:rsid w:val="002259D8"/>
    <w:rsid w:val="002266B0"/>
    <w:rsid w:val="00231288"/>
    <w:rsid w:val="002313C4"/>
    <w:rsid w:val="00233F9E"/>
    <w:rsid w:val="00234DE1"/>
    <w:rsid w:val="00235700"/>
    <w:rsid w:val="002363CE"/>
    <w:rsid w:val="00240100"/>
    <w:rsid w:val="00242E62"/>
    <w:rsid w:val="00243EAA"/>
    <w:rsid w:val="00246F86"/>
    <w:rsid w:val="00254E75"/>
    <w:rsid w:val="00263D6F"/>
    <w:rsid w:val="00272D96"/>
    <w:rsid w:val="002731F8"/>
    <w:rsid w:val="002735DE"/>
    <w:rsid w:val="00274F31"/>
    <w:rsid w:val="00275BD2"/>
    <w:rsid w:val="002806D4"/>
    <w:rsid w:val="00285D4B"/>
    <w:rsid w:val="00287F5C"/>
    <w:rsid w:val="0029235E"/>
    <w:rsid w:val="0029257C"/>
    <w:rsid w:val="00293282"/>
    <w:rsid w:val="00297A6B"/>
    <w:rsid w:val="002A286D"/>
    <w:rsid w:val="002A37AD"/>
    <w:rsid w:val="002A6ED2"/>
    <w:rsid w:val="002A784E"/>
    <w:rsid w:val="002A7DA5"/>
    <w:rsid w:val="002B4026"/>
    <w:rsid w:val="002B4274"/>
    <w:rsid w:val="002B657E"/>
    <w:rsid w:val="002C02F4"/>
    <w:rsid w:val="002C3690"/>
    <w:rsid w:val="002C5C27"/>
    <w:rsid w:val="002C703C"/>
    <w:rsid w:val="002D09AD"/>
    <w:rsid w:val="002D385D"/>
    <w:rsid w:val="002D5885"/>
    <w:rsid w:val="002D61AA"/>
    <w:rsid w:val="002D6BFA"/>
    <w:rsid w:val="002D7E1A"/>
    <w:rsid w:val="002D7FAC"/>
    <w:rsid w:val="002E103E"/>
    <w:rsid w:val="002E6042"/>
    <w:rsid w:val="002E6214"/>
    <w:rsid w:val="002E6C60"/>
    <w:rsid w:val="002E796A"/>
    <w:rsid w:val="002F007C"/>
    <w:rsid w:val="002F07D9"/>
    <w:rsid w:val="002F1342"/>
    <w:rsid w:val="002F2444"/>
    <w:rsid w:val="002F3509"/>
    <w:rsid w:val="002F6E3A"/>
    <w:rsid w:val="002F7169"/>
    <w:rsid w:val="003024AD"/>
    <w:rsid w:val="00302734"/>
    <w:rsid w:val="00302F6A"/>
    <w:rsid w:val="0030691C"/>
    <w:rsid w:val="00314BF2"/>
    <w:rsid w:val="00314E37"/>
    <w:rsid w:val="00316697"/>
    <w:rsid w:val="00321AF8"/>
    <w:rsid w:val="00324092"/>
    <w:rsid w:val="00327477"/>
    <w:rsid w:val="003306CA"/>
    <w:rsid w:val="00330ABA"/>
    <w:rsid w:val="00330D20"/>
    <w:rsid w:val="00332284"/>
    <w:rsid w:val="003323A7"/>
    <w:rsid w:val="00333EC7"/>
    <w:rsid w:val="00334CB1"/>
    <w:rsid w:val="00340090"/>
    <w:rsid w:val="003436B0"/>
    <w:rsid w:val="00352178"/>
    <w:rsid w:val="0035613A"/>
    <w:rsid w:val="003566AB"/>
    <w:rsid w:val="00356AF8"/>
    <w:rsid w:val="0036083A"/>
    <w:rsid w:val="003608D7"/>
    <w:rsid w:val="00360AC9"/>
    <w:rsid w:val="00363F39"/>
    <w:rsid w:val="00364235"/>
    <w:rsid w:val="00367522"/>
    <w:rsid w:val="00371085"/>
    <w:rsid w:val="00376313"/>
    <w:rsid w:val="003768A0"/>
    <w:rsid w:val="00377CFC"/>
    <w:rsid w:val="00380D23"/>
    <w:rsid w:val="003816D8"/>
    <w:rsid w:val="00381FD1"/>
    <w:rsid w:val="003831D1"/>
    <w:rsid w:val="0038373C"/>
    <w:rsid w:val="003838C6"/>
    <w:rsid w:val="00384008"/>
    <w:rsid w:val="00385508"/>
    <w:rsid w:val="00385998"/>
    <w:rsid w:val="00387FA0"/>
    <w:rsid w:val="00390632"/>
    <w:rsid w:val="00390EC6"/>
    <w:rsid w:val="00392290"/>
    <w:rsid w:val="00392860"/>
    <w:rsid w:val="00393642"/>
    <w:rsid w:val="0039587A"/>
    <w:rsid w:val="003A21D3"/>
    <w:rsid w:val="003A4815"/>
    <w:rsid w:val="003A6ED0"/>
    <w:rsid w:val="003B32CC"/>
    <w:rsid w:val="003B347D"/>
    <w:rsid w:val="003B4778"/>
    <w:rsid w:val="003B65C5"/>
    <w:rsid w:val="003B7023"/>
    <w:rsid w:val="003C21F5"/>
    <w:rsid w:val="003C7CDE"/>
    <w:rsid w:val="003E1E3A"/>
    <w:rsid w:val="003E35ED"/>
    <w:rsid w:val="003E4817"/>
    <w:rsid w:val="003E5002"/>
    <w:rsid w:val="003E5B53"/>
    <w:rsid w:val="003F45B6"/>
    <w:rsid w:val="003F56C8"/>
    <w:rsid w:val="003F5B63"/>
    <w:rsid w:val="003F5FF5"/>
    <w:rsid w:val="003F6622"/>
    <w:rsid w:val="00401465"/>
    <w:rsid w:val="004022E2"/>
    <w:rsid w:val="00405C2B"/>
    <w:rsid w:val="00407E89"/>
    <w:rsid w:val="004113FA"/>
    <w:rsid w:val="00411A26"/>
    <w:rsid w:val="004156F6"/>
    <w:rsid w:val="00416DFE"/>
    <w:rsid w:val="00417100"/>
    <w:rsid w:val="00417BBC"/>
    <w:rsid w:val="00417C17"/>
    <w:rsid w:val="004218F6"/>
    <w:rsid w:val="00423588"/>
    <w:rsid w:val="004235A5"/>
    <w:rsid w:val="00423EB2"/>
    <w:rsid w:val="00424D30"/>
    <w:rsid w:val="00425A68"/>
    <w:rsid w:val="00430636"/>
    <w:rsid w:val="0043156B"/>
    <w:rsid w:val="00432C49"/>
    <w:rsid w:val="00432D77"/>
    <w:rsid w:val="00433044"/>
    <w:rsid w:val="00433D41"/>
    <w:rsid w:val="00436561"/>
    <w:rsid w:val="00437A7E"/>
    <w:rsid w:val="00443063"/>
    <w:rsid w:val="00443D6E"/>
    <w:rsid w:val="00445209"/>
    <w:rsid w:val="00451B1F"/>
    <w:rsid w:val="004554C1"/>
    <w:rsid w:val="0045679A"/>
    <w:rsid w:val="00457358"/>
    <w:rsid w:val="0045745C"/>
    <w:rsid w:val="00457772"/>
    <w:rsid w:val="0046320E"/>
    <w:rsid w:val="0046412A"/>
    <w:rsid w:val="00464D7D"/>
    <w:rsid w:val="00465001"/>
    <w:rsid w:val="00465539"/>
    <w:rsid w:val="00467410"/>
    <w:rsid w:val="00467970"/>
    <w:rsid w:val="00470E16"/>
    <w:rsid w:val="00470E47"/>
    <w:rsid w:val="004723EE"/>
    <w:rsid w:val="00472508"/>
    <w:rsid w:val="004733B4"/>
    <w:rsid w:val="00473EF3"/>
    <w:rsid w:val="004776E7"/>
    <w:rsid w:val="0047789E"/>
    <w:rsid w:val="004825A6"/>
    <w:rsid w:val="00485E36"/>
    <w:rsid w:val="00486845"/>
    <w:rsid w:val="004870FB"/>
    <w:rsid w:val="00490C21"/>
    <w:rsid w:val="00491D5B"/>
    <w:rsid w:val="00492131"/>
    <w:rsid w:val="00494B96"/>
    <w:rsid w:val="004A4E61"/>
    <w:rsid w:val="004A6E4E"/>
    <w:rsid w:val="004A7583"/>
    <w:rsid w:val="004B08FC"/>
    <w:rsid w:val="004B37A3"/>
    <w:rsid w:val="004B3901"/>
    <w:rsid w:val="004B3F30"/>
    <w:rsid w:val="004B6EB0"/>
    <w:rsid w:val="004C44EB"/>
    <w:rsid w:val="004C699A"/>
    <w:rsid w:val="004D16B1"/>
    <w:rsid w:val="004D6E91"/>
    <w:rsid w:val="004E0363"/>
    <w:rsid w:val="004E35F2"/>
    <w:rsid w:val="004E3E4E"/>
    <w:rsid w:val="004E4DDF"/>
    <w:rsid w:val="004E6DD6"/>
    <w:rsid w:val="004F6632"/>
    <w:rsid w:val="00504CC7"/>
    <w:rsid w:val="0050598E"/>
    <w:rsid w:val="00514DED"/>
    <w:rsid w:val="00515EBE"/>
    <w:rsid w:val="00520FE2"/>
    <w:rsid w:val="00521E4D"/>
    <w:rsid w:val="00526634"/>
    <w:rsid w:val="00531B8F"/>
    <w:rsid w:val="00535B55"/>
    <w:rsid w:val="00536F34"/>
    <w:rsid w:val="005374A2"/>
    <w:rsid w:val="00537E9B"/>
    <w:rsid w:val="00541E2B"/>
    <w:rsid w:val="0054465F"/>
    <w:rsid w:val="00544959"/>
    <w:rsid w:val="0054598C"/>
    <w:rsid w:val="00547028"/>
    <w:rsid w:val="005516B6"/>
    <w:rsid w:val="00551B85"/>
    <w:rsid w:val="00553EC0"/>
    <w:rsid w:val="00554491"/>
    <w:rsid w:val="00554BB1"/>
    <w:rsid w:val="00556CC6"/>
    <w:rsid w:val="005573F0"/>
    <w:rsid w:val="00563CF9"/>
    <w:rsid w:val="00572A5E"/>
    <w:rsid w:val="00572BDC"/>
    <w:rsid w:val="005763E7"/>
    <w:rsid w:val="00576B60"/>
    <w:rsid w:val="00580AF8"/>
    <w:rsid w:val="00581A90"/>
    <w:rsid w:val="00585278"/>
    <w:rsid w:val="00590628"/>
    <w:rsid w:val="00595DBB"/>
    <w:rsid w:val="005972D4"/>
    <w:rsid w:val="005A0B20"/>
    <w:rsid w:val="005A18C9"/>
    <w:rsid w:val="005A19D3"/>
    <w:rsid w:val="005A2230"/>
    <w:rsid w:val="005A525B"/>
    <w:rsid w:val="005B1A01"/>
    <w:rsid w:val="005B55F9"/>
    <w:rsid w:val="005B6793"/>
    <w:rsid w:val="005C0896"/>
    <w:rsid w:val="005C1C06"/>
    <w:rsid w:val="005C3591"/>
    <w:rsid w:val="005C54EF"/>
    <w:rsid w:val="005D39E3"/>
    <w:rsid w:val="005D433C"/>
    <w:rsid w:val="005D53E7"/>
    <w:rsid w:val="005D54D5"/>
    <w:rsid w:val="005E27D3"/>
    <w:rsid w:val="005E2FFE"/>
    <w:rsid w:val="005E4698"/>
    <w:rsid w:val="005E54FC"/>
    <w:rsid w:val="005E5804"/>
    <w:rsid w:val="005E69FA"/>
    <w:rsid w:val="005F01C3"/>
    <w:rsid w:val="005F06F7"/>
    <w:rsid w:val="005F1D4B"/>
    <w:rsid w:val="005F486F"/>
    <w:rsid w:val="005F6768"/>
    <w:rsid w:val="005F7304"/>
    <w:rsid w:val="005F7905"/>
    <w:rsid w:val="00602AD0"/>
    <w:rsid w:val="00604455"/>
    <w:rsid w:val="00604600"/>
    <w:rsid w:val="006115BC"/>
    <w:rsid w:val="00611D17"/>
    <w:rsid w:val="00613FC1"/>
    <w:rsid w:val="00621C0D"/>
    <w:rsid w:val="0062252A"/>
    <w:rsid w:val="0062474F"/>
    <w:rsid w:val="006275BE"/>
    <w:rsid w:val="00627D34"/>
    <w:rsid w:val="00632102"/>
    <w:rsid w:val="00632B91"/>
    <w:rsid w:val="0063338B"/>
    <w:rsid w:val="00636282"/>
    <w:rsid w:val="0063633A"/>
    <w:rsid w:val="00637D6B"/>
    <w:rsid w:val="006400B1"/>
    <w:rsid w:val="0064114A"/>
    <w:rsid w:val="0064188B"/>
    <w:rsid w:val="006436C2"/>
    <w:rsid w:val="00651D4C"/>
    <w:rsid w:val="00653393"/>
    <w:rsid w:val="00660005"/>
    <w:rsid w:val="00662A7F"/>
    <w:rsid w:val="00664085"/>
    <w:rsid w:val="0066523C"/>
    <w:rsid w:val="00665436"/>
    <w:rsid w:val="0067329B"/>
    <w:rsid w:val="00675914"/>
    <w:rsid w:val="0068103A"/>
    <w:rsid w:val="00685580"/>
    <w:rsid w:val="006875AF"/>
    <w:rsid w:val="0068767D"/>
    <w:rsid w:val="00695FFA"/>
    <w:rsid w:val="006971AC"/>
    <w:rsid w:val="006A2431"/>
    <w:rsid w:val="006A37FD"/>
    <w:rsid w:val="006A5E81"/>
    <w:rsid w:val="006A62D3"/>
    <w:rsid w:val="006B0C2E"/>
    <w:rsid w:val="006B52DA"/>
    <w:rsid w:val="006B5447"/>
    <w:rsid w:val="006C152C"/>
    <w:rsid w:val="006C16D4"/>
    <w:rsid w:val="006C36B9"/>
    <w:rsid w:val="006C3A47"/>
    <w:rsid w:val="006C4EE5"/>
    <w:rsid w:val="006C5887"/>
    <w:rsid w:val="006C5F23"/>
    <w:rsid w:val="006C7281"/>
    <w:rsid w:val="006C79CB"/>
    <w:rsid w:val="006D3CF5"/>
    <w:rsid w:val="006D78CB"/>
    <w:rsid w:val="006D7A2D"/>
    <w:rsid w:val="006D7BD9"/>
    <w:rsid w:val="006E0A74"/>
    <w:rsid w:val="006E1408"/>
    <w:rsid w:val="006E24B8"/>
    <w:rsid w:val="006E3289"/>
    <w:rsid w:val="006F1BAC"/>
    <w:rsid w:val="006F1EA6"/>
    <w:rsid w:val="006F27F8"/>
    <w:rsid w:val="006F491B"/>
    <w:rsid w:val="006F4ADD"/>
    <w:rsid w:val="006F5233"/>
    <w:rsid w:val="006F583C"/>
    <w:rsid w:val="006F5FDE"/>
    <w:rsid w:val="007007D5"/>
    <w:rsid w:val="00700BA6"/>
    <w:rsid w:val="00703F3D"/>
    <w:rsid w:val="00704714"/>
    <w:rsid w:val="00714100"/>
    <w:rsid w:val="00716EFB"/>
    <w:rsid w:val="00717425"/>
    <w:rsid w:val="007220D0"/>
    <w:rsid w:val="00724EF6"/>
    <w:rsid w:val="00726111"/>
    <w:rsid w:val="00730C16"/>
    <w:rsid w:val="00730F7B"/>
    <w:rsid w:val="0073103E"/>
    <w:rsid w:val="00731B1A"/>
    <w:rsid w:val="00737431"/>
    <w:rsid w:val="00737A77"/>
    <w:rsid w:val="0074264E"/>
    <w:rsid w:val="0074421D"/>
    <w:rsid w:val="0075204F"/>
    <w:rsid w:val="00755BCA"/>
    <w:rsid w:val="00756FC6"/>
    <w:rsid w:val="007574F8"/>
    <w:rsid w:val="00762A0E"/>
    <w:rsid w:val="0076402C"/>
    <w:rsid w:val="00764B8C"/>
    <w:rsid w:val="00767E5D"/>
    <w:rsid w:val="00771EF5"/>
    <w:rsid w:val="00772E70"/>
    <w:rsid w:val="00774E38"/>
    <w:rsid w:val="00780026"/>
    <w:rsid w:val="00780DC3"/>
    <w:rsid w:val="00780EC9"/>
    <w:rsid w:val="00781DCE"/>
    <w:rsid w:val="0078624C"/>
    <w:rsid w:val="00786B45"/>
    <w:rsid w:val="0079308E"/>
    <w:rsid w:val="00796927"/>
    <w:rsid w:val="00797D42"/>
    <w:rsid w:val="007A02AA"/>
    <w:rsid w:val="007A4924"/>
    <w:rsid w:val="007A6223"/>
    <w:rsid w:val="007A7420"/>
    <w:rsid w:val="007A77A8"/>
    <w:rsid w:val="007B2C6A"/>
    <w:rsid w:val="007B4283"/>
    <w:rsid w:val="007B6D77"/>
    <w:rsid w:val="007B6F47"/>
    <w:rsid w:val="007B7AB4"/>
    <w:rsid w:val="007C0134"/>
    <w:rsid w:val="007C03A5"/>
    <w:rsid w:val="007C1E9E"/>
    <w:rsid w:val="007C3941"/>
    <w:rsid w:val="007C49EF"/>
    <w:rsid w:val="007C65DE"/>
    <w:rsid w:val="007C734D"/>
    <w:rsid w:val="007C7EEB"/>
    <w:rsid w:val="007D3194"/>
    <w:rsid w:val="007E1E29"/>
    <w:rsid w:val="007E2392"/>
    <w:rsid w:val="007E3A44"/>
    <w:rsid w:val="007E64C0"/>
    <w:rsid w:val="007F02DC"/>
    <w:rsid w:val="007F29AA"/>
    <w:rsid w:val="007F345B"/>
    <w:rsid w:val="007F34C0"/>
    <w:rsid w:val="007F4529"/>
    <w:rsid w:val="007F72A1"/>
    <w:rsid w:val="00800B49"/>
    <w:rsid w:val="00801397"/>
    <w:rsid w:val="00805997"/>
    <w:rsid w:val="00806315"/>
    <w:rsid w:val="008104CB"/>
    <w:rsid w:val="00811944"/>
    <w:rsid w:val="00811BE2"/>
    <w:rsid w:val="008123BC"/>
    <w:rsid w:val="00814F65"/>
    <w:rsid w:val="0081595E"/>
    <w:rsid w:val="00816275"/>
    <w:rsid w:val="008175BD"/>
    <w:rsid w:val="00820FED"/>
    <w:rsid w:val="00821740"/>
    <w:rsid w:val="008245D3"/>
    <w:rsid w:val="0082603C"/>
    <w:rsid w:val="00826242"/>
    <w:rsid w:val="0082763C"/>
    <w:rsid w:val="00827B8E"/>
    <w:rsid w:val="008318C6"/>
    <w:rsid w:val="00831B91"/>
    <w:rsid w:val="008328D8"/>
    <w:rsid w:val="0083341E"/>
    <w:rsid w:val="00834067"/>
    <w:rsid w:val="00834323"/>
    <w:rsid w:val="00836D95"/>
    <w:rsid w:val="008420B7"/>
    <w:rsid w:val="00842503"/>
    <w:rsid w:val="00842993"/>
    <w:rsid w:val="00845476"/>
    <w:rsid w:val="008517B9"/>
    <w:rsid w:val="00851C66"/>
    <w:rsid w:val="00854BED"/>
    <w:rsid w:val="00860E9D"/>
    <w:rsid w:val="00863F38"/>
    <w:rsid w:val="0086687A"/>
    <w:rsid w:val="00867C01"/>
    <w:rsid w:val="008715AE"/>
    <w:rsid w:val="008754AF"/>
    <w:rsid w:val="00875F19"/>
    <w:rsid w:val="00884660"/>
    <w:rsid w:val="00885D26"/>
    <w:rsid w:val="008877DB"/>
    <w:rsid w:val="00890CB6"/>
    <w:rsid w:val="00891B88"/>
    <w:rsid w:val="00893857"/>
    <w:rsid w:val="00894BF9"/>
    <w:rsid w:val="008956D0"/>
    <w:rsid w:val="0089699A"/>
    <w:rsid w:val="008A0026"/>
    <w:rsid w:val="008A21E9"/>
    <w:rsid w:val="008A298A"/>
    <w:rsid w:val="008B1637"/>
    <w:rsid w:val="008B310B"/>
    <w:rsid w:val="008B38B1"/>
    <w:rsid w:val="008B545C"/>
    <w:rsid w:val="008B7205"/>
    <w:rsid w:val="008B77C8"/>
    <w:rsid w:val="008C0185"/>
    <w:rsid w:val="008C1E11"/>
    <w:rsid w:val="008C2B9D"/>
    <w:rsid w:val="008C4CC6"/>
    <w:rsid w:val="008C6559"/>
    <w:rsid w:val="008C7864"/>
    <w:rsid w:val="008C7A19"/>
    <w:rsid w:val="008D107C"/>
    <w:rsid w:val="008D2888"/>
    <w:rsid w:val="008D744A"/>
    <w:rsid w:val="008E12B2"/>
    <w:rsid w:val="008E5204"/>
    <w:rsid w:val="008E7195"/>
    <w:rsid w:val="008E79BD"/>
    <w:rsid w:val="008F065C"/>
    <w:rsid w:val="008F0E00"/>
    <w:rsid w:val="008F4125"/>
    <w:rsid w:val="008F4479"/>
    <w:rsid w:val="008F686F"/>
    <w:rsid w:val="009028F6"/>
    <w:rsid w:val="00902F73"/>
    <w:rsid w:val="00903600"/>
    <w:rsid w:val="009058F1"/>
    <w:rsid w:val="00906577"/>
    <w:rsid w:val="00907719"/>
    <w:rsid w:val="00910400"/>
    <w:rsid w:val="00910A8C"/>
    <w:rsid w:val="00913645"/>
    <w:rsid w:val="00913DA2"/>
    <w:rsid w:val="00917E0B"/>
    <w:rsid w:val="00920689"/>
    <w:rsid w:val="009252B0"/>
    <w:rsid w:val="00927782"/>
    <w:rsid w:val="0093153F"/>
    <w:rsid w:val="00932031"/>
    <w:rsid w:val="00935596"/>
    <w:rsid w:val="00935678"/>
    <w:rsid w:val="0094124D"/>
    <w:rsid w:val="00941BB7"/>
    <w:rsid w:val="009441EA"/>
    <w:rsid w:val="00950FA8"/>
    <w:rsid w:val="0095210B"/>
    <w:rsid w:val="00954B76"/>
    <w:rsid w:val="00954BF5"/>
    <w:rsid w:val="00954D18"/>
    <w:rsid w:val="00955679"/>
    <w:rsid w:val="00963A4A"/>
    <w:rsid w:val="009644A1"/>
    <w:rsid w:val="00966CF2"/>
    <w:rsid w:val="009678D0"/>
    <w:rsid w:val="009707DF"/>
    <w:rsid w:val="00971B82"/>
    <w:rsid w:val="00974F51"/>
    <w:rsid w:val="009756B7"/>
    <w:rsid w:val="00977377"/>
    <w:rsid w:val="00977651"/>
    <w:rsid w:val="00980662"/>
    <w:rsid w:val="009811C8"/>
    <w:rsid w:val="00983AED"/>
    <w:rsid w:val="00983FEB"/>
    <w:rsid w:val="00986328"/>
    <w:rsid w:val="0098787F"/>
    <w:rsid w:val="0099622A"/>
    <w:rsid w:val="009972D3"/>
    <w:rsid w:val="009A140B"/>
    <w:rsid w:val="009A182D"/>
    <w:rsid w:val="009A2A01"/>
    <w:rsid w:val="009A2C03"/>
    <w:rsid w:val="009A4055"/>
    <w:rsid w:val="009A658A"/>
    <w:rsid w:val="009B0AB9"/>
    <w:rsid w:val="009B288E"/>
    <w:rsid w:val="009B2D0F"/>
    <w:rsid w:val="009B3029"/>
    <w:rsid w:val="009B3032"/>
    <w:rsid w:val="009B6609"/>
    <w:rsid w:val="009B6A2A"/>
    <w:rsid w:val="009B7724"/>
    <w:rsid w:val="009C0D3F"/>
    <w:rsid w:val="009C2C22"/>
    <w:rsid w:val="009C2E07"/>
    <w:rsid w:val="009C4ABC"/>
    <w:rsid w:val="009C759D"/>
    <w:rsid w:val="009D367E"/>
    <w:rsid w:val="009D44FB"/>
    <w:rsid w:val="009D4E47"/>
    <w:rsid w:val="009D575F"/>
    <w:rsid w:val="009D70BD"/>
    <w:rsid w:val="009D7832"/>
    <w:rsid w:val="009E08C1"/>
    <w:rsid w:val="009E1609"/>
    <w:rsid w:val="009E387D"/>
    <w:rsid w:val="009E4C7E"/>
    <w:rsid w:val="009E7749"/>
    <w:rsid w:val="009F1610"/>
    <w:rsid w:val="009F2EBE"/>
    <w:rsid w:val="009F38F5"/>
    <w:rsid w:val="009F7148"/>
    <w:rsid w:val="009F7639"/>
    <w:rsid w:val="00A01C09"/>
    <w:rsid w:val="00A01DA7"/>
    <w:rsid w:val="00A0275C"/>
    <w:rsid w:val="00A06ED2"/>
    <w:rsid w:val="00A07EC1"/>
    <w:rsid w:val="00A11A42"/>
    <w:rsid w:val="00A14116"/>
    <w:rsid w:val="00A1591E"/>
    <w:rsid w:val="00A15CB9"/>
    <w:rsid w:val="00A16CCE"/>
    <w:rsid w:val="00A2027D"/>
    <w:rsid w:val="00A2062E"/>
    <w:rsid w:val="00A221D6"/>
    <w:rsid w:val="00A23292"/>
    <w:rsid w:val="00A24441"/>
    <w:rsid w:val="00A24A9E"/>
    <w:rsid w:val="00A25728"/>
    <w:rsid w:val="00A26C4A"/>
    <w:rsid w:val="00A27A6C"/>
    <w:rsid w:val="00A42111"/>
    <w:rsid w:val="00A433FE"/>
    <w:rsid w:val="00A46738"/>
    <w:rsid w:val="00A51C27"/>
    <w:rsid w:val="00A56A38"/>
    <w:rsid w:val="00A617BD"/>
    <w:rsid w:val="00A63645"/>
    <w:rsid w:val="00A63F24"/>
    <w:rsid w:val="00A644B9"/>
    <w:rsid w:val="00A704D5"/>
    <w:rsid w:val="00A70889"/>
    <w:rsid w:val="00A71AE8"/>
    <w:rsid w:val="00A72933"/>
    <w:rsid w:val="00A7406D"/>
    <w:rsid w:val="00A74ECA"/>
    <w:rsid w:val="00A75C6C"/>
    <w:rsid w:val="00A774CF"/>
    <w:rsid w:val="00A803CD"/>
    <w:rsid w:val="00A80CC9"/>
    <w:rsid w:val="00A82F6F"/>
    <w:rsid w:val="00A83608"/>
    <w:rsid w:val="00A85D71"/>
    <w:rsid w:val="00A931D5"/>
    <w:rsid w:val="00A95DAA"/>
    <w:rsid w:val="00A964CB"/>
    <w:rsid w:val="00A96B70"/>
    <w:rsid w:val="00AA2CF2"/>
    <w:rsid w:val="00AA3AA2"/>
    <w:rsid w:val="00AA3E71"/>
    <w:rsid w:val="00AA435A"/>
    <w:rsid w:val="00AA61BE"/>
    <w:rsid w:val="00AA6B76"/>
    <w:rsid w:val="00AB0646"/>
    <w:rsid w:val="00AB1DFA"/>
    <w:rsid w:val="00AB3AAD"/>
    <w:rsid w:val="00AB3E4D"/>
    <w:rsid w:val="00AB4829"/>
    <w:rsid w:val="00AD12B4"/>
    <w:rsid w:val="00AD1777"/>
    <w:rsid w:val="00AD182C"/>
    <w:rsid w:val="00AD2EC4"/>
    <w:rsid w:val="00AD2EE9"/>
    <w:rsid w:val="00AD347B"/>
    <w:rsid w:val="00AD512D"/>
    <w:rsid w:val="00AE0B77"/>
    <w:rsid w:val="00AE7079"/>
    <w:rsid w:val="00AF6AF5"/>
    <w:rsid w:val="00AF6FDF"/>
    <w:rsid w:val="00B00CDD"/>
    <w:rsid w:val="00B0126F"/>
    <w:rsid w:val="00B027DA"/>
    <w:rsid w:val="00B04EEE"/>
    <w:rsid w:val="00B10E06"/>
    <w:rsid w:val="00B11407"/>
    <w:rsid w:val="00B12480"/>
    <w:rsid w:val="00B1360E"/>
    <w:rsid w:val="00B16829"/>
    <w:rsid w:val="00B16A01"/>
    <w:rsid w:val="00B17106"/>
    <w:rsid w:val="00B17CC1"/>
    <w:rsid w:val="00B223C4"/>
    <w:rsid w:val="00B26C66"/>
    <w:rsid w:val="00B271CD"/>
    <w:rsid w:val="00B27E41"/>
    <w:rsid w:val="00B31231"/>
    <w:rsid w:val="00B422F7"/>
    <w:rsid w:val="00B42B14"/>
    <w:rsid w:val="00B42F94"/>
    <w:rsid w:val="00B43DD4"/>
    <w:rsid w:val="00B45D47"/>
    <w:rsid w:val="00B45F79"/>
    <w:rsid w:val="00B50556"/>
    <w:rsid w:val="00B50D17"/>
    <w:rsid w:val="00B53D62"/>
    <w:rsid w:val="00B544E1"/>
    <w:rsid w:val="00B60DB2"/>
    <w:rsid w:val="00B61DED"/>
    <w:rsid w:val="00B633F1"/>
    <w:rsid w:val="00B649CA"/>
    <w:rsid w:val="00B66CC4"/>
    <w:rsid w:val="00B72944"/>
    <w:rsid w:val="00B751DD"/>
    <w:rsid w:val="00B755F2"/>
    <w:rsid w:val="00B75620"/>
    <w:rsid w:val="00B7686C"/>
    <w:rsid w:val="00B76F98"/>
    <w:rsid w:val="00B8037B"/>
    <w:rsid w:val="00B84359"/>
    <w:rsid w:val="00B85077"/>
    <w:rsid w:val="00B87600"/>
    <w:rsid w:val="00B926BA"/>
    <w:rsid w:val="00B93835"/>
    <w:rsid w:val="00B94644"/>
    <w:rsid w:val="00B958CB"/>
    <w:rsid w:val="00B974D6"/>
    <w:rsid w:val="00B9752A"/>
    <w:rsid w:val="00BA2753"/>
    <w:rsid w:val="00BA2BE7"/>
    <w:rsid w:val="00BA2FBA"/>
    <w:rsid w:val="00BB1C9F"/>
    <w:rsid w:val="00BB28DB"/>
    <w:rsid w:val="00BB30D5"/>
    <w:rsid w:val="00BB426B"/>
    <w:rsid w:val="00BB454F"/>
    <w:rsid w:val="00BB6291"/>
    <w:rsid w:val="00BC01EA"/>
    <w:rsid w:val="00BC1C21"/>
    <w:rsid w:val="00BC3E7C"/>
    <w:rsid w:val="00BC426A"/>
    <w:rsid w:val="00BC7C61"/>
    <w:rsid w:val="00BD2CFB"/>
    <w:rsid w:val="00BE3F1E"/>
    <w:rsid w:val="00BE4068"/>
    <w:rsid w:val="00BE46B0"/>
    <w:rsid w:val="00BE48F2"/>
    <w:rsid w:val="00BF13E1"/>
    <w:rsid w:val="00BF1ADD"/>
    <w:rsid w:val="00BF35E9"/>
    <w:rsid w:val="00BF70F9"/>
    <w:rsid w:val="00BF7566"/>
    <w:rsid w:val="00BF77E6"/>
    <w:rsid w:val="00BF7DAA"/>
    <w:rsid w:val="00C00267"/>
    <w:rsid w:val="00C018AE"/>
    <w:rsid w:val="00C021C0"/>
    <w:rsid w:val="00C04ECD"/>
    <w:rsid w:val="00C05A50"/>
    <w:rsid w:val="00C05E1F"/>
    <w:rsid w:val="00C10202"/>
    <w:rsid w:val="00C11FA5"/>
    <w:rsid w:val="00C169FC"/>
    <w:rsid w:val="00C211CE"/>
    <w:rsid w:val="00C221B3"/>
    <w:rsid w:val="00C22AF6"/>
    <w:rsid w:val="00C3032C"/>
    <w:rsid w:val="00C3210D"/>
    <w:rsid w:val="00C32386"/>
    <w:rsid w:val="00C33D30"/>
    <w:rsid w:val="00C342DF"/>
    <w:rsid w:val="00C3504E"/>
    <w:rsid w:val="00C35745"/>
    <w:rsid w:val="00C3747C"/>
    <w:rsid w:val="00C400C9"/>
    <w:rsid w:val="00C447A8"/>
    <w:rsid w:val="00C45F5A"/>
    <w:rsid w:val="00C4715B"/>
    <w:rsid w:val="00C5071B"/>
    <w:rsid w:val="00C522AE"/>
    <w:rsid w:val="00C52FF9"/>
    <w:rsid w:val="00C53CC7"/>
    <w:rsid w:val="00C60691"/>
    <w:rsid w:val="00C627E5"/>
    <w:rsid w:val="00C63589"/>
    <w:rsid w:val="00C63591"/>
    <w:rsid w:val="00C64B3C"/>
    <w:rsid w:val="00C66B59"/>
    <w:rsid w:val="00C7019D"/>
    <w:rsid w:val="00C72C2E"/>
    <w:rsid w:val="00C74F05"/>
    <w:rsid w:val="00C7588D"/>
    <w:rsid w:val="00C82B38"/>
    <w:rsid w:val="00C87C2A"/>
    <w:rsid w:val="00C9245E"/>
    <w:rsid w:val="00C9432C"/>
    <w:rsid w:val="00C948E6"/>
    <w:rsid w:val="00C95298"/>
    <w:rsid w:val="00CA0503"/>
    <w:rsid w:val="00CA1DE5"/>
    <w:rsid w:val="00CA29FB"/>
    <w:rsid w:val="00CB1FA7"/>
    <w:rsid w:val="00CB3605"/>
    <w:rsid w:val="00CB3F2A"/>
    <w:rsid w:val="00CB7BA7"/>
    <w:rsid w:val="00CC1036"/>
    <w:rsid w:val="00CC35C5"/>
    <w:rsid w:val="00CC3B8B"/>
    <w:rsid w:val="00CC4D0A"/>
    <w:rsid w:val="00CC7F3E"/>
    <w:rsid w:val="00CD08A8"/>
    <w:rsid w:val="00CD3210"/>
    <w:rsid w:val="00CD5E7C"/>
    <w:rsid w:val="00CE2CBA"/>
    <w:rsid w:val="00CE3B85"/>
    <w:rsid w:val="00CE4DF9"/>
    <w:rsid w:val="00CE5891"/>
    <w:rsid w:val="00CE60A7"/>
    <w:rsid w:val="00CE740D"/>
    <w:rsid w:val="00CE7E55"/>
    <w:rsid w:val="00CF22E1"/>
    <w:rsid w:val="00CF2578"/>
    <w:rsid w:val="00CF3003"/>
    <w:rsid w:val="00CF4267"/>
    <w:rsid w:val="00CF52B1"/>
    <w:rsid w:val="00CF724A"/>
    <w:rsid w:val="00D00645"/>
    <w:rsid w:val="00D00F1C"/>
    <w:rsid w:val="00D06FE3"/>
    <w:rsid w:val="00D073CC"/>
    <w:rsid w:val="00D07BAD"/>
    <w:rsid w:val="00D14D5A"/>
    <w:rsid w:val="00D227AA"/>
    <w:rsid w:val="00D23370"/>
    <w:rsid w:val="00D24653"/>
    <w:rsid w:val="00D2475F"/>
    <w:rsid w:val="00D249A2"/>
    <w:rsid w:val="00D31872"/>
    <w:rsid w:val="00D351B3"/>
    <w:rsid w:val="00D355F3"/>
    <w:rsid w:val="00D40530"/>
    <w:rsid w:val="00D40AC6"/>
    <w:rsid w:val="00D40E45"/>
    <w:rsid w:val="00D41CC7"/>
    <w:rsid w:val="00D4230F"/>
    <w:rsid w:val="00D42545"/>
    <w:rsid w:val="00D43447"/>
    <w:rsid w:val="00D45867"/>
    <w:rsid w:val="00D50D0F"/>
    <w:rsid w:val="00D55873"/>
    <w:rsid w:val="00D55893"/>
    <w:rsid w:val="00D566A7"/>
    <w:rsid w:val="00D60CA6"/>
    <w:rsid w:val="00D67AA7"/>
    <w:rsid w:val="00D70D94"/>
    <w:rsid w:val="00D73AD5"/>
    <w:rsid w:val="00D76EE9"/>
    <w:rsid w:val="00D80890"/>
    <w:rsid w:val="00D8091C"/>
    <w:rsid w:val="00D80AB3"/>
    <w:rsid w:val="00D851DF"/>
    <w:rsid w:val="00D965D3"/>
    <w:rsid w:val="00DA02CA"/>
    <w:rsid w:val="00DA32EB"/>
    <w:rsid w:val="00DA4F84"/>
    <w:rsid w:val="00DA5D66"/>
    <w:rsid w:val="00DB102D"/>
    <w:rsid w:val="00DB1DA4"/>
    <w:rsid w:val="00DB44C3"/>
    <w:rsid w:val="00DB5879"/>
    <w:rsid w:val="00DB70DB"/>
    <w:rsid w:val="00DB73CB"/>
    <w:rsid w:val="00DC0396"/>
    <w:rsid w:val="00DC141F"/>
    <w:rsid w:val="00DC1FC3"/>
    <w:rsid w:val="00DC25C5"/>
    <w:rsid w:val="00DC34CF"/>
    <w:rsid w:val="00DC4928"/>
    <w:rsid w:val="00DC5E21"/>
    <w:rsid w:val="00DC6C25"/>
    <w:rsid w:val="00DC7AD1"/>
    <w:rsid w:val="00DD04E4"/>
    <w:rsid w:val="00DD0E73"/>
    <w:rsid w:val="00DD1676"/>
    <w:rsid w:val="00DD212B"/>
    <w:rsid w:val="00DD61CD"/>
    <w:rsid w:val="00DD6B94"/>
    <w:rsid w:val="00DE008F"/>
    <w:rsid w:val="00DE0178"/>
    <w:rsid w:val="00DE0C8D"/>
    <w:rsid w:val="00DE21FD"/>
    <w:rsid w:val="00DE2380"/>
    <w:rsid w:val="00DE5089"/>
    <w:rsid w:val="00DE5691"/>
    <w:rsid w:val="00DE7B53"/>
    <w:rsid w:val="00DF0FFB"/>
    <w:rsid w:val="00DF1073"/>
    <w:rsid w:val="00DF108C"/>
    <w:rsid w:val="00DF1644"/>
    <w:rsid w:val="00DF1CDA"/>
    <w:rsid w:val="00DF3C7A"/>
    <w:rsid w:val="00DF3FA9"/>
    <w:rsid w:val="00DF5A05"/>
    <w:rsid w:val="00DF73DA"/>
    <w:rsid w:val="00E01904"/>
    <w:rsid w:val="00E01FE4"/>
    <w:rsid w:val="00E02B9C"/>
    <w:rsid w:val="00E0306A"/>
    <w:rsid w:val="00E15AA3"/>
    <w:rsid w:val="00E16829"/>
    <w:rsid w:val="00E22C05"/>
    <w:rsid w:val="00E328B1"/>
    <w:rsid w:val="00E34129"/>
    <w:rsid w:val="00E422C4"/>
    <w:rsid w:val="00E439E4"/>
    <w:rsid w:val="00E44E02"/>
    <w:rsid w:val="00E4564C"/>
    <w:rsid w:val="00E46B07"/>
    <w:rsid w:val="00E47B05"/>
    <w:rsid w:val="00E50F0A"/>
    <w:rsid w:val="00E51EB6"/>
    <w:rsid w:val="00E52503"/>
    <w:rsid w:val="00E60664"/>
    <w:rsid w:val="00E615EF"/>
    <w:rsid w:val="00E62824"/>
    <w:rsid w:val="00E66865"/>
    <w:rsid w:val="00E7153D"/>
    <w:rsid w:val="00E73BB5"/>
    <w:rsid w:val="00E76587"/>
    <w:rsid w:val="00E774E9"/>
    <w:rsid w:val="00E802CD"/>
    <w:rsid w:val="00E80F5A"/>
    <w:rsid w:val="00E8252C"/>
    <w:rsid w:val="00E8381F"/>
    <w:rsid w:val="00E859CC"/>
    <w:rsid w:val="00E85D85"/>
    <w:rsid w:val="00E90721"/>
    <w:rsid w:val="00E92C17"/>
    <w:rsid w:val="00E96840"/>
    <w:rsid w:val="00E97698"/>
    <w:rsid w:val="00E97A9D"/>
    <w:rsid w:val="00EA1765"/>
    <w:rsid w:val="00EA29DE"/>
    <w:rsid w:val="00EA5105"/>
    <w:rsid w:val="00EB19FD"/>
    <w:rsid w:val="00EB498C"/>
    <w:rsid w:val="00EB4EDC"/>
    <w:rsid w:val="00EB6304"/>
    <w:rsid w:val="00EB77CF"/>
    <w:rsid w:val="00EC2839"/>
    <w:rsid w:val="00EC28D4"/>
    <w:rsid w:val="00EC74B4"/>
    <w:rsid w:val="00ED1231"/>
    <w:rsid w:val="00ED19F5"/>
    <w:rsid w:val="00ED2649"/>
    <w:rsid w:val="00ED7174"/>
    <w:rsid w:val="00ED725C"/>
    <w:rsid w:val="00EE4413"/>
    <w:rsid w:val="00EE4724"/>
    <w:rsid w:val="00EF1896"/>
    <w:rsid w:val="00EF257B"/>
    <w:rsid w:val="00EF2AA7"/>
    <w:rsid w:val="00F039AB"/>
    <w:rsid w:val="00F039FA"/>
    <w:rsid w:val="00F03DD8"/>
    <w:rsid w:val="00F05B73"/>
    <w:rsid w:val="00F13C9C"/>
    <w:rsid w:val="00F151B6"/>
    <w:rsid w:val="00F154CB"/>
    <w:rsid w:val="00F15871"/>
    <w:rsid w:val="00F2049D"/>
    <w:rsid w:val="00F21432"/>
    <w:rsid w:val="00F22026"/>
    <w:rsid w:val="00F27656"/>
    <w:rsid w:val="00F27EE7"/>
    <w:rsid w:val="00F319F7"/>
    <w:rsid w:val="00F32C4A"/>
    <w:rsid w:val="00F344EE"/>
    <w:rsid w:val="00F34DC8"/>
    <w:rsid w:val="00F34FB1"/>
    <w:rsid w:val="00F350C7"/>
    <w:rsid w:val="00F365CC"/>
    <w:rsid w:val="00F36E0C"/>
    <w:rsid w:val="00F4335B"/>
    <w:rsid w:val="00F4364D"/>
    <w:rsid w:val="00F441FC"/>
    <w:rsid w:val="00F461BB"/>
    <w:rsid w:val="00F528BB"/>
    <w:rsid w:val="00F541C1"/>
    <w:rsid w:val="00F622CA"/>
    <w:rsid w:val="00F623EC"/>
    <w:rsid w:val="00F62617"/>
    <w:rsid w:val="00F75638"/>
    <w:rsid w:val="00F76332"/>
    <w:rsid w:val="00F76916"/>
    <w:rsid w:val="00F77640"/>
    <w:rsid w:val="00F80210"/>
    <w:rsid w:val="00F8050F"/>
    <w:rsid w:val="00F81F56"/>
    <w:rsid w:val="00F83B81"/>
    <w:rsid w:val="00F84320"/>
    <w:rsid w:val="00F84AA9"/>
    <w:rsid w:val="00F866F2"/>
    <w:rsid w:val="00F87675"/>
    <w:rsid w:val="00F91034"/>
    <w:rsid w:val="00F9241A"/>
    <w:rsid w:val="00F93992"/>
    <w:rsid w:val="00F95EDF"/>
    <w:rsid w:val="00FA1DD5"/>
    <w:rsid w:val="00FA3683"/>
    <w:rsid w:val="00FA6B7C"/>
    <w:rsid w:val="00FB0502"/>
    <w:rsid w:val="00FB0A2D"/>
    <w:rsid w:val="00FB1504"/>
    <w:rsid w:val="00FB3BD6"/>
    <w:rsid w:val="00FB48A9"/>
    <w:rsid w:val="00FB70C7"/>
    <w:rsid w:val="00FC1375"/>
    <w:rsid w:val="00FC1FD1"/>
    <w:rsid w:val="00FC28D4"/>
    <w:rsid w:val="00FC3DC1"/>
    <w:rsid w:val="00FC470B"/>
    <w:rsid w:val="00FC5B07"/>
    <w:rsid w:val="00FC5C8E"/>
    <w:rsid w:val="00FC794F"/>
    <w:rsid w:val="00FD19A8"/>
    <w:rsid w:val="00FE20D2"/>
    <w:rsid w:val="00FE2826"/>
    <w:rsid w:val="00FE5CDF"/>
    <w:rsid w:val="00FE7F4C"/>
    <w:rsid w:val="00FF2205"/>
    <w:rsid w:val="00FF22D7"/>
    <w:rsid w:val="00FF3687"/>
    <w:rsid w:val="00FF5B4A"/>
    <w:rsid w:val="16927219"/>
    <w:rsid w:val="630C01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DEC593"/>
  <w15:docId w15:val="{ECF5E7E3-90DD-4D8A-85E9-F7C0D5FB9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698"/>
    <w:pPr>
      <w:jc w:val="both"/>
    </w:pPr>
    <w:rPr>
      <w:rFonts w:ascii="Arial" w:hAnsi="Arial" w:cs="Arial"/>
      <w:sz w:val="20"/>
      <w:lang w:val="fr-FR"/>
    </w:rPr>
  </w:style>
  <w:style w:type="paragraph" w:styleId="Heading1">
    <w:name w:val="heading 1"/>
    <w:basedOn w:val="Normal"/>
    <w:next w:val="Normal"/>
    <w:link w:val="Heading1Char"/>
    <w:uiPriority w:val="9"/>
    <w:qFormat/>
    <w:rsid w:val="002D5885"/>
    <w:pPr>
      <w:keepNext/>
      <w:numPr>
        <w:numId w:val="1"/>
      </w:numPr>
      <w:autoSpaceDE w:val="0"/>
      <w:autoSpaceDN w:val="0"/>
      <w:spacing w:before="120" w:after="240" w:line="240" w:lineRule="auto"/>
      <w:outlineLvl w:val="0"/>
    </w:pPr>
    <w:rPr>
      <w:rFonts w:eastAsia="Times New Roman" w:cs="Times New Roman"/>
      <w:b/>
      <w:bCs/>
      <w:kern w:val="28"/>
      <w:sz w:val="28"/>
      <w:szCs w:val="28"/>
      <w:lang w:eastAsia="fr-FR"/>
    </w:rPr>
  </w:style>
  <w:style w:type="paragraph" w:styleId="Heading2">
    <w:name w:val="heading 2"/>
    <w:basedOn w:val="Normal"/>
    <w:next w:val="Normal"/>
    <w:link w:val="Heading2Char"/>
    <w:qFormat/>
    <w:rsid w:val="00425A68"/>
    <w:pPr>
      <w:keepNext/>
      <w:numPr>
        <w:ilvl w:val="1"/>
        <w:numId w:val="1"/>
      </w:numPr>
      <w:autoSpaceDE w:val="0"/>
      <w:autoSpaceDN w:val="0"/>
      <w:spacing w:before="240" w:after="120" w:line="240" w:lineRule="auto"/>
      <w:ind w:left="578" w:hanging="578"/>
      <w:outlineLvl w:val="1"/>
    </w:pPr>
    <w:rPr>
      <w:rFonts w:eastAsia="Times New Roman" w:cs="Times New Roman"/>
      <w:b/>
      <w:bCs/>
      <w:sz w:val="24"/>
      <w:szCs w:val="24"/>
      <w:lang w:eastAsia="fr-FR"/>
    </w:rPr>
  </w:style>
  <w:style w:type="paragraph" w:styleId="Heading3">
    <w:name w:val="heading 3"/>
    <w:basedOn w:val="Normal"/>
    <w:next w:val="Normal"/>
    <w:link w:val="Heading3Char"/>
    <w:qFormat/>
    <w:rsid w:val="00425A68"/>
    <w:pPr>
      <w:keepNext/>
      <w:numPr>
        <w:ilvl w:val="2"/>
        <w:numId w:val="1"/>
      </w:numPr>
      <w:autoSpaceDE w:val="0"/>
      <w:autoSpaceDN w:val="0"/>
      <w:spacing w:before="240" w:after="120" w:line="240" w:lineRule="auto"/>
      <w:outlineLvl w:val="2"/>
    </w:pPr>
    <w:rPr>
      <w:rFonts w:eastAsia="Times New Roman" w:cs="Times New Roman"/>
      <w:b/>
      <w:szCs w:val="28"/>
      <w:lang w:eastAsia="fr-FR"/>
    </w:rPr>
  </w:style>
  <w:style w:type="paragraph" w:styleId="Heading4">
    <w:name w:val="heading 4"/>
    <w:basedOn w:val="Heading3"/>
    <w:next w:val="Normal"/>
    <w:link w:val="Heading4Char"/>
    <w:autoRedefine/>
    <w:qFormat/>
    <w:rsid w:val="00432D77"/>
    <w:pPr>
      <w:numPr>
        <w:ilvl w:val="3"/>
      </w:numPr>
      <w:tabs>
        <w:tab w:val="clear" w:pos="2728"/>
        <w:tab w:val="num" w:pos="709"/>
      </w:tabs>
      <w:ind w:left="0" w:firstLine="0"/>
      <w:outlineLvl w:val="3"/>
    </w:pPr>
    <w:rPr>
      <w:rFonts w:eastAsiaTheme="majorEastAsia" w:cs="Arial"/>
      <w:color w:val="1F2328"/>
      <w:szCs w:val="20"/>
    </w:rPr>
  </w:style>
  <w:style w:type="paragraph" w:styleId="Heading5">
    <w:name w:val="heading 5"/>
    <w:basedOn w:val="Normal"/>
    <w:next w:val="Normal"/>
    <w:link w:val="Heading5Char"/>
    <w:qFormat/>
    <w:rsid w:val="00425A68"/>
    <w:pPr>
      <w:keepNext/>
      <w:numPr>
        <w:ilvl w:val="4"/>
        <w:numId w:val="1"/>
      </w:numPr>
      <w:autoSpaceDE w:val="0"/>
      <w:autoSpaceDN w:val="0"/>
      <w:spacing w:before="160" w:after="60" w:line="240" w:lineRule="auto"/>
      <w:ind w:left="1009" w:hanging="1009"/>
      <w:outlineLvl w:val="4"/>
    </w:pPr>
    <w:rPr>
      <w:rFonts w:eastAsia="Times New Roman" w:cs="Times New Roman"/>
      <w:b/>
      <w:sz w:val="18"/>
      <w:szCs w:val="20"/>
      <w:lang w:eastAsia="fr-FR"/>
    </w:rPr>
  </w:style>
  <w:style w:type="paragraph" w:styleId="Heading6">
    <w:name w:val="heading 6"/>
    <w:basedOn w:val="Normal"/>
    <w:next w:val="Normal"/>
    <w:link w:val="Heading6Char"/>
    <w:qFormat/>
    <w:rsid w:val="00425A68"/>
    <w:pPr>
      <w:keepNext/>
      <w:numPr>
        <w:ilvl w:val="5"/>
        <w:numId w:val="1"/>
      </w:numPr>
      <w:autoSpaceDE w:val="0"/>
      <w:autoSpaceDN w:val="0"/>
      <w:spacing w:before="240" w:after="120" w:line="240" w:lineRule="auto"/>
      <w:outlineLvl w:val="5"/>
    </w:pPr>
    <w:rPr>
      <w:rFonts w:ascii="Helv" w:eastAsia="Times New Roman" w:hAnsi="Helv" w:cs="Times New Roman"/>
      <w:b/>
      <w:bCs/>
      <w:szCs w:val="20"/>
      <w:lang w:eastAsia="fr-FR"/>
    </w:rPr>
  </w:style>
  <w:style w:type="paragraph" w:styleId="Heading7">
    <w:name w:val="heading 7"/>
    <w:basedOn w:val="Normal"/>
    <w:next w:val="Normal"/>
    <w:link w:val="Heading7Char"/>
    <w:qFormat/>
    <w:rsid w:val="00425A68"/>
    <w:pPr>
      <w:keepNext/>
      <w:numPr>
        <w:ilvl w:val="6"/>
        <w:numId w:val="1"/>
      </w:numPr>
      <w:autoSpaceDE w:val="0"/>
      <w:autoSpaceDN w:val="0"/>
      <w:spacing w:before="120" w:after="60" w:line="240" w:lineRule="auto"/>
      <w:outlineLvl w:val="6"/>
    </w:pPr>
    <w:rPr>
      <w:rFonts w:eastAsia="Times New Roman" w:cs="Times New Roman"/>
      <w:b/>
      <w:bCs/>
      <w:szCs w:val="24"/>
      <w:lang w:eastAsia="fr-FR"/>
    </w:rPr>
  </w:style>
  <w:style w:type="paragraph" w:styleId="Heading8">
    <w:name w:val="heading 8"/>
    <w:basedOn w:val="Normal"/>
    <w:next w:val="Heading5"/>
    <w:link w:val="Heading8Char"/>
    <w:qFormat/>
    <w:rsid w:val="00425A68"/>
    <w:pPr>
      <w:widowControl w:val="0"/>
      <w:numPr>
        <w:ilvl w:val="7"/>
        <w:numId w:val="1"/>
      </w:numPr>
      <w:autoSpaceDE w:val="0"/>
      <w:autoSpaceDN w:val="0"/>
      <w:spacing w:before="120" w:after="60" w:line="240" w:lineRule="auto"/>
      <w:outlineLvl w:val="7"/>
    </w:pPr>
    <w:rPr>
      <w:rFonts w:eastAsia="Times New Roman" w:cs="Times New Roman"/>
      <w:i/>
      <w:iCs/>
      <w:szCs w:val="20"/>
      <w:lang w:val="en-GB" w:eastAsia="fr-FR"/>
    </w:rPr>
  </w:style>
  <w:style w:type="paragraph" w:styleId="Heading9">
    <w:name w:val="heading 9"/>
    <w:basedOn w:val="Normal"/>
    <w:next w:val="Heading5"/>
    <w:link w:val="Heading9Char"/>
    <w:qFormat/>
    <w:rsid w:val="00425A68"/>
    <w:pPr>
      <w:widowControl w:val="0"/>
      <w:numPr>
        <w:ilvl w:val="8"/>
        <w:numId w:val="1"/>
      </w:numPr>
      <w:autoSpaceDE w:val="0"/>
      <w:autoSpaceDN w:val="0"/>
      <w:spacing w:before="120" w:after="60" w:line="240" w:lineRule="auto"/>
      <w:outlineLvl w:val="8"/>
    </w:pPr>
    <w:rPr>
      <w:rFonts w:eastAsia="Times New Roman" w:cs="Times New Roman"/>
      <w:i/>
      <w:iCs/>
      <w:szCs w:val="20"/>
      <w:lang w:val="en-GB" w:eastAsia="fr-F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801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017F"/>
    <w:rPr>
      <w:rFonts w:ascii="Tahoma" w:hAnsi="Tahoma" w:cs="Tahoma"/>
      <w:sz w:val="16"/>
      <w:szCs w:val="16"/>
    </w:rPr>
  </w:style>
  <w:style w:type="paragraph" w:styleId="Header">
    <w:name w:val="header"/>
    <w:basedOn w:val="Normal"/>
    <w:link w:val="HeaderChar"/>
    <w:unhideWhenUsed/>
    <w:rsid w:val="0008017F"/>
    <w:pPr>
      <w:tabs>
        <w:tab w:val="center" w:pos="4320"/>
        <w:tab w:val="right" w:pos="8640"/>
      </w:tabs>
      <w:spacing w:after="0" w:line="240" w:lineRule="auto"/>
      <w:ind w:left="86"/>
    </w:pPr>
    <w:rPr>
      <w:rFonts w:ascii="Times New Roman" w:eastAsia="Times New Roman" w:hAnsi="Times New Roman" w:cs="Times New Roman"/>
      <w:spacing w:val="4"/>
      <w:szCs w:val="20"/>
      <w:lang w:val="el-GR"/>
    </w:rPr>
  </w:style>
  <w:style w:type="character" w:customStyle="1" w:styleId="HeaderChar">
    <w:name w:val="Header Char"/>
    <w:basedOn w:val="DefaultParagraphFont"/>
    <w:link w:val="Header"/>
    <w:rsid w:val="0008017F"/>
    <w:rPr>
      <w:rFonts w:ascii="Times New Roman" w:eastAsia="Times New Roman" w:hAnsi="Times New Roman" w:cs="Times New Roman"/>
      <w:spacing w:val="4"/>
      <w:sz w:val="20"/>
      <w:szCs w:val="20"/>
      <w:lang w:val="el-GR"/>
    </w:rPr>
  </w:style>
  <w:style w:type="paragraph" w:styleId="Title">
    <w:name w:val="Title"/>
    <w:basedOn w:val="Normal"/>
    <w:next w:val="Normal"/>
    <w:link w:val="TitleChar"/>
    <w:uiPriority w:val="10"/>
    <w:qFormat/>
    <w:rsid w:val="0008017F"/>
    <w:pPr>
      <w:spacing w:after="300" w:line="240" w:lineRule="auto"/>
      <w:contextualSpacing/>
      <w:jc w:val="center"/>
    </w:pPr>
    <w:rPr>
      <w:rFonts w:asciiTheme="minorBidi" w:eastAsiaTheme="majorEastAsia" w:hAnsiTheme="minorBidi"/>
      <w:spacing w:val="5"/>
      <w:kern w:val="28"/>
      <w:sz w:val="52"/>
      <w:szCs w:val="52"/>
    </w:rPr>
  </w:style>
  <w:style w:type="character" w:customStyle="1" w:styleId="TitleChar">
    <w:name w:val="Title Char"/>
    <w:basedOn w:val="DefaultParagraphFont"/>
    <w:link w:val="Title"/>
    <w:uiPriority w:val="10"/>
    <w:rsid w:val="0008017F"/>
    <w:rPr>
      <w:rFonts w:asciiTheme="minorBidi" w:eastAsiaTheme="majorEastAsia" w:hAnsiTheme="minorBidi"/>
      <w:spacing w:val="5"/>
      <w:kern w:val="28"/>
      <w:sz w:val="52"/>
      <w:szCs w:val="52"/>
    </w:rPr>
  </w:style>
  <w:style w:type="character" w:styleId="PlaceholderText">
    <w:name w:val="Placeholder Text"/>
    <w:basedOn w:val="DefaultParagraphFont"/>
    <w:uiPriority w:val="99"/>
    <w:semiHidden/>
    <w:rsid w:val="0008017F"/>
    <w:rPr>
      <w:color w:val="808080"/>
    </w:rPr>
  </w:style>
  <w:style w:type="paragraph" w:styleId="Subtitle">
    <w:name w:val="Subtitle"/>
    <w:basedOn w:val="Title"/>
    <w:next w:val="Normal"/>
    <w:link w:val="SubtitleChar"/>
    <w:uiPriority w:val="11"/>
    <w:qFormat/>
    <w:rsid w:val="00EE4724"/>
    <w:rPr>
      <w:sz w:val="40"/>
      <w:szCs w:val="40"/>
    </w:rPr>
  </w:style>
  <w:style w:type="character" w:customStyle="1" w:styleId="SubtitleChar">
    <w:name w:val="Subtitle Char"/>
    <w:basedOn w:val="DefaultParagraphFont"/>
    <w:link w:val="Subtitle"/>
    <w:uiPriority w:val="11"/>
    <w:rsid w:val="00EE4724"/>
    <w:rPr>
      <w:rFonts w:asciiTheme="minorBidi" w:eastAsiaTheme="majorEastAsia" w:hAnsiTheme="minorBidi"/>
      <w:spacing w:val="5"/>
      <w:kern w:val="28"/>
      <w:sz w:val="40"/>
      <w:szCs w:val="40"/>
    </w:rPr>
  </w:style>
  <w:style w:type="paragraph" w:styleId="Footer">
    <w:name w:val="footer"/>
    <w:basedOn w:val="Normal"/>
    <w:link w:val="FooterChar"/>
    <w:uiPriority w:val="99"/>
    <w:unhideWhenUsed/>
    <w:rsid w:val="001A2785"/>
    <w:pPr>
      <w:tabs>
        <w:tab w:val="center" w:pos="4320"/>
        <w:tab w:val="right" w:pos="8640"/>
      </w:tabs>
      <w:spacing w:after="0" w:line="240" w:lineRule="auto"/>
    </w:pPr>
  </w:style>
  <w:style w:type="character" w:customStyle="1" w:styleId="FooterChar">
    <w:name w:val="Footer Char"/>
    <w:basedOn w:val="DefaultParagraphFont"/>
    <w:link w:val="Footer"/>
    <w:uiPriority w:val="99"/>
    <w:rsid w:val="001A2785"/>
  </w:style>
  <w:style w:type="table" w:styleId="TableGrid">
    <w:name w:val="Table Grid"/>
    <w:basedOn w:val="TableNormal"/>
    <w:uiPriority w:val="59"/>
    <w:rsid w:val="001A2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ntete">
    <w:name w:val="&gt;tab:entete"/>
    <w:basedOn w:val="Normal"/>
    <w:next w:val="Normal"/>
    <w:rsid w:val="00425A68"/>
    <w:pPr>
      <w:keepNext/>
      <w:keepLines/>
      <w:tabs>
        <w:tab w:val="left" w:pos="284"/>
      </w:tabs>
      <w:spacing w:before="60" w:after="60" w:line="240" w:lineRule="auto"/>
      <w:jc w:val="center"/>
    </w:pPr>
    <w:rPr>
      <w:rFonts w:eastAsia="Times New Roman"/>
      <w:b/>
      <w:bCs/>
      <w:sz w:val="24"/>
      <w:szCs w:val="24"/>
      <w:lang w:val="en-GB"/>
    </w:rPr>
  </w:style>
  <w:style w:type="paragraph" w:customStyle="1" w:styleId="tabtxt-j">
    <w:name w:val="&gt;tab:txt-j"/>
    <w:basedOn w:val="Normal"/>
    <w:rsid w:val="00425A68"/>
    <w:pPr>
      <w:keepLines/>
      <w:tabs>
        <w:tab w:val="left" w:pos="284"/>
      </w:tabs>
      <w:spacing w:before="60" w:after="60" w:line="240" w:lineRule="auto"/>
    </w:pPr>
    <w:rPr>
      <w:rFonts w:eastAsia="Times New Roman"/>
      <w:szCs w:val="20"/>
      <w:lang w:val="en-GB"/>
    </w:rPr>
  </w:style>
  <w:style w:type="character" w:customStyle="1" w:styleId="Heading1Char">
    <w:name w:val="Heading 1 Char"/>
    <w:basedOn w:val="DefaultParagraphFont"/>
    <w:link w:val="Heading1"/>
    <w:uiPriority w:val="9"/>
    <w:rsid w:val="002D5885"/>
    <w:rPr>
      <w:rFonts w:ascii="Arial" w:eastAsia="Times New Roman" w:hAnsi="Arial" w:cs="Times New Roman"/>
      <w:b/>
      <w:bCs/>
      <w:kern w:val="28"/>
      <w:sz w:val="28"/>
      <w:szCs w:val="28"/>
      <w:lang w:val="fr-FR" w:eastAsia="fr-FR"/>
    </w:rPr>
  </w:style>
  <w:style w:type="character" w:customStyle="1" w:styleId="Heading2Char">
    <w:name w:val="Heading 2 Char"/>
    <w:basedOn w:val="DefaultParagraphFont"/>
    <w:link w:val="Heading2"/>
    <w:rsid w:val="00425A68"/>
    <w:rPr>
      <w:rFonts w:ascii="Arial" w:eastAsia="Times New Roman" w:hAnsi="Arial" w:cs="Times New Roman"/>
      <w:b/>
      <w:bCs/>
      <w:sz w:val="24"/>
      <w:szCs w:val="24"/>
      <w:lang w:val="fr-FR" w:eastAsia="fr-FR"/>
    </w:rPr>
  </w:style>
  <w:style w:type="character" w:customStyle="1" w:styleId="Heading3Char">
    <w:name w:val="Heading 3 Char"/>
    <w:basedOn w:val="DefaultParagraphFont"/>
    <w:link w:val="Heading3"/>
    <w:rsid w:val="00425A68"/>
    <w:rPr>
      <w:rFonts w:ascii="Arial" w:eastAsia="Times New Roman" w:hAnsi="Arial" w:cs="Times New Roman"/>
      <w:b/>
      <w:sz w:val="20"/>
      <w:szCs w:val="28"/>
      <w:lang w:val="fr-FR" w:eastAsia="fr-FR"/>
    </w:rPr>
  </w:style>
  <w:style w:type="character" w:customStyle="1" w:styleId="Heading4Char">
    <w:name w:val="Heading 4 Char"/>
    <w:basedOn w:val="DefaultParagraphFont"/>
    <w:link w:val="Heading4"/>
    <w:rsid w:val="00432D77"/>
    <w:rPr>
      <w:rFonts w:ascii="Arial" w:eastAsiaTheme="majorEastAsia" w:hAnsi="Arial" w:cs="Arial"/>
      <w:b/>
      <w:color w:val="1F2328"/>
      <w:sz w:val="20"/>
      <w:szCs w:val="20"/>
      <w:lang w:val="fr-FR" w:eastAsia="fr-FR"/>
    </w:rPr>
  </w:style>
  <w:style w:type="character" w:customStyle="1" w:styleId="Heading5Char">
    <w:name w:val="Heading 5 Char"/>
    <w:basedOn w:val="DefaultParagraphFont"/>
    <w:link w:val="Heading5"/>
    <w:rsid w:val="00425A68"/>
    <w:rPr>
      <w:rFonts w:ascii="Arial" w:eastAsia="Times New Roman" w:hAnsi="Arial" w:cs="Times New Roman"/>
      <w:b/>
      <w:sz w:val="18"/>
      <w:szCs w:val="20"/>
      <w:lang w:val="fr-FR" w:eastAsia="fr-FR"/>
    </w:rPr>
  </w:style>
  <w:style w:type="character" w:customStyle="1" w:styleId="Heading6Char">
    <w:name w:val="Heading 6 Char"/>
    <w:basedOn w:val="DefaultParagraphFont"/>
    <w:link w:val="Heading6"/>
    <w:rsid w:val="00425A68"/>
    <w:rPr>
      <w:rFonts w:ascii="Helv" w:eastAsia="Times New Roman" w:hAnsi="Helv" w:cs="Times New Roman"/>
      <w:b/>
      <w:bCs/>
      <w:sz w:val="20"/>
      <w:szCs w:val="20"/>
      <w:lang w:val="fr-FR" w:eastAsia="fr-FR"/>
    </w:rPr>
  </w:style>
  <w:style w:type="character" w:customStyle="1" w:styleId="Heading7Char">
    <w:name w:val="Heading 7 Char"/>
    <w:basedOn w:val="DefaultParagraphFont"/>
    <w:link w:val="Heading7"/>
    <w:rsid w:val="00425A68"/>
    <w:rPr>
      <w:rFonts w:ascii="Arial" w:eastAsia="Times New Roman" w:hAnsi="Arial" w:cs="Times New Roman"/>
      <w:b/>
      <w:bCs/>
      <w:sz w:val="20"/>
      <w:szCs w:val="24"/>
      <w:lang w:val="fr-FR" w:eastAsia="fr-FR"/>
    </w:rPr>
  </w:style>
  <w:style w:type="character" w:customStyle="1" w:styleId="Heading8Char">
    <w:name w:val="Heading 8 Char"/>
    <w:basedOn w:val="DefaultParagraphFont"/>
    <w:link w:val="Heading8"/>
    <w:rsid w:val="00425A68"/>
    <w:rPr>
      <w:rFonts w:ascii="Arial" w:eastAsia="Times New Roman" w:hAnsi="Arial" w:cs="Times New Roman"/>
      <w:i/>
      <w:iCs/>
      <w:sz w:val="20"/>
      <w:szCs w:val="20"/>
      <w:lang w:val="en-GB" w:eastAsia="fr-FR"/>
    </w:rPr>
  </w:style>
  <w:style w:type="character" w:customStyle="1" w:styleId="Heading9Char">
    <w:name w:val="Heading 9 Char"/>
    <w:basedOn w:val="DefaultParagraphFont"/>
    <w:link w:val="Heading9"/>
    <w:rsid w:val="00425A68"/>
    <w:rPr>
      <w:rFonts w:ascii="Arial" w:eastAsia="Times New Roman" w:hAnsi="Arial" w:cs="Times New Roman"/>
      <w:i/>
      <w:iCs/>
      <w:sz w:val="20"/>
      <w:szCs w:val="20"/>
      <w:lang w:val="en-GB" w:eastAsia="fr-FR"/>
    </w:rPr>
  </w:style>
  <w:style w:type="paragraph" w:customStyle="1" w:styleId="Reference">
    <w:name w:val="Reference"/>
    <w:basedOn w:val="Normal"/>
    <w:rsid w:val="00425A68"/>
    <w:pPr>
      <w:numPr>
        <w:numId w:val="2"/>
      </w:numPr>
      <w:tabs>
        <w:tab w:val="clear" w:pos="624"/>
        <w:tab w:val="num" w:pos="567"/>
      </w:tabs>
      <w:spacing w:before="120" w:after="0" w:line="240" w:lineRule="exact"/>
      <w:ind w:left="567" w:hanging="561"/>
    </w:pPr>
    <w:rPr>
      <w:rFonts w:eastAsia="KDABME+TimesNewRoman" w:cs="Times New Roman"/>
      <w:szCs w:val="20"/>
      <w:lang w:val="en-GB" w:eastAsia="fr-FR"/>
    </w:rPr>
  </w:style>
  <w:style w:type="paragraph" w:customStyle="1" w:styleId="Caption1">
    <w:name w:val="Caption1"/>
    <w:basedOn w:val="Normal"/>
    <w:rsid w:val="00425A68"/>
    <w:pPr>
      <w:widowControl w:val="0"/>
      <w:spacing w:before="100" w:after="100" w:line="240" w:lineRule="auto"/>
    </w:pPr>
    <w:rPr>
      <w:rFonts w:eastAsia="Times New Roman"/>
      <w:sz w:val="16"/>
      <w:szCs w:val="20"/>
      <w:lang w:eastAsia="ar-SA"/>
    </w:rPr>
  </w:style>
  <w:style w:type="paragraph" w:styleId="TOCHeading">
    <w:name w:val="TOC Heading"/>
    <w:basedOn w:val="Heading1"/>
    <w:next w:val="Normal"/>
    <w:uiPriority w:val="39"/>
    <w:semiHidden/>
    <w:unhideWhenUsed/>
    <w:qFormat/>
    <w:rsid w:val="00A26C4A"/>
    <w:pPr>
      <w:keepLines/>
      <w:numPr>
        <w:numId w:val="0"/>
      </w:numPr>
      <w:autoSpaceDE/>
      <w:autoSpaceDN/>
      <w:spacing w:before="480" w:after="0" w:line="276" w:lineRule="auto"/>
      <w:jc w:val="left"/>
      <w:outlineLvl w:val="9"/>
    </w:pPr>
    <w:rPr>
      <w:rFonts w:asciiTheme="majorHAnsi" w:eastAsiaTheme="majorEastAsia" w:hAnsiTheme="majorHAnsi" w:cstheme="majorBidi"/>
      <w:color w:val="365F91" w:themeColor="accent1" w:themeShade="BF"/>
      <w:kern w:val="0"/>
      <w:lang w:val="en-US" w:eastAsia="ja-JP"/>
    </w:rPr>
  </w:style>
  <w:style w:type="paragraph" w:styleId="TOC1">
    <w:name w:val="toc 1"/>
    <w:basedOn w:val="Normal"/>
    <w:next w:val="Normal"/>
    <w:autoRedefine/>
    <w:uiPriority w:val="39"/>
    <w:unhideWhenUsed/>
    <w:rsid w:val="00BF1ADD"/>
    <w:pPr>
      <w:tabs>
        <w:tab w:val="right" w:leader="dot" w:pos="9450"/>
      </w:tabs>
      <w:spacing w:after="100"/>
    </w:pPr>
    <w:rPr>
      <w:noProof/>
      <w:lang w:val="en-US" w:bidi="ar-LB"/>
    </w:rPr>
  </w:style>
  <w:style w:type="paragraph" w:styleId="TOC2">
    <w:name w:val="toc 2"/>
    <w:basedOn w:val="Normal"/>
    <w:next w:val="Normal"/>
    <w:autoRedefine/>
    <w:uiPriority w:val="39"/>
    <w:unhideWhenUsed/>
    <w:rsid w:val="00A26C4A"/>
    <w:pPr>
      <w:spacing w:after="100"/>
      <w:ind w:left="220"/>
    </w:pPr>
  </w:style>
  <w:style w:type="paragraph" w:styleId="TOC3">
    <w:name w:val="toc 3"/>
    <w:basedOn w:val="Normal"/>
    <w:next w:val="Normal"/>
    <w:autoRedefine/>
    <w:uiPriority w:val="39"/>
    <w:unhideWhenUsed/>
    <w:rsid w:val="00A26C4A"/>
    <w:pPr>
      <w:spacing w:after="100"/>
      <w:ind w:left="440"/>
    </w:pPr>
  </w:style>
  <w:style w:type="character" w:styleId="Hyperlink">
    <w:name w:val="Hyperlink"/>
    <w:basedOn w:val="DefaultParagraphFont"/>
    <w:uiPriority w:val="99"/>
    <w:unhideWhenUsed/>
    <w:rsid w:val="00A26C4A"/>
    <w:rPr>
      <w:color w:val="0000FF" w:themeColor="hyperlink"/>
      <w:u w:val="single"/>
    </w:rPr>
  </w:style>
  <w:style w:type="paragraph" w:styleId="ListParagraph">
    <w:name w:val="List Paragraph"/>
    <w:basedOn w:val="Normal"/>
    <w:uiPriority w:val="34"/>
    <w:qFormat/>
    <w:rsid w:val="00695FFA"/>
    <w:pPr>
      <w:ind w:left="720"/>
      <w:contextualSpacing/>
    </w:pPr>
  </w:style>
  <w:style w:type="paragraph" w:customStyle="1" w:styleId="lgende">
    <w:name w:val="légende"/>
    <w:basedOn w:val="Caption1"/>
    <w:qFormat/>
    <w:rsid w:val="00637D6B"/>
    <w:pPr>
      <w:jc w:val="center"/>
    </w:pPr>
    <w:rPr>
      <w:lang w:val="en-US"/>
    </w:rPr>
  </w:style>
  <w:style w:type="paragraph" w:styleId="Caption">
    <w:name w:val="caption"/>
    <w:basedOn w:val="Normal"/>
    <w:next w:val="Normal"/>
    <w:uiPriority w:val="35"/>
    <w:unhideWhenUsed/>
    <w:qFormat/>
    <w:rsid w:val="00DC0396"/>
    <w:pPr>
      <w:spacing w:line="240" w:lineRule="auto"/>
      <w:jc w:val="center"/>
    </w:pPr>
    <w:rPr>
      <w:b/>
      <w:bCs/>
      <w:color w:val="4F81BD" w:themeColor="accent1"/>
      <w:sz w:val="18"/>
      <w:szCs w:val="18"/>
      <w:lang w:val="en-US"/>
    </w:rPr>
  </w:style>
  <w:style w:type="paragraph" w:styleId="NormalWeb">
    <w:name w:val="Normal (Web)"/>
    <w:basedOn w:val="Normal"/>
    <w:uiPriority w:val="99"/>
    <w:unhideWhenUsed/>
    <w:rsid w:val="00155C0B"/>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paragraph" w:styleId="EndnoteText">
    <w:name w:val="endnote text"/>
    <w:basedOn w:val="Normal"/>
    <w:link w:val="EndnoteTextChar"/>
    <w:uiPriority w:val="99"/>
    <w:semiHidden/>
    <w:unhideWhenUsed/>
    <w:rsid w:val="007F72A1"/>
    <w:pPr>
      <w:spacing w:after="0" w:line="240" w:lineRule="auto"/>
    </w:pPr>
    <w:rPr>
      <w:szCs w:val="20"/>
    </w:rPr>
  </w:style>
  <w:style w:type="character" w:customStyle="1" w:styleId="EndnoteTextChar">
    <w:name w:val="Endnote Text Char"/>
    <w:basedOn w:val="DefaultParagraphFont"/>
    <w:link w:val="EndnoteText"/>
    <w:uiPriority w:val="99"/>
    <w:semiHidden/>
    <w:rsid w:val="007F72A1"/>
    <w:rPr>
      <w:rFonts w:cs="Arial"/>
      <w:sz w:val="20"/>
      <w:szCs w:val="20"/>
      <w:lang w:val="fr-FR"/>
    </w:rPr>
  </w:style>
  <w:style w:type="character" w:styleId="EndnoteReference">
    <w:name w:val="endnote reference"/>
    <w:basedOn w:val="DefaultParagraphFont"/>
    <w:uiPriority w:val="99"/>
    <w:semiHidden/>
    <w:unhideWhenUsed/>
    <w:rsid w:val="007F72A1"/>
    <w:rPr>
      <w:vertAlign w:val="superscript"/>
    </w:rPr>
  </w:style>
  <w:style w:type="paragraph" w:styleId="HTMLPreformatted">
    <w:name w:val="HTML Preformatted"/>
    <w:basedOn w:val="Normal"/>
    <w:link w:val="HTMLPreformattedChar"/>
    <w:uiPriority w:val="99"/>
    <w:semiHidden/>
    <w:unhideWhenUsed/>
    <w:rsid w:val="00C66B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Cs w:val="20"/>
      <w:lang w:val="en-US"/>
    </w:rPr>
  </w:style>
  <w:style w:type="character" w:customStyle="1" w:styleId="HTMLPreformattedChar">
    <w:name w:val="HTML Preformatted Char"/>
    <w:basedOn w:val="DefaultParagraphFont"/>
    <w:link w:val="HTMLPreformatted"/>
    <w:uiPriority w:val="99"/>
    <w:semiHidden/>
    <w:rsid w:val="00C66B59"/>
    <w:rPr>
      <w:rFonts w:ascii="Courier New" w:eastAsia="Times New Roman" w:hAnsi="Courier New" w:cs="Courier New"/>
      <w:sz w:val="20"/>
      <w:szCs w:val="20"/>
    </w:rPr>
  </w:style>
  <w:style w:type="paragraph" w:customStyle="1" w:styleId="object">
    <w:name w:val="object"/>
    <w:basedOn w:val="Normal"/>
    <w:link w:val="objectChar"/>
    <w:qFormat/>
    <w:rsid w:val="00A774CF"/>
    <w:pPr>
      <w:pBdr>
        <w:top w:val="single" w:sz="4" w:space="1" w:color="A3A3A3"/>
        <w:left w:val="single" w:sz="4" w:space="4" w:color="A3A3A3"/>
        <w:bottom w:val="single" w:sz="4" w:space="1" w:color="A3A3A3"/>
        <w:right w:val="single" w:sz="4" w:space="4" w:color="A3A3A3"/>
      </w:pBdr>
      <w:shd w:val="clear" w:color="auto" w:fill="F2F2F2" w:themeFill="background1" w:themeFillShade="F2"/>
      <w:spacing w:after="0" w:line="240" w:lineRule="auto"/>
    </w:pPr>
    <w:rPr>
      <w:rFonts w:ascii="Courier New" w:hAnsi="Courier New" w:cs="Courier New"/>
      <w:szCs w:val="20"/>
      <w:lang w:val="en-US" w:eastAsia="fr-FR"/>
    </w:rPr>
  </w:style>
  <w:style w:type="character" w:customStyle="1" w:styleId="objectChar">
    <w:name w:val="object Char"/>
    <w:basedOn w:val="DefaultParagraphFont"/>
    <w:link w:val="object"/>
    <w:rsid w:val="00A774CF"/>
    <w:rPr>
      <w:rFonts w:ascii="Courier New" w:hAnsi="Courier New" w:cs="Courier New"/>
      <w:sz w:val="20"/>
      <w:szCs w:val="20"/>
      <w:shd w:val="clear" w:color="auto" w:fill="F2F2F2" w:themeFill="background1" w:themeFillShade="F2"/>
      <w:lang w:eastAsia="fr-FR"/>
    </w:rPr>
  </w:style>
  <w:style w:type="table" w:styleId="LightShading">
    <w:name w:val="Light Shading"/>
    <w:basedOn w:val="TableNormal"/>
    <w:uiPriority w:val="60"/>
    <w:rsid w:val="007220D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7220D0"/>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5">
    <w:name w:val="Light List Accent 5"/>
    <w:basedOn w:val="TableNormal"/>
    <w:uiPriority w:val="61"/>
    <w:rsid w:val="007220D0"/>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NoSpacing">
    <w:name w:val="No Spacing"/>
    <w:link w:val="NoSpacingChar"/>
    <w:uiPriority w:val="1"/>
    <w:qFormat/>
    <w:rsid w:val="00E92C17"/>
    <w:pPr>
      <w:spacing w:after="0" w:line="240" w:lineRule="auto"/>
    </w:pPr>
    <w:rPr>
      <w:rFonts w:eastAsiaTheme="minorEastAsia"/>
    </w:rPr>
  </w:style>
  <w:style w:type="character" w:customStyle="1" w:styleId="NoSpacingChar">
    <w:name w:val="No Spacing Char"/>
    <w:basedOn w:val="DefaultParagraphFont"/>
    <w:link w:val="NoSpacing"/>
    <w:uiPriority w:val="1"/>
    <w:rsid w:val="00E92C17"/>
    <w:rPr>
      <w:rFonts w:eastAsiaTheme="minorEastAsia"/>
    </w:rPr>
  </w:style>
  <w:style w:type="paragraph" w:styleId="TableofFigures">
    <w:name w:val="table of figures"/>
    <w:basedOn w:val="Normal"/>
    <w:next w:val="Normal"/>
    <w:uiPriority w:val="99"/>
    <w:unhideWhenUsed/>
    <w:rsid w:val="00521E4D"/>
    <w:pPr>
      <w:spacing w:after="0"/>
    </w:pPr>
  </w:style>
  <w:style w:type="paragraph" w:customStyle="1" w:styleId="Acronym">
    <w:name w:val="Acronym"/>
    <w:basedOn w:val="Normal"/>
    <w:link w:val="AcronymChar"/>
    <w:rsid w:val="00521E4D"/>
    <w:pPr>
      <w:spacing w:after="0" w:line="240" w:lineRule="auto"/>
      <w:jc w:val="left"/>
    </w:pPr>
    <w:rPr>
      <w:rFonts w:ascii="Times New Roman" w:eastAsia="Times New Roman" w:hAnsi="Times New Roman" w:cs="SimSun"/>
      <w:color w:val="000000"/>
      <w:sz w:val="24"/>
      <w:szCs w:val="20"/>
      <w:lang w:val="en-US"/>
    </w:rPr>
  </w:style>
  <w:style w:type="character" w:customStyle="1" w:styleId="AcronymChar">
    <w:name w:val="Acronym Char"/>
    <w:basedOn w:val="DefaultParagraphFont"/>
    <w:link w:val="Acronym"/>
    <w:rsid w:val="00521E4D"/>
    <w:rPr>
      <w:rFonts w:ascii="Times New Roman" w:eastAsia="Times New Roman" w:hAnsi="Times New Roman" w:cs="SimSun"/>
      <w:color w:val="000000"/>
      <w:sz w:val="24"/>
      <w:szCs w:val="20"/>
    </w:rPr>
  </w:style>
  <w:style w:type="paragraph" w:customStyle="1" w:styleId="SymbolText">
    <w:name w:val="SymbolText"/>
    <w:basedOn w:val="Acronym"/>
    <w:link w:val="SymbolTextChar"/>
    <w:rsid w:val="008E12B2"/>
  </w:style>
  <w:style w:type="character" w:customStyle="1" w:styleId="SymbolTextChar">
    <w:name w:val="SymbolText Char"/>
    <w:basedOn w:val="AcronymChar"/>
    <w:link w:val="SymbolText"/>
    <w:rsid w:val="008E12B2"/>
    <w:rPr>
      <w:rFonts w:ascii="Times New Roman" w:eastAsia="Times New Roman" w:hAnsi="Times New Roman" w:cs="SimSun"/>
      <w:color w:val="000000"/>
      <w:sz w:val="24"/>
      <w:szCs w:val="20"/>
    </w:rPr>
  </w:style>
  <w:style w:type="character" w:styleId="CommentReference">
    <w:name w:val="annotation reference"/>
    <w:basedOn w:val="DefaultParagraphFont"/>
    <w:uiPriority w:val="99"/>
    <w:semiHidden/>
    <w:unhideWhenUsed/>
    <w:rsid w:val="005A18C9"/>
    <w:rPr>
      <w:sz w:val="16"/>
      <w:szCs w:val="16"/>
    </w:rPr>
  </w:style>
  <w:style w:type="paragraph" w:styleId="CommentText">
    <w:name w:val="annotation text"/>
    <w:basedOn w:val="Normal"/>
    <w:link w:val="CommentTextChar"/>
    <w:uiPriority w:val="99"/>
    <w:semiHidden/>
    <w:unhideWhenUsed/>
    <w:rsid w:val="005A18C9"/>
    <w:pPr>
      <w:spacing w:line="240" w:lineRule="auto"/>
    </w:pPr>
    <w:rPr>
      <w:szCs w:val="20"/>
    </w:rPr>
  </w:style>
  <w:style w:type="character" w:customStyle="1" w:styleId="CommentTextChar">
    <w:name w:val="Comment Text Char"/>
    <w:basedOn w:val="DefaultParagraphFont"/>
    <w:link w:val="CommentText"/>
    <w:uiPriority w:val="99"/>
    <w:semiHidden/>
    <w:rsid w:val="005A18C9"/>
    <w:rPr>
      <w:rFonts w:ascii="Arial" w:hAnsi="Arial" w:cs="Arial"/>
      <w:sz w:val="20"/>
      <w:szCs w:val="20"/>
      <w:lang w:val="fr-FR"/>
    </w:rPr>
  </w:style>
  <w:style w:type="paragraph" w:styleId="CommentSubject">
    <w:name w:val="annotation subject"/>
    <w:basedOn w:val="CommentText"/>
    <w:next w:val="CommentText"/>
    <w:link w:val="CommentSubjectChar"/>
    <w:uiPriority w:val="99"/>
    <w:semiHidden/>
    <w:unhideWhenUsed/>
    <w:rsid w:val="005A18C9"/>
    <w:rPr>
      <w:b/>
      <w:bCs/>
    </w:rPr>
  </w:style>
  <w:style w:type="character" w:customStyle="1" w:styleId="CommentSubjectChar">
    <w:name w:val="Comment Subject Char"/>
    <w:basedOn w:val="CommentTextChar"/>
    <w:link w:val="CommentSubject"/>
    <w:uiPriority w:val="99"/>
    <w:semiHidden/>
    <w:rsid w:val="005A18C9"/>
    <w:rPr>
      <w:rFonts w:ascii="Arial" w:hAnsi="Arial" w:cs="Arial"/>
      <w:b/>
      <w:bCs/>
      <w:sz w:val="20"/>
      <w:szCs w:val="20"/>
      <w:lang w:val="fr-FR"/>
    </w:rPr>
  </w:style>
  <w:style w:type="paragraph" w:customStyle="1" w:styleId="Default">
    <w:name w:val="Default"/>
    <w:rsid w:val="00894BF9"/>
    <w:pPr>
      <w:autoSpaceDE w:val="0"/>
      <w:autoSpaceDN w:val="0"/>
      <w:adjustRightInd w:val="0"/>
      <w:spacing w:after="0" w:line="240" w:lineRule="auto"/>
    </w:pPr>
    <w:rPr>
      <w:rFonts w:ascii="Calibri" w:hAnsi="Calibri" w:cs="Calibri"/>
      <w:color w:val="000000"/>
      <w:sz w:val="24"/>
      <w:szCs w:val="24"/>
      <w:lang w:val="fr-FR"/>
    </w:rPr>
  </w:style>
  <w:style w:type="character" w:customStyle="1" w:styleId="font-ligatures-none">
    <w:name w:val="font-ligatures-none"/>
    <w:basedOn w:val="DefaultParagraphFont"/>
    <w:rsid w:val="00875F19"/>
  </w:style>
  <w:style w:type="character" w:styleId="Strong">
    <w:name w:val="Strong"/>
    <w:basedOn w:val="DefaultParagraphFont"/>
    <w:uiPriority w:val="22"/>
    <w:qFormat/>
    <w:rsid w:val="00875F19"/>
    <w:rPr>
      <w:b/>
      <w:bCs/>
    </w:rPr>
  </w:style>
  <w:style w:type="character" w:styleId="FollowedHyperlink">
    <w:name w:val="FollowedHyperlink"/>
    <w:basedOn w:val="DefaultParagraphFont"/>
    <w:uiPriority w:val="99"/>
    <w:semiHidden/>
    <w:unhideWhenUsed/>
    <w:rsid w:val="00BD2CFB"/>
    <w:rPr>
      <w:color w:val="800080" w:themeColor="followedHyperlink"/>
      <w:u w:val="single"/>
    </w:rPr>
  </w:style>
  <w:style w:type="character" w:styleId="Emphasis">
    <w:name w:val="Emphasis"/>
    <w:basedOn w:val="DefaultParagraphFont"/>
    <w:uiPriority w:val="20"/>
    <w:qFormat/>
    <w:rsid w:val="00423588"/>
    <w:rPr>
      <w:i/>
      <w:iCs/>
    </w:rPr>
  </w:style>
  <w:style w:type="character" w:styleId="HTMLCode">
    <w:name w:val="HTML Code"/>
    <w:basedOn w:val="DefaultParagraphFont"/>
    <w:uiPriority w:val="99"/>
    <w:semiHidden/>
    <w:unhideWhenUsed/>
    <w:rsid w:val="000455A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51555">
      <w:bodyDiv w:val="1"/>
      <w:marLeft w:val="0"/>
      <w:marRight w:val="0"/>
      <w:marTop w:val="0"/>
      <w:marBottom w:val="0"/>
      <w:divBdr>
        <w:top w:val="none" w:sz="0" w:space="0" w:color="auto"/>
        <w:left w:val="none" w:sz="0" w:space="0" w:color="auto"/>
        <w:bottom w:val="none" w:sz="0" w:space="0" w:color="auto"/>
        <w:right w:val="none" w:sz="0" w:space="0" w:color="auto"/>
      </w:divBdr>
    </w:div>
    <w:div w:id="28067951">
      <w:bodyDiv w:val="1"/>
      <w:marLeft w:val="0"/>
      <w:marRight w:val="0"/>
      <w:marTop w:val="0"/>
      <w:marBottom w:val="0"/>
      <w:divBdr>
        <w:top w:val="none" w:sz="0" w:space="0" w:color="auto"/>
        <w:left w:val="none" w:sz="0" w:space="0" w:color="auto"/>
        <w:bottom w:val="none" w:sz="0" w:space="0" w:color="auto"/>
        <w:right w:val="none" w:sz="0" w:space="0" w:color="auto"/>
      </w:divBdr>
    </w:div>
    <w:div w:id="35007628">
      <w:bodyDiv w:val="1"/>
      <w:marLeft w:val="0"/>
      <w:marRight w:val="0"/>
      <w:marTop w:val="0"/>
      <w:marBottom w:val="0"/>
      <w:divBdr>
        <w:top w:val="none" w:sz="0" w:space="0" w:color="auto"/>
        <w:left w:val="none" w:sz="0" w:space="0" w:color="auto"/>
        <w:bottom w:val="none" w:sz="0" w:space="0" w:color="auto"/>
        <w:right w:val="none" w:sz="0" w:space="0" w:color="auto"/>
      </w:divBdr>
    </w:div>
    <w:div w:id="85541697">
      <w:bodyDiv w:val="1"/>
      <w:marLeft w:val="0"/>
      <w:marRight w:val="0"/>
      <w:marTop w:val="0"/>
      <w:marBottom w:val="0"/>
      <w:divBdr>
        <w:top w:val="none" w:sz="0" w:space="0" w:color="auto"/>
        <w:left w:val="none" w:sz="0" w:space="0" w:color="auto"/>
        <w:bottom w:val="none" w:sz="0" w:space="0" w:color="auto"/>
        <w:right w:val="none" w:sz="0" w:space="0" w:color="auto"/>
      </w:divBdr>
      <w:divsChild>
        <w:div w:id="1307585155">
          <w:marLeft w:val="0"/>
          <w:marRight w:val="0"/>
          <w:marTop w:val="0"/>
          <w:marBottom w:val="0"/>
          <w:divBdr>
            <w:top w:val="none" w:sz="0" w:space="0" w:color="auto"/>
            <w:left w:val="none" w:sz="0" w:space="0" w:color="auto"/>
            <w:bottom w:val="none" w:sz="0" w:space="0" w:color="auto"/>
            <w:right w:val="none" w:sz="0" w:space="0" w:color="auto"/>
          </w:divBdr>
        </w:div>
      </w:divsChild>
    </w:div>
    <w:div w:id="86921889">
      <w:bodyDiv w:val="1"/>
      <w:marLeft w:val="0"/>
      <w:marRight w:val="0"/>
      <w:marTop w:val="0"/>
      <w:marBottom w:val="0"/>
      <w:divBdr>
        <w:top w:val="none" w:sz="0" w:space="0" w:color="auto"/>
        <w:left w:val="none" w:sz="0" w:space="0" w:color="auto"/>
        <w:bottom w:val="none" w:sz="0" w:space="0" w:color="auto"/>
        <w:right w:val="none" w:sz="0" w:space="0" w:color="auto"/>
      </w:divBdr>
    </w:div>
    <w:div w:id="105005765">
      <w:bodyDiv w:val="1"/>
      <w:marLeft w:val="0"/>
      <w:marRight w:val="0"/>
      <w:marTop w:val="0"/>
      <w:marBottom w:val="0"/>
      <w:divBdr>
        <w:top w:val="none" w:sz="0" w:space="0" w:color="auto"/>
        <w:left w:val="none" w:sz="0" w:space="0" w:color="auto"/>
        <w:bottom w:val="none" w:sz="0" w:space="0" w:color="auto"/>
        <w:right w:val="none" w:sz="0" w:space="0" w:color="auto"/>
      </w:divBdr>
    </w:div>
    <w:div w:id="105539862">
      <w:bodyDiv w:val="1"/>
      <w:marLeft w:val="0"/>
      <w:marRight w:val="0"/>
      <w:marTop w:val="0"/>
      <w:marBottom w:val="0"/>
      <w:divBdr>
        <w:top w:val="none" w:sz="0" w:space="0" w:color="auto"/>
        <w:left w:val="none" w:sz="0" w:space="0" w:color="auto"/>
        <w:bottom w:val="none" w:sz="0" w:space="0" w:color="auto"/>
        <w:right w:val="none" w:sz="0" w:space="0" w:color="auto"/>
      </w:divBdr>
    </w:div>
    <w:div w:id="135925185">
      <w:bodyDiv w:val="1"/>
      <w:marLeft w:val="0"/>
      <w:marRight w:val="0"/>
      <w:marTop w:val="0"/>
      <w:marBottom w:val="0"/>
      <w:divBdr>
        <w:top w:val="none" w:sz="0" w:space="0" w:color="auto"/>
        <w:left w:val="none" w:sz="0" w:space="0" w:color="auto"/>
        <w:bottom w:val="none" w:sz="0" w:space="0" w:color="auto"/>
        <w:right w:val="none" w:sz="0" w:space="0" w:color="auto"/>
      </w:divBdr>
    </w:div>
    <w:div w:id="141430570">
      <w:bodyDiv w:val="1"/>
      <w:marLeft w:val="0"/>
      <w:marRight w:val="0"/>
      <w:marTop w:val="0"/>
      <w:marBottom w:val="0"/>
      <w:divBdr>
        <w:top w:val="none" w:sz="0" w:space="0" w:color="auto"/>
        <w:left w:val="none" w:sz="0" w:space="0" w:color="auto"/>
        <w:bottom w:val="none" w:sz="0" w:space="0" w:color="auto"/>
        <w:right w:val="none" w:sz="0" w:space="0" w:color="auto"/>
      </w:divBdr>
    </w:div>
    <w:div w:id="152650608">
      <w:bodyDiv w:val="1"/>
      <w:marLeft w:val="0"/>
      <w:marRight w:val="0"/>
      <w:marTop w:val="0"/>
      <w:marBottom w:val="0"/>
      <w:divBdr>
        <w:top w:val="none" w:sz="0" w:space="0" w:color="auto"/>
        <w:left w:val="none" w:sz="0" w:space="0" w:color="auto"/>
        <w:bottom w:val="none" w:sz="0" w:space="0" w:color="auto"/>
        <w:right w:val="none" w:sz="0" w:space="0" w:color="auto"/>
      </w:divBdr>
    </w:div>
    <w:div w:id="153184978">
      <w:bodyDiv w:val="1"/>
      <w:marLeft w:val="0"/>
      <w:marRight w:val="0"/>
      <w:marTop w:val="0"/>
      <w:marBottom w:val="0"/>
      <w:divBdr>
        <w:top w:val="none" w:sz="0" w:space="0" w:color="auto"/>
        <w:left w:val="none" w:sz="0" w:space="0" w:color="auto"/>
        <w:bottom w:val="none" w:sz="0" w:space="0" w:color="auto"/>
        <w:right w:val="none" w:sz="0" w:space="0" w:color="auto"/>
      </w:divBdr>
    </w:div>
    <w:div w:id="159734229">
      <w:bodyDiv w:val="1"/>
      <w:marLeft w:val="0"/>
      <w:marRight w:val="0"/>
      <w:marTop w:val="0"/>
      <w:marBottom w:val="0"/>
      <w:divBdr>
        <w:top w:val="none" w:sz="0" w:space="0" w:color="auto"/>
        <w:left w:val="none" w:sz="0" w:space="0" w:color="auto"/>
        <w:bottom w:val="none" w:sz="0" w:space="0" w:color="auto"/>
        <w:right w:val="none" w:sz="0" w:space="0" w:color="auto"/>
      </w:divBdr>
    </w:div>
    <w:div w:id="183324511">
      <w:bodyDiv w:val="1"/>
      <w:marLeft w:val="0"/>
      <w:marRight w:val="0"/>
      <w:marTop w:val="0"/>
      <w:marBottom w:val="0"/>
      <w:divBdr>
        <w:top w:val="none" w:sz="0" w:space="0" w:color="auto"/>
        <w:left w:val="none" w:sz="0" w:space="0" w:color="auto"/>
        <w:bottom w:val="none" w:sz="0" w:space="0" w:color="auto"/>
        <w:right w:val="none" w:sz="0" w:space="0" w:color="auto"/>
      </w:divBdr>
    </w:div>
    <w:div w:id="191384908">
      <w:bodyDiv w:val="1"/>
      <w:marLeft w:val="0"/>
      <w:marRight w:val="0"/>
      <w:marTop w:val="0"/>
      <w:marBottom w:val="0"/>
      <w:divBdr>
        <w:top w:val="none" w:sz="0" w:space="0" w:color="auto"/>
        <w:left w:val="none" w:sz="0" w:space="0" w:color="auto"/>
        <w:bottom w:val="none" w:sz="0" w:space="0" w:color="auto"/>
        <w:right w:val="none" w:sz="0" w:space="0" w:color="auto"/>
      </w:divBdr>
    </w:div>
    <w:div w:id="198014089">
      <w:bodyDiv w:val="1"/>
      <w:marLeft w:val="0"/>
      <w:marRight w:val="0"/>
      <w:marTop w:val="0"/>
      <w:marBottom w:val="0"/>
      <w:divBdr>
        <w:top w:val="none" w:sz="0" w:space="0" w:color="auto"/>
        <w:left w:val="none" w:sz="0" w:space="0" w:color="auto"/>
        <w:bottom w:val="none" w:sz="0" w:space="0" w:color="auto"/>
        <w:right w:val="none" w:sz="0" w:space="0" w:color="auto"/>
      </w:divBdr>
      <w:divsChild>
        <w:div w:id="1235824057">
          <w:marLeft w:val="0"/>
          <w:marRight w:val="0"/>
          <w:marTop w:val="0"/>
          <w:marBottom w:val="0"/>
          <w:divBdr>
            <w:top w:val="none" w:sz="0" w:space="0" w:color="auto"/>
            <w:left w:val="none" w:sz="0" w:space="0" w:color="auto"/>
            <w:bottom w:val="none" w:sz="0" w:space="0" w:color="auto"/>
            <w:right w:val="none" w:sz="0" w:space="0" w:color="auto"/>
          </w:divBdr>
        </w:div>
        <w:div w:id="634407123">
          <w:marLeft w:val="0"/>
          <w:marRight w:val="0"/>
          <w:marTop w:val="0"/>
          <w:marBottom w:val="0"/>
          <w:divBdr>
            <w:top w:val="none" w:sz="0" w:space="0" w:color="auto"/>
            <w:left w:val="none" w:sz="0" w:space="0" w:color="auto"/>
            <w:bottom w:val="none" w:sz="0" w:space="0" w:color="auto"/>
            <w:right w:val="none" w:sz="0" w:space="0" w:color="auto"/>
          </w:divBdr>
        </w:div>
        <w:div w:id="1855074889">
          <w:marLeft w:val="0"/>
          <w:marRight w:val="0"/>
          <w:marTop w:val="0"/>
          <w:marBottom w:val="0"/>
          <w:divBdr>
            <w:top w:val="none" w:sz="0" w:space="0" w:color="auto"/>
            <w:left w:val="none" w:sz="0" w:space="0" w:color="auto"/>
            <w:bottom w:val="none" w:sz="0" w:space="0" w:color="auto"/>
            <w:right w:val="none" w:sz="0" w:space="0" w:color="auto"/>
          </w:divBdr>
        </w:div>
        <w:div w:id="767507711">
          <w:marLeft w:val="0"/>
          <w:marRight w:val="0"/>
          <w:marTop w:val="0"/>
          <w:marBottom w:val="0"/>
          <w:divBdr>
            <w:top w:val="none" w:sz="0" w:space="0" w:color="auto"/>
            <w:left w:val="none" w:sz="0" w:space="0" w:color="auto"/>
            <w:bottom w:val="none" w:sz="0" w:space="0" w:color="auto"/>
            <w:right w:val="none" w:sz="0" w:space="0" w:color="auto"/>
          </w:divBdr>
        </w:div>
        <w:div w:id="441264948">
          <w:marLeft w:val="0"/>
          <w:marRight w:val="0"/>
          <w:marTop w:val="0"/>
          <w:marBottom w:val="0"/>
          <w:divBdr>
            <w:top w:val="none" w:sz="0" w:space="0" w:color="auto"/>
            <w:left w:val="none" w:sz="0" w:space="0" w:color="auto"/>
            <w:bottom w:val="none" w:sz="0" w:space="0" w:color="auto"/>
            <w:right w:val="none" w:sz="0" w:space="0" w:color="auto"/>
          </w:divBdr>
        </w:div>
      </w:divsChild>
    </w:div>
    <w:div w:id="210113523">
      <w:bodyDiv w:val="1"/>
      <w:marLeft w:val="0"/>
      <w:marRight w:val="0"/>
      <w:marTop w:val="0"/>
      <w:marBottom w:val="0"/>
      <w:divBdr>
        <w:top w:val="none" w:sz="0" w:space="0" w:color="auto"/>
        <w:left w:val="none" w:sz="0" w:space="0" w:color="auto"/>
        <w:bottom w:val="none" w:sz="0" w:space="0" w:color="auto"/>
        <w:right w:val="none" w:sz="0" w:space="0" w:color="auto"/>
      </w:divBdr>
    </w:div>
    <w:div w:id="252931529">
      <w:bodyDiv w:val="1"/>
      <w:marLeft w:val="0"/>
      <w:marRight w:val="0"/>
      <w:marTop w:val="0"/>
      <w:marBottom w:val="0"/>
      <w:divBdr>
        <w:top w:val="none" w:sz="0" w:space="0" w:color="auto"/>
        <w:left w:val="none" w:sz="0" w:space="0" w:color="auto"/>
        <w:bottom w:val="none" w:sz="0" w:space="0" w:color="auto"/>
        <w:right w:val="none" w:sz="0" w:space="0" w:color="auto"/>
      </w:divBdr>
    </w:div>
    <w:div w:id="270405204">
      <w:bodyDiv w:val="1"/>
      <w:marLeft w:val="0"/>
      <w:marRight w:val="0"/>
      <w:marTop w:val="0"/>
      <w:marBottom w:val="0"/>
      <w:divBdr>
        <w:top w:val="none" w:sz="0" w:space="0" w:color="auto"/>
        <w:left w:val="none" w:sz="0" w:space="0" w:color="auto"/>
        <w:bottom w:val="none" w:sz="0" w:space="0" w:color="auto"/>
        <w:right w:val="none" w:sz="0" w:space="0" w:color="auto"/>
      </w:divBdr>
    </w:div>
    <w:div w:id="286008606">
      <w:bodyDiv w:val="1"/>
      <w:marLeft w:val="0"/>
      <w:marRight w:val="0"/>
      <w:marTop w:val="0"/>
      <w:marBottom w:val="0"/>
      <w:divBdr>
        <w:top w:val="none" w:sz="0" w:space="0" w:color="auto"/>
        <w:left w:val="none" w:sz="0" w:space="0" w:color="auto"/>
        <w:bottom w:val="none" w:sz="0" w:space="0" w:color="auto"/>
        <w:right w:val="none" w:sz="0" w:space="0" w:color="auto"/>
      </w:divBdr>
    </w:div>
    <w:div w:id="337929209">
      <w:bodyDiv w:val="1"/>
      <w:marLeft w:val="0"/>
      <w:marRight w:val="0"/>
      <w:marTop w:val="0"/>
      <w:marBottom w:val="0"/>
      <w:divBdr>
        <w:top w:val="none" w:sz="0" w:space="0" w:color="auto"/>
        <w:left w:val="none" w:sz="0" w:space="0" w:color="auto"/>
        <w:bottom w:val="none" w:sz="0" w:space="0" w:color="auto"/>
        <w:right w:val="none" w:sz="0" w:space="0" w:color="auto"/>
      </w:divBdr>
    </w:div>
    <w:div w:id="339746586">
      <w:bodyDiv w:val="1"/>
      <w:marLeft w:val="0"/>
      <w:marRight w:val="0"/>
      <w:marTop w:val="0"/>
      <w:marBottom w:val="0"/>
      <w:divBdr>
        <w:top w:val="none" w:sz="0" w:space="0" w:color="auto"/>
        <w:left w:val="none" w:sz="0" w:space="0" w:color="auto"/>
        <w:bottom w:val="none" w:sz="0" w:space="0" w:color="auto"/>
        <w:right w:val="none" w:sz="0" w:space="0" w:color="auto"/>
      </w:divBdr>
    </w:div>
    <w:div w:id="370762797">
      <w:bodyDiv w:val="1"/>
      <w:marLeft w:val="0"/>
      <w:marRight w:val="0"/>
      <w:marTop w:val="0"/>
      <w:marBottom w:val="0"/>
      <w:divBdr>
        <w:top w:val="none" w:sz="0" w:space="0" w:color="auto"/>
        <w:left w:val="none" w:sz="0" w:space="0" w:color="auto"/>
        <w:bottom w:val="none" w:sz="0" w:space="0" w:color="auto"/>
        <w:right w:val="none" w:sz="0" w:space="0" w:color="auto"/>
      </w:divBdr>
    </w:div>
    <w:div w:id="379551238">
      <w:bodyDiv w:val="1"/>
      <w:marLeft w:val="0"/>
      <w:marRight w:val="0"/>
      <w:marTop w:val="0"/>
      <w:marBottom w:val="0"/>
      <w:divBdr>
        <w:top w:val="none" w:sz="0" w:space="0" w:color="auto"/>
        <w:left w:val="none" w:sz="0" w:space="0" w:color="auto"/>
        <w:bottom w:val="none" w:sz="0" w:space="0" w:color="auto"/>
        <w:right w:val="none" w:sz="0" w:space="0" w:color="auto"/>
      </w:divBdr>
    </w:div>
    <w:div w:id="400753868">
      <w:bodyDiv w:val="1"/>
      <w:marLeft w:val="0"/>
      <w:marRight w:val="0"/>
      <w:marTop w:val="0"/>
      <w:marBottom w:val="0"/>
      <w:divBdr>
        <w:top w:val="none" w:sz="0" w:space="0" w:color="auto"/>
        <w:left w:val="none" w:sz="0" w:space="0" w:color="auto"/>
        <w:bottom w:val="none" w:sz="0" w:space="0" w:color="auto"/>
        <w:right w:val="none" w:sz="0" w:space="0" w:color="auto"/>
      </w:divBdr>
    </w:div>
    <w:div w:id="404105346">
      <w:bodyDiv w:val="1"/>
      <w:marLeft w:val="0"/>
      <w:marRight w:val="0"/>
      <w:marTop w:val="0"/>
      <w:marBottom w:val="0"/>
      <w:divBdr>
        <w:top w:val="none" w:sz="0" w:space="0" w:color="auto"/>
        <w:left w:val="none" w:sz="0" w:space="0" w:color="auto"/>
        <w:bottom w:val="none" w:sz="0" w:space="0" w:color="auto"/>
        <w:right w:val="none" w:sz="0" w:space="0" w:color="auto"/>
      </w:divBdr>
    </w:div>
    <w:div w:id="407924436">
      <w:bodyDiv w:val="1"/>
      <w:marLeft w:val="0"/>
      <w:marRight w:val="0"/>
      <w:marTop w:val="0"/>
      <w:marBottom w:val="0"/>
      <w:divBdr>
        <w:top w:val="none" w:sz="0" w:space="0" w:color="auto"/>
        <w:left w:val="none" w:sz="0" w:space="0" w:color="auto"/>
        <w:bottom w:val="none" w:sz="0" w:space="0" w:color="auto"/>
        <w:right w:val="none" w:sz="0" w:space="0" w:color="auto"/>
      </w:divBdr>
    </w:div>
    <w:div w:id="420031981">
      <w:bodyDiv w:val="1"/>
      <w:marLeft w:val="0"/>
      <w:marRight w:val="0"/>
      <w:marTop w:val="0"/>
      <w:marBottom w:val="0"/>
      <w:divBdr>
        <w:top w:val="none" w:sz="0" w:space="0" w:color="auto"/>
        <w:left w:val="none" w:sz="0" w:space="0" w:color="auto"/>
        <w:bottom w:val="none" w:sz="0" w:space="0" w:color="auto"/>
        <w:right w:val="none" w:sz="0" w:space="0" w:color="auto"/>
      </w:divBdr>
    </w:div>
    <w:div w:id="468088076">
      <w:bodyDiv w:val="1"/>
      <w:marLeft w:val="0"/>
      <w:marRight w:val="0"/>
      <w:marTop w:val="0"/>
      <w:marBottom w:val="0"/>
      <w:divBdr>
        <w:top w:val="none" w:sz="0" w:space="0" w:color="auto"/>
        <w:left w:val="none" w:sz="0" w:space="0" w:color="auto"/>
        <w:bottom w:val="none" w:sz="0" w:space="0" w:color="auto"/>
        <w:right w:val="none" w:sz="0" w:space="0" w:color="auto"/>
      </w:divBdr>
    </w:div>
    <w:div w:id="469714086">
      <w:bodyDiv w:val="1"/>
      <w:marLeft w:val="0"/>
      <w:marRight w:val="0"/>
      <w:marTop w:val="0"/>
      <w:marBottom w:val="0"/>
      <w:divBdr>
        <w:top w:val="none" w:sz="0" w:space="0" w:color="auto"/>
        <w:left w:val="none" w:sz="0" w:space="0" w:color="auto"/>
        <w:bottom w:val="none" w:sz="0" w:space="0" w:color="auto"/>
        <w:right w:val="none" w:sz="0" w:space="0" w:color="auto"/>
      </w:divBdr>
    </w:div>
    <w:div w:id="548617131">
      <w:bodyDiv w:val="1"/>
      <w:marLeft w:val="0"/>
      <w:marRight w:val="0"/>
      <w:marTop w:val="0"/>
      <w:marBottom w:val="0"/>
      <w:divBdr>
        <w:top w:val="none" w:sz="0" w:space="0" w:color="auto"/>
        <w:left w:val="none" w:sz="0" w:space="0" w:color="auto"/>
        <w:bottom w:val="none" w:sz="0" w:space="0" w:color="auto"/>
        <w:right w:val="none" w:sz="0" w:space="0" w:color="auto"/>
      </w:divBdr>
    </w:div>
    <w:div w:id="548806825">
      <w:bodyDiv w:val="1"/>
      <w:marLeft w:val="0"/>
      <w:marRight w:val="0"/>
      <w:marTop w:val="0"/>
      <w:marBottom w:val="0"/>
      <w:divBdr>
        <w:top w:val="none" w:sz="0" w:space="0" w:color="auto"/>
        <w:left w:val="none" w:sz="0" w:space="0" w:color="auto"/>
        <w:bottom w:val="none" w:sz="0" w:space="0" w:color="auto"/>
        <w:right w:val="none" w:sz="0" w:space="0" w:color="auto"/>
      </w:divBdr>
    </w:div>
    <w:div w:id="551232887">
      <w:bodyDiv w:val="1"/>
      <w:marLeft w:val="0"/>
      <w:marRight w:val="0"/>
      <w:marTop w:val="0"/>
      <w:marBottom w:val="0"/>
      <w:divBdr>
        <w:top w:val="none" w:sz="0" w:space="0" w:color="auto"/>
        <w:left w:val="none" w:sz="0" w:space="0" w:color="auto"/>
        <w:bottom w:val="none" w:sz="0" w:space="0" w:color="auto"/>
        <w:right w:val="none" w:sz="0" w:space="0" w:color="auto"/>
      </w:divBdr>
    </w:div>
    <w:div w:id="552622971">
      <w:bodyDiv w:val="1"/>
      <w:marLeft w:val="0"/>
      <w:marRight w:val="0"/>
      <w:marTop w:val="0"/>
      <w:marBottom w:val="0"/>
      <w:divBdr>
        <w:top w:val="none" w:sz="0" w:space="0" w:color="auto"/>
        <w:left w:val="none" w:sz="0" w:space="0" w:color="auto"/>
        <w:bottom w:val="none" w:sz="0" w:space="0" w:color="auto"/>
        <w:right w:val="none" w:sz="0" w:space="0" w:color="auto"/>
      </w:divBdr>
    </w:div>
    <w:div w:id="553932554">
      <w:bodyDiv w:val="1"/>
      <w:marLeft w:val="0"/>
      <w:marRight w:val="0"/>
      <w:marTop w:val="0"/>
      <w:marBottom w:val="0"/>
      <w:divBdr>
        <w:top w:val="none" w:sz="0" w:space="0" w:color="auto"/>
        <w:left w:val="none" w:sz="0" w:space="0" w:color="auto"/>
        <w:bottom w:val="none" w:sz="0" w:space="0" w:color="auto"/>
        <w:right w:val="none" w:sz="0" w:space="0" w:color="auto"/>
      </w:divBdr>
      <w:divsChild>
        <w:div w:id="1691057462">
          <w:marLeft w:val="0"/>
          <w:marRight w:val="0"/>
          <w:marTop w:val="0"/>
          <w:marBottom w:val="0"/>
          <w:divBdr>
            <w:top w:val="none" w:sz="0" w:space="0" w:color="auto"/>
            <w:left w:val="none" w:sz="0" w:space="0" w:color="auto"/>
            <w:bottom w:val="none" w:sz="0" w:space="0" w:color="auto"/>
            <w:right w:val="none" w:sz="0" w:space="0" w:color="auto"/>
          </w:divBdr>
        </w:div>
      </w:divsChild>
    </w:div>
    <w:div w:id="595286338">
      <w:bodyDiv w:val="1"/>
      <w:marLeft w:val="0"/>
      <w:marRight w:val="0"/>
      <w:marTop w:val="0"/>
      <w:marBottom w:val="0"/>
      <w:divBdr>
        <w:top w:val="none" w:sz="0" w:space="0" w:color="auto"/>
        <w:left w:val="none" w:sz="0" w:space="0" w:color="auto"/>
        <w:bottom w:val="none" w:sz="0" w:space="0" w:color="auto"/>
        <w:right w:val="none" w:sz="0" w:space="0" w:color="auto"/>
      </w:divBdr>
    </w:div>
    <w:div w:id="610208848">
      <w:bodyDiv w:val="1"/>
      <w:marLeft w:val="0"/>
      <w:marRight w:val="0"/>
      <w:marTop w:val="0"/>
      <w:marBottom w:val="0"/>
      <w:divBdr>
        <w:top w:val="none" w:sz="0" w:space="0" w:color="auto"/>
        <w:left w:val="none" w:sz="0" w:space="0" w:color="auto"/>
        <w:bottom w:val="none" w:sz="0" w:space="0" w:color="auto"/>
        <w:right w:val="none" w:sz="0" w:space="0" w:color="auto"/>
      </w:divBdr>
    </w:div>
    <w:div w:id="655304546">
      <w:bodyDiv w:val="1"/>
      <w:marLeft w:val="0"/>
      <w:marRight w:val="0"/>
      <w:marTop w:val="0"/>
      <w:marBottom w:val="0"/>
      <w:divBdr>
        <w:top w:val="none" w:sz="0" w:space="0" w:color="auto"/>
        <w:left w:val="none" w:sz="0" w:space="0" w:color="auto"/>
        <w:bottom w:val="none" w:sz="0" w:space="0" w:color="auto"/>
        <w:right w:val="none" w:sz="0" w:space="0" w:color="auto"/>
      </w:divBdr>
    </w:div>
    <w:div w:id="705448437">
      <w:bodyDiv w:val="1"/>
      <w:marLeft w:val="0"/>
      <w:marRight w:val="0"/>
      <w:marTop w:val="0"/>
      <w:marBottom w:val="0"/>
      <w:divBdr>
        <w:top w:val="none" w:sz="0" w:space="0" w:color="auto"/>
        <w:left w:val="none" w:sz="0" w:space="0" w:color="auto"/>
        <w:bottom w:val="none" w:sz="0" w:space="0" w:color="auto"/>
        <w:right w:val="none" w:sz="0" w:space="0" w:color="auto"/>
      </w:divBdr>
    </w:div>
    <w:div w:id="736971887">
      <w:bodyDiv w:val="1"/>
      <w:marLeft w:val="0"/>
      <w:marRight w:val="0"/>
      <w:marTop w:val="0"/>
      <w:marBottom w:val="0"/>
      <w:divBdr>
        <w:top w:val="none" w:sz="0" w:space="0" w:color="auto"/>
        <w:left w:val="none" w:sz="0" w:space="0" w:color="auto"/>
        <w:bottom w:val="none" w:sz="0" w:space="0" w:color="auto"/>
        <w:right w:val="none" w:sz="0" w:space="0" w:color="auto"/>
      </w:divBdr>
      <w:divsChild>
        <w:div w:id="11424228">
          <w:marLeft w:val="0"/>
          <w:marRight w:val="0"/>
          <w:marTop w:val="0"/>
          <w:marBottom w:val="0"/>
          <w:divBdr>
            <w:top w:val="none" w:sz="0" w:space="0" w:color="auto"/>
            <w:left w:val="none" w:sz="0" w:space="0" w:color="auto"/>
            <w:bottom w:val="none" w:sz="0" w:space="0" w:color="auto"/>
            <w:right w:val="none" w:sz="0" w:space="0" w:color="auto"/>
          </w:divBdr>
        </w:div>
      </w:divsChild>
    </w:div>
    <w:div w:id="742869548">
      <w:bodyDiv w:val="1"/>
      <w:marLeft w:val="0"/>
      <w:marRight w:val="0"/>
      <w:marTop w:val="0"/>
      <w:marBottom w:val="0"/>
      <w:divBdr>
        <w:top w:val="none" w:sz="0" w:space="0" w:color="auto"/>
        <w:left w:val="none" w:sz="0" w:space="0" w:color="auto"/>
        <w:bottom w:val="none" w:sz="0" w:space="0" w:color="auto"/>
        <w:right w:val="none" w:sz="0" w:space="0" w:color="auto"/>
      </w:divBdr>
    </w:div>
    <w:div w:id="760376032">
      <w:bodyDiv w:val="1"/>
      <w:marLeft w:val="0"/>
      <w:marRight w:val="0"/>
      <w:marTop w:val="0"/>
      <w:marBottom w:val="0"/>
      <w:divBdr>
        <w:top w:val="none" w:sz="0" w:space="0" w:color="auto"/>
        <w:left w:val="none" w:sz="0" w:space="0" w:color="auto"/>
        <w:bottom w:val="none" w:sz="0" w:space="0" w:color="auto"/>
        <w:right w:val="none" w:sz="0" w:space="0" w:color="auto"/>
      </w:divBdr>
    </w:div>
    <w:div w:id="789590453">
      <w:bodyDiv w:val="1"/>
      <w:marLeft w:val="0"/>
      <w:marRight w:val="0"/>
      <w:marTop w:val="0"/>
      <w:marBottom w:val="0"/>
      <w:divBdr>
        <w:top w:val="none" w:sz="0" w:space="0" w:color="auto"/>
        <w:left w:val="none" w:sz="0" w:space="0" w:color="auto"/>
        <w:bottom w:val="none" w:sz="0" w:space="0" w:color="auto"/>
        <w:right w:val="none" w:sz="0" w:space="0" w:color="auto"/>
      </w:divBdr>
    </w:div>
    <w:div w:id="798306268">
      <w:bodyDiv w:val="1"/>
      <w:marLeft w:val="0"/>
      <w:marRight w:val="0"/>
      <w:marTop w:val="0"/>
      <w:marBottom w:val="0"/>
      <w:divBdr>
        <w:top w:val="none" w:sz="0" w:space="0" w:color="auto"/>
        <w:left w:val="none" w:sz="0" w:space="0" w:color="auto"/>
        <w:bottom w:val="none" w:sz="0" w:space="0" w:color="auto"/>
        <w:right w:val="none" w:sz="0" w:space="0" w:color="auto"/>
      </w:divBdr>
    </w:div>
    <w:div w:id="807043052">
      <w:bodyDiv w:val="1"/>
      <w:marLeft w:val="0"/>
      <w:marRight w:val="0"/>
      <w:marTop w:val="0"/>
      <w:marBottom w:val="0"/>
      <w:divBdr>
        <w:top w:val="none" w:sz="0" w:space="0" w:color="auto"/>
        <w:left w:val="none" w:sz="0" w:space="0" w:color="auto"/>
        <w:bottom w:val="none" w:sz="0" w:space="0" w:color="auto"/>
        <w:right w:val="none" w:sz="0" w:space="0" w:color="auto"/>
      </w:divBdr>
    </w:div>
    <w:div w:id="813565911">
      <w:bodyDiv w:val="1"/>
      <w:marLeft w:val="0"/>
      <w:marRight w:val="0"/>
      <w:marTop w:val="0"/>
      <w:marBottom w:val="0"/>
      <w:divBdr>
        <w:top w:val="none" w:sz="0" w:space="0" w:color="auto"/>
        <w:left w:val="none" w:sz="0" w:space="0" w:color="auto"/>
        <w:bottom w:val="none" w:sz="0" w:space="0" w:color="auto"/>
        <w:right w:val="none" w:sz="0" w:space="0" w:color="auto"/>
      </w:divBdr>
    </w:div>
    <w:div w:id="822431464">
      <w:bodyDiv w:val="1"/>
      <w:marLeft w:val="0"/>
      <w:marRight w:val="0"/>
      <w:marTop w:val="0"/>
      <w:marBottom w:val="0"/>
      <w:divBdr>
        <w:top w:val="none" w:sz="0" w:space="0" w:color="auto"/>
        <w:left w:val="none" w:sz="0" w:space="0" w:color="auto"/>
        <w:bottom w:val="none" w:sz="0" w:space="0" w:color="auto"/>
        <w:right w:val="none" w:sz="0" w:space="0" w:color="auto"/>
      </w:divBdr>
    </w:div>
    <w:div w:id="851527485">
      <w:bodyDiv w:val="1"/>
      <w:marLeft w:val="0"/>
      <w:marRight w:val="0"/>
      <w:marTop w:val="0"/>
      <w:marBottom w:val="0"/>
      <w:divBdr>
        <w:top w:val="none" w:sz="0" w:space="0" w:color="auto"/>
        <w:left w:val="none" w:sz="0" w:space="0" w:color="auto"/>
        <w:bottom w:val="none" w:sz="0" w:space="0" w:color="auto"/>
        <w:right w:val="none" w:sz="0" w:space="0" w:color="auto"/>
      </w:divBdr>
      <w:divsChild>
        <w:div w:id="106697837">
          <w:marLeft w:val="0"/>
          <w:marRight w:val="0"/>
          <w:marTop w:val="0"/>
          <w:marBottom w:val="0"/>
          <w:divBdr>
            <w:top w:val="none" w:sz="0" w:space="0" w:color="auto"/>
            <w:left w:val="none" w:sz="0" w:space="0" w:color="auto"/>
            <w:bottom w:val="none" w:sz="0" w:space="0" w:color="auto"/>
            <w:right w:val="none" w:sz="0" w:space="0" w:color="auto"/>
          </w:divBdr>
        </w:div>
      </w:divsChild>
    </w:div>
    <w:div w:id="856890402">
      <w:bodyDiv w:val="1"/>
      <w:marLeft w:val="0"/>
      <w:marRight w:val="0"/>
      <w:marTop w:val="0"/>
      <w:marBottom w:val="0"/>
      <w:divBdr>
        <w:top w:val="none" w:sz="0" w:space="0" w:color="auto"/>
        <w:left w:val="none" w:sz="0" w:space="0" w:color="auto"/>
        <w:bottom w:val="none" w:sz="0" w:space="0" w:color="auto"/>
        <w:right w:val="none" w:sz="0" w:space="0" w:color="auto"/>
      </w:divBdr>
    </w:div>
    <w:div w:id="870531210">
      <w:bodyDiv w:val="1"/>
      <w:marLeft w:val="0"/>
      <w:marRight w:val="0"/>
      <w:marTop w:val="0"/>
      <w:marBottom w:val="0"/>
      <w:divBdr>
        <w:top w:val="none" w:sz="0" w:space="0" w:color="auto"/>
        <w:left w:val="none" w:sz="0" w:space="0" w:color="auto"/>
        <w:bottom w:val="none" w:sz="0" w:space="0" w:color="auto"/>
        <w:right w:val="none" w:sz="0" w:space="0" w:color="auto"/>
      </w:divBdr>
      <w:divsChild>
        <w:div w:id="1948998510">
          <w:marLeft w:val="0"/>
          <w:marRight w:val="0"/>
          <w:marTop w:val="0"/>
          <w:marBottom w:val="0"/>
          <w:divBdr>
            <w:top w:val="none" w:sz="0" w:space="0" w:color="auto"/>
            <w:left w:val="none" w:sz="0" w:space="0" w:color="auto"/>
            <w:bottom w:val="none" w:sz="0" w:space="0" w:color="auto"/>
            <w:right w:val="none" w:sz="0" w:space="0" w:color="auto"/>
          </w:divBdr>
          <w:divsChild>
            <w:div w:id="348722531">
              <w:marLeft w:val="0"/>
              <w:marRight w:val="0"/>
              <w:marTop w:val="0"/>
              <w:marBottom w:val="0"/>
              <w:divBdr>
                <w:top w:val="none" w:sz="0" w:space="0" w:color="auto"/>
                <w:left w:val="none" w:sz="0" w:space="0" w:color="auto"/>
                <w:bottom w:val="none" w:sz="0" w:space="0" w:color="auto"/>
                <w:right w:val="none" w:sz="0" w:space="0" w:color="auto"/>
              </w:divBdr>
              <w:divsChild>
                <w:div w:id="1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465772">
      <w:bodyDiv w:val="1"/>
      <w:marLeft w:val="0"/>
      <w:marRight w:val="0"/>
      <w:marTop w:val="0"/>
      <w:marBottom w:val="0"/>
      <w:divBdr>
        <w:top w:val="none" w:sz="0" w:space="0" w:color="auto"/>
        <w:left w:val="none" w:sz="0" w:space="0" w:color="auto"/>
        <w:bottom w:val="none" w:sz="0" w:space="0" w:color="auto"/>
        <w:right w:val="none" w:sz="0" w:space="0" w:color="auto"/>
      </w:divBdr>
    </w:div>
    <w:div w:id="885140973">
      <w:bodyDiv w:val="1"/>
      <w:marLeft w:val="0"/>
      <w:marRight w:val="0"/>
      <w:marTop w:val="0"/>
      <w:marBottom w:val="0"/>
      <w:divBdr>
        <w:top w:val="none" w:sz="0" w:space="0" w:color="auto"/>
        <w:left w:val="none" w:sz="0" w:space="0" w:color="auto"/>
        <w:bottom w:val="none" w:sz="0" w:space="0" w:color="auto"/>
        <w:right w:val="none" w:sz="0" w:space="0" w:color="auto"/>
      </w:divBdr>
    </w:div>
    <w:div w:id="897937424">
      <w:bodyDiv w:val="1"/>
      <w:marLeft w:val="0"/>
      <w:marRight w:val="0"/>
      <w:marTop w:val="0"/>
      <w:marBottom w:val="0"/>
      <w:divBdr>
        <w:top w:val="none" w:sz="0" w:space="0" w:color="auto"/>
        <w:left w:val="none" w:sz="0" w:space="0" w:color="auto"/>
        <w:bottom w:val="none" w:sz="0" w:space="0" w:color="auto"/>
        <w:right w:val="none" w:sz="0" w:space="0" w:color="auto"/>
      </w:divBdr>
    </w:div>
    <w:div w:id="899943668">
      <w:bodyDiv w:val="1"/>
      <w:marLeft w:val="0"/>
      <w:marRight w:val="0"/>
      <w:marTop w:val="0"/>
      <w:marBottom w:val="0"/>
      <w:divBdr>
        <w:top w:val="none" w:sz="0" w:space="0" w:color="auto"/>
        <w:left w:val="none" w:sz="0" w:space="0" w:color="auto"/>
        <w:bottom w:val="none" w:sz="0" w:space="0" w:color="auto"/>
        <w:right w:val="none" w:sz="0" w:space="0" w:color="auto"/>
      </w:divBdr>
    </w:div>
    <w:div w:id="901793483">
      <w:bodyDiv w:val="1"/>
      <w:marLeft w:val="0"/>
      <w:marRight w:val="0"/>
      <w:marTop w:val="0"/>
      <w:marBottom w:val="0"/>
      <w:divBdr>
        <w:top w:val="none" w:sz="0" w:space="0" w:color="auto"/>
        <w:left w:val="none" w:sz="0" w:space="0" w:color="auto"/>
        <w:bottom w:val="none" w:sz="0" w:space="0" w:color="auto"/>
        <w:right w:val="none" w:sz="0" w:space="0" w:color="auto"/>
      </w:divBdr>
    </w:div>
    <w:div w:id="902984428">
      <w:bodyDiv w:val="1"/>
      <w:marLeft w:val="0"/>
      <w:marRight w:val="0"/>
      <w:marTop w:val="0"/>
      <w:marBottom w:val="0"/>
      <w:divBdr>
        <w:top w:val="none" w:sz="0" w:space="0" w:color="auto"/>
        <w:left w:val="none" w:sz="0" w:space="0" w:color="auto"/>
        <w:bottom w:val="none" w:sz="0" w:space="0" w:color="auto"/>
        <w:right w:val="none" w:sz="0" w:space="0" w:color="auto"/>
      </w:divBdr>
    </w:div>
    <w:div w:id="903370232">
      <w:bodyDiv w:val="1"/>
      <w:marLeft w:val="0"/>
      <w:marRight w:val="0"/>
      <w:marTop w:val="0"/>
      <w:marBottom w:val="0"/>
      <w:divBdr>
        <w:top w:val="none" w:sz="0" w:space="0" w:color="auto"/>
        <w:left w:val="none" w:sz="0" w:space="0" w:color="auto"/>
        <w:bottom w:val="none" w:sz="0" w:space="0" w:color="auto"/>
        <w:right w:val="none" w:sz="0" w:space="0" w:color="auto"/>
      </w:divBdr>
      <w:divsChild>
        <w:div w:id="749814801">
          <w:marLeft w:val="0"/>
          <w:marRight w:val="0"/>
          <w:marTop w:val="0"/>
          <w:marBottom w:val="0"/>
          <w:divBdr>
            <w:top w:val="none" w:sz="0" w:space="0" w:color="auto"/>
            <w:left w:val="none" w:sz="0" w:space="0" w:color="auto"/>
            <w:bottom w:val="none" w:sz="0" w:space="0" w:color="auto"/>
            <w:right w:val="none" w:sz="0" w:space="0" w:color="auto"/>
          </w:divBdr>
          <w:divsChild>
            <w:div w:id="1031960088">
              <w:marLeft w:val="0"/>
              <w:marRight w:val="0"/>
              <w:marTop w:val="0"/>
              <w:marBottom w:val="0"/>
              <w:divBdr>
                <w:top w:val="none" w:sz="0" w:space="0" w:color="auto"/>
                <w:left w:val="none" w:sz="0" w:space="0" w:color="auto"/>
                <w:bottom w:val="none" w:sz="0" w:space="0" w:color="auto"/>
                <w:right w:val="none" w:sz="0" w:space="0" w:color="auto"/>
              </w:divBdr>
            </w:div>
          </w:divsChild>
        </w:div>
        <w:div w:id="1871064251">
          <w:marLeft w:val="0"/>
          <w:marRight w:val="0"/>
          <w:marTop w:val="0"/>
          <w:marBottom w:val="0"/>
          <w:divBdr>
            <w:top w:val="none" w:sz="0" w:space="0" w:color="auto"/>
            <w:left w:val="none" w:sz="0" w:space="0" w:color="auto"/>
            <w:bottom w:val="none" w:sz="0" w:space="0" w:color="auto"/>
            <w:right w:val="none" w:sz="0" w:space="0" w:color="auto"/>
          </w:divBdr>
          <w:divsChild>
            <w:div w:id="1811632517">
              <w:marLeft w:val="0"/>
              <w:marRight w:val="0"/>
              <w:marTop w:val="0"/>
              <w:marBottom w:val="0"/>
              <w:divBdr>
                <w:top w:val="none" w:sz="0" w:space="0" w:color="auto"/>
                <w:left w:val="none" w:sz="0" w:space="0" w:color="auto"/>
                <w:bottom w:val="none" w:sz="0" w:space="0" w:color="auto"/>
                <w:right w:val="none" w:sz="0" w:space="0" w:color="auto"/>
              </w:divBdr>
            </w:div>
          </w:divsChild>
        </w:div>
        <w:div w:id="1702121303">
          <w:marLeft w:val="0"/>
          <w:marRight w:val="0"/>
          <w:marTop w:val="0"/>
          <w:marBottom w:val="0"/>
          <w:divBdr>
            <w:top w:val="none" w:sz="0" w:space="0" w:color="auto"/>
            <w:left w:val="none" w:sz="0" w:space="0" w:color="auto"/>
            <w:bottom w:val="none" w:sz="0" w:space="0" w:color="auto"/>
            <w:right w:val="none" w:sz="0" w:space="0" w:color="auto"/>
          </w:divBdr>
          <w:divsChild>
            <w:div w:id="432866434">
              <w:marLeft w:val="0"/>
              <w:marRight w:val="0"/>
              <w:marTop w:val="0"/>
              <w:marBottom w:val="0"/>
              <w:divBdr>
                <w:top w:val="none" w:sz="0" w:space="0" w:color="auto"/>
                <w:left w:val="none" w:sz="0" w:space="0" w:color="auto"/>
                <w:bottom w:val="none" w:sz="0" w:space="0" w:color="auto"/>
                <w:right w:val="none" w:sz="0" w:space="0" w:color="auto"/>
              </w:divBdr>
            </w:div>
          </w:divsChild>
        </w:div>
        <w:div w:id="439104587">
          <w:marLeft w:val="0"/>
          <w:marRight w:val="0"/>
          <w:marTop w:val="0"/>
          <w:marBottom w:val="0"/>
          <w:divBdr>
            <w:top w:val="none" w:sz="0" w:space="0" w:color="auto"/>
            <w:left w:val="none" w:sz="0" w:space="0" w:color="auto"/>
            <w:bottom w:val="none" w:sz="0" w:space="0" w:color="auto"/>
            <w:right w:val="none" w:sz="0" w:space="0" w:color="auto"/>
          </w:divBdr>
          <w:divsChild>
            <w:div w:id="1478104613">
              <w:marLeft w:val="0"/>
              <w:marRight w:val="0"/>
              <w:marTop w:val="0"/>
              <w:marBottom w:val="0"/>
              <w:divBdr>
                <w:top w:val="none" w:sz="0" w:space="0" w:color="auto"/>
                <w:left w:val="none" w:sz="0" w:space="0" w:color="auto"/>
                <w:bottom w:val="none" w:sz="0" w:space="0" w:color="auto"/>
                <w:right w:val="none" w:sz="0" w:space="0" w:color="auto"/>
              </w:divBdr>
            </w:div>
          </w:divsChild>
        </w:div>
        <w:div w:id="351955919">
          <w:marLeft w:val="0"/>
          <w:marRight w:val="0"/>
          <w:marTop w:val="0"/>
          <w:marBottom w:val="0"/>
          <w:divBdr>
            <w:top w:val="none" w:sz="0" w:space="0" w:color="auto"/>
            <w:left w:val="none" w:sz="0" w:space="0" w:color="auto"/>
            <w:bottom w:val="none" w:sz="0" w:space="0" w:color="auto"/>
            <w:right w:val="none" w:sz="0" w:space="0" w:color="auto"/>
          </w:divBdr>
          <w:divsChild>
            <w:div w:id="1761637865">
              <w:marLeft w:val="0"/>
              <w:marRight w:val="0"/>
              <w:marTop w:val="0"/>
              <w:marBottom w:val="0"/>
              <w:divBdr>
                <w:top w:val="none" w:sz="0" w:space="0" w:color="auto"/>
                <w:left w:val="none" w:sz="0" w:space="0" w:color="auto"/>
                <w:bottom w:val="none" w:sz="0" w:space="0" w:color="auto"/>
                <w:right w:val="none" w:sz="0" w:space="0" w:color="auto"/>
              </w:divBdr>
            </w:div>
          </w:divsChild>
        </w:div>
        <w:div w:id="1548298491">
          <w:marLeft w:val="0"/>
          <w:marRight w:val="0"/>
          <w:marTop w:val="0"/>
          <w:marBottom w:val="0"/>
          <w:divBdr>
            <w:top w:val="none" w:sz="0" w:space="0" w:color="auto"/>
            <w:left w:val="none" w:sz="0" w:space="0" w:color="auto"/>
            <w:bottom w:val="none" w:sz="0" w:space="0" w:color="auto"/>
            <w:right w:val="none" w:sz="0" w:space="0" w:color="auto"/>
          </w:divBdr>
          <w:divsChild>
            <w:div w:id="7578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21966">
      <w:bodyDiv w:val="1"/>
      <w:marLeft w:val="0"/>
      <w:marRight w:val="0"/>
      <w:marTop w:val="0"/>
      <w:marBottom w:val="0"/>
      <w:divBdr>
        <w:top w:val="none" w:sz="0" w:space="0" w:color="auto"/>
        <w:left w:val="none" w:sz="0" w:space="0" w:color="auto"/>
        <w:bottom w:val="none" w:sz="0" w:space="0" w:color="auto"/>
        <w:right w:val="none" w:sz="0" w:space="0" w:color="auto"/>
      </w:divBdr>
      <w:divsChild>
        <w:div w:id="1442140669">
          <w:marLeft w:val="0"/>
          <w:marRight w:val="0"/>
          <w:marTop w:val="0"/>
          <w:marBottom w:val="0"/>
          <w:divBdr>
            <w:top w:val="none" w:sz="0" w:space="0" w:color="auto"/>
            <w:left w:val="none" w:sz="0" w:space="0" w:color="auto"/>
            <w:bottom w:val="none" w:sz="0" w:space="0" w:color="auto"/>
            <w:right w:val="none" w:sz="0" w:space="0" w:color="auto"/>
          </w:divBdr>
          <w:divsChild>
            <w:div w:id="1469125198">
              <w:marLeft w:val="0"/>
              <w:marRight w:val="0"/>
              <w:marTop w:val="0"/>
              <w:marBottom w:val="0"/>
              <w:divBdr>
                <w:top w:val="none" w:sz="0" w:space="0" w:color="auto"/>
                <w:left w:val="none" w:sz="0" w:space="0" w:color="auto"/>
                <w:bottom w:val="none" w:sz="0" w:space="0" w:color="auto"/>
                <w:right w:val="none" w:sz="0" w:space="0" w:color="auto"/>
              </w:divBdr>
            </w:div>
          </w:divsChild>
        </w:div>
        <w:div w:id="1493982274">
          <w:marLeft w:val="0"/>
          <w:marRight w:val="0"/>
          <w:marTop w:val="0"/>
          <w:marBottom w:val="0"/>
          <w:divBdr>
            <w:top w:val="none" w:sz="0" w:space="0" w:color="auto"/>
            <w:left w:val="none" w:sz="0" w:space="0" w:color="auto"/>
            <w:bottom w:val="none" w:sz="0" w:space="0" w:color="auto"/>
            <w:right w:val="none" w:sz="0" w:space="0" w:color="auto"/>
          </w:divBdr>
          <w:divsChild>
            <w:div w:id="2057198420">
              <w:marLeft w:val="0"/>
              <w:marRight w:val="0"/>
              <w:marTop w:val="0"/>
              <w:marBottom w:val="0"/>
              <w:divBdr>
                <w:top w:val="none" w:sz="0" w:space="0" w:color="auto"/>
                <w:left w:val="none" w:sz="0" w:space="0" w:color="auto"/>
                <w:bottom w:val="none" w:sz="0" w:space="0" w:color="auto"/>
                <w:right w:val="none" w:sz="0" w:space="0" w:color="auto"/>
              </w:divBdr>
            </w:div>
          </w:divsChild>
        </w:div>
        <w:div w:id="1143698521">
          <w:marLeft w:val="0"/>
          <w:marRight w:val="0"/>
          <w:marTop w:val="0"/>
          <w:marBottom w:val="0"/>
          <w:divBdr>
            <w:top w:val="none" w:sz="0" w:space="0" w:color="auto"/>
            <w:left w:val="none" w:sz="0" w:space="0" w:color="auto"/>
            <w:bottom w:val="none" w:sz="0" w:space="0" w:color="auto"/>
            <w:right w:val="none" w:sz="0" w:space="0" w:color="auto"/>
          </w:divBdr>
          <w:divsChild>
            <w:div w:id="1710253772">
              <w:marLeft w:val="0"/>
              <w:marRight w:val="0"/>
              <w:marTop w:val="0"/>
              <w:marBottom w:val="0"/>
              <w:divBdr>
                <w:top w:val="none" w:sz="0" w:space="0" w:color="auto"/>
                <w:left w:val="none" w:sz="0" w:space="0" w:color="auto"/>
                <w:bottom w:val="none" w:sz="0" w:space="0" w:color="auto"/>
                <w:right w:val="none" w:sz="0" w:space="0" w:color="auto"/>
              </w:divBdr>
            </w:div>
          </w:divsChild>
        </w:div>
        <w:div w:id="2037849605">
          <w:marLeft w:val="0"/>
          <w:marRight w:val="0"/>
          <w:marTop w:val="0"/>
          <w:marBottom w:val="0"/>
          <w:divBdr>
            <w:top w:val="none" w:sz="0" w:space="0" w:color="auto"/>
            <w:left w:val="none" w:sz="0" w:space="0" w:color="auto"/>
            <w:bottom w:val="none" w:sz="0" w:space="0" w:color="auto"/>
            <w:right w:val="none" w:sz="0" w:space="0" w:color="auto"/>
          </w:divBdr>
          <w:divsChild>
            <w:div w:id="346953659">
              <w:marLeft w:val="0"/>
              <w:marRight w:val="0"/>
              <w:marTop w:val="0"/>
              <w:marBottom w:val="0"/>
              <w:divBdr>
                <w:top w:val="none" w:sz="0" w:space="0" w:color="auto"/>
                <w:left w:val="none" w:sz="0" w:space="0" w:color="auto"/>
                <w:bottom w:val="none" w:sz="0" w:space="0" w:color="auto"/>
                <w:right w:val="none" w:sz="0" w:space="0" w:color="auto"/>
              </w:divBdr>
            </w:div>
          </w:divsChild>
        </w:div>
        <w:div w:id="1279490451">
          <w:marLeft w:val="0"/>
          <w:marRight w:val="0"/>
          <w:marTop w:val="0"/>
          <w:marBottom w:val="0"/>
          <w:divBdr>
            <w:top w:val="none" w:sz="0" w:space="0" w:color="auto"/>
            <w:left w:val="none" w:sz="0" w:space="0" w:color="auto"/>
            <w:bottom w:val="none" w:sz="0" w:space="0" w:color="auto"/>
            <w:right w:val="none" w:sz="0" w:space="0" w:color="auto"/>
          </w:divBdr>
          <w:divsChild>
            <w:div w:id="1972982238">
              <w:marLeft w:val="0"/>
              <w:marRight w:val="0"/>
              <w:marTop w:val="0"/>
              <w:marBottom w:val="0"/>
              <w:divBdr>
                <w:top w:val="none" w:sz="0" w:space="0" w:color="auto"/>
                <w:left w:val="none" w:sz="0" w:space="0" w:color="auto"/>
                <w:bottom w:val="none" w:sz="0" w:space="0" w:color="auto"/>
                <w:right w:val="none" w:sz="0" w:space="0" w:color="auto"/>
              </w:divBdr>
            </w:div>
          </w:divsChild>
        </w:div>
        <w:div w:id="179928621">
          <w:marLeft w:val="0"/>
          <w:marRight w:val="0"/>
          <w:marTop w:val="0"/>
          <w:marBottom w:val="0"/>
          <w:divBdr>
            <w:top w:val="none" w:sz="0" w:space="0" w:color="auto"/>
            <w:left w:val="none" w:sz="0" w:space="0" w:color="auto"/>
            <w:bottom w:val="none" w:sz="0" w:space="0" w:color="auto"/>
            <w:right w:val="none" w:sz="0" w:space="0" w:color="auto"/>
          </w:divBdr>
          <w:divsChild>
            <w:div w:id="80958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800637">
      <w:bodyDiv w:val="1"/>
      <w:marLeft w:val="0"/>
      <w:marRight w:val="0"/>
      <w:marTop w:val="0"/>
      <w:marBottom w:val="0"/>
      <w:divBdr>
        <w:top w:val="none" w:sz="0" w:space="0" w:color="auto"/>
        <w:left w:val="none" w:sz="0" w:space="0" w:color="auto"/>
        <w:bottom w:val="none" w:sz="0" w:space="0" w:color="auto"/>
        <w:right w:val="none" w:sz="0" w:space="0" w:color="auto"/>
      </w:divBdr>
      <w:divsChild>
        <w:div w:id="2096707202">
          <w:marLeft w:val="0"/>
          <w:marRight w:val="0"/>
          <w:marTop w:val="0"/>
          <w:marBottom w:val="0"/>
          <w:divBdr>
            <w:top w:val="none" w:sz="0" w:space="0" w:color="auto"/>
            <w:left w:val="none" w:sz="0" w:space="0" w:color="auto"/>
            <w:bottom w:val="none" w:sz="0" w:space="0" w:color="auto"/>
            <w:right w:val="none" w:sz="0" w:space="0" w:color="auto"/>
          </w:divBdr>
        </w:div>
      </w:divsChild>
    </w:div>
    <w:div w:id="929853070">
      <w:bodyDiv w:val="1"/>
      <w:marLeft w:val="0"/>
      <w:marRight w:val="0"/>
      <w:marTop w:val="0"/>
      <w:marBottom w:val="0"/>
      <w:divBdr>
        <w:top w:val="none" w:sz="0" w:space="0" w:color="auto"/>
        <w:left w:val="none" w:sz="0" w:space="0" w:color="auto"/>
        <w:bottom w:val="none" w:sz="0" w:space="0" w:color="auto"/>
        <w:right w:val="none" w:sz="0" w:space="0" w:color="auto"/>
      </w:divBdr>
    </w:div>
    <w:div w:id="960302540">
      <w:bodyDiv w:val="1"/>
      <w:marLeft w:val="0"/>
      <w:marRight w:val="0"/>
      <w:marTop w:val="0"/>
      <w:marBottom w:val="0"/>
      <w:divBdr>
        <w:top w:val="none" w:sz="0" w:space="0" w:color="auto"/>
        <w:left w:val="none" w:sz="0" w:space="0" w:color="auto"/>
        <w:bottom w:val="none" w:sz="0" w:space="0" w:color="auto"/>
        <w:right w:val="none" w:sz="0" w:space="0" w:color="auto"/>
      </w:divBdr>
      <w:divsChild>
        <w:div w:id="934242866">
          <w:marLeft w:val="0"/>
          <w:marRight w:val="0"/>
          <w:marTop w:val="0"/>
          <w:marBottom w:val="0"/>
          <w:divBdr>
            <w:top w:val="none" w:sz="0" w:space="0" w:color="auto"/>
            <w:left w:val="none" w:sz="0" w:space="0" w:color="auto"/>
            <w:bottom w:val="none" w:sz="0" w:space="0" w:color="auto"/>
            <w:right w:val="none" w:sz="0" w:space="0" w:color="auto"/>
          </w:divBdr>
        </w:div>
      </w:divsChild>
    </w:div>
    <w:div w:id="960841244">
      <w:bodyDiv w:val="1"/>
      <w:marLeft w:val="0"/>
      <w:marRight w:val="0"/>
      <w:marTop w:val="0"/>
      <w:marBottom w:val="0"/>
      <w:divBdr>
        <w:top w:val="none" w:sz="0" w:space="0" w:color="auto"/>
        <w:left w:val="none" w:sz="0" w:space="0" w:color="auto"/>
        <w:bottom w:val="none" w:sz="0" w:space="0" w:color="auto"/>
        <w:right w:val="none" w:sz="0" w:space="0" w:color="auto"/>
      </w:divBdr>
    </w:div>
    <w:div w:id="961813295">
      <w:bodyDiv w:val="1"/>
      <w:marLeft w:val="0"/>
      <w:marRight w:val="0"/>
      <w:marTop w:val="0"/>
      <w:marBottom w:val="0"/>
      <w:divBdr>
        <w:top w:val="none" w:sz="0" w:space="0" w:color="auto"/>
        <w:left w:val="none" w:sz="0" w:space="0" w:color="auto"/>
        <w:bottom w:val="none" w:sz="0" w:space="0" w:color="auto"/>
        <w:right w:val="none" w:sz="0" w:space="0" w:color="auto"/>
      </w:divBdr>
      <w:divsChild>
        <w:div w:id="1258096058">
          <w:marLeft w:val="0"/>
          <w:marRight w:val="0"/>
          <w:marTop w:val="0"/>
          <w:marBottom w:val="0"/>
          <w:divBdr>
            <w:top w:val="none" w:sz="0" w:space="0" w:color="auto"/>
            <w:left w:val="none" w:sz="0" w:space="0" w:color="auto"/>
            <w:bottom w:val="none" w:sz="0" w:space="0" w:color="auto"/>
            <w:right w:val="none" w:sz="0" w:space="0" w:color="auto"/>
          </w:divBdr>
        </w:div>
      </w:divsChild>
    </w:div>
    <w:div w:id="976451064">
      <w:bodyDiv w:val="1"/>
      <w:marLeft w:val="0"/>
      <w:marRight w:val="0"/>
      <w:marTop w:val="0"/>
      <w:marBottom w:val="0"/>
      <w:divBdr>
        <w:top w:val="none" w:sz="0" w:space="0" w:color="auto"/>
        <w:left w:val="none" w:sz="0" w:space="0" w:color="auto"/>
        <w:bottom w:val="none" w:sz="0" w:space="0" w:color="auto"/>
        <w:right w:val="none" w:sz="0" w:space="0" w:color="auto"/>
      </w:divBdr>
    </w:div>
    <w:div w:id="979529418">
      <w:bodyDiv w:val="1"/>
      <w:marLeft w:val="0"/>
      <w:marRight w:val="0"/>
      <w:marTop w:val="0"/>
      <w:marBottom w:val="0"/>
      <w:divBdr>
        <w:top w:val="none" w:sz="0" w:space="0" w:color="auto"/>
        <w:left w:val="none" w:sz="0" w:space="0" w:color="auto"/>
        <w:bottom w:val="none" w:sz="0" w:space="0" w:color="auto"/>
        <w:right w:val="none" w:sz="0" w:space="0" w:color="auto"/>
      </w:divBdr>
      <w:divsChild>
        <w:div w:id="354306985">
          <w:marLeft w:val="0"/>
          <w:marRight w:val="0"/>
          <w:marTop w:val="0"/>
          <w:marBottom w:val="0"/>
          <w:divBdr>
            <w:top w:val="none" w:sz="0" w:space="0" w:color="auto"/>
            <w:left w:val="none" w:sz="0" w:space="0" w:color="auto"/>
            <w:bottom w:val="none" w:sz="0" w:space="0" w:color="auto"/>
            <w:right w:val="none" w:sz="0" w:space="0" w:color="auto"/>
          </w:divBdr>
        </w:div>
      </w:divsChild>
    </w:div>
    <w:div w:id="997221596">
      <w:bodyDiv w:val="1"/>
      <w:marLeft w:val="0"/>
      <w:marRight w:val="0"/>
      <w:marTop w:val="0"/>
      <w:marBottom w:val="0"/>
      <w:divBdr>
        <w:top w:val="none" w:sz="0" w:space="0" w:color="auto"/>
        <w:left w:val="none" w:sz="0" w:space="0" w:color="auto"/>
        <w:bottom w:val="none" w:sz="0" w:space="0" w:color="auto"/>
        <w:right w:val="none" w:sz="0" w:space="0" w:color="auto"/>
      </w:divBdr>
    </w:div>
    <w:div w:id="1043215007">
      <w:bodyDiv w:val="1"/>
      <w:marLeft w:val="0"/>
      <w:marRight w:val="0"/>
      <w:marTop w:val="0"/>
      <w:marBottom w:val="0"/>
      <w:divBdr>
        <w:top w:val="none" w:sz="0" w:space="0" w:color="auto"/>
        <w:left w:val="none" w:sz="0" w:space="0" w:color="auto"/>
        <w:bottom w:val="none" w:sz="0" w:space="0" w:color="auto"/>
        <w:right w:val="none" w:sz="0" w:space="0" w:color="auto"/>
      </w:divBdr>
    </w:div>
    <w:div w:id="1051615719">
      <w:bodyDiv w:val="1"/>
      <w:marLeft w:val="0"/>
      <w:marRight w:val="0"/>
      <w:marTop w:val="0"/>
      <w:marBottom w:val="0"/>
      <w:divBdr>
        <w:top w:val="none" w:sz="0" w:space="0" w:color="auto"/>
        <w:left w:val="none" w:sz="0" w:space="0" w:color="auto"/>
        <w:bottom w:val="none" w:sz="0" w:space="0" w:color="auto"/>
        <w:right w:val="none" w:sz="0" w:space="0" w:color="auto"/>
      </w:divBdr>
    </w:div>
    <w:div w:id="1056509985">
      <w:bodyDiv w:val="1"/>
      <w:marLeft w:val="0"/>
      <w:marRight w:val="0"/>
      <w:marTop w:val="0"/>
      <w:marBottom w:val="0"/>
      <w:divBdr>
        <w:top w:val="none" w:sz="0" w:space="0" w:color="auto"/>
        <w:left w:val="none" w:sz="0" w:space="0" w:color="auto"/>
        <w:bottom w:val="none" w:sz="0" w:space="0" w:color="auto"/>
        <w:right w:val="none" w:sz="0" w:space="0" w:color="auto"/>
      </w:divBdr>
    </w:div>
    <w:div w:id="1063793762">
      <w:bodyDiv w:val="1"/>
      <w:marLeft w:val="0"/>
      <w:marRight w:val="0"/>
      <w:marTop w:val="0"/>
      <w:marBottom w:val="0"/>
      <w:divBdr>
        <w:top w:val="none" w:sz="0" w:space="0" w:color="auto"/>
        <w:left w:val="none" w:sz="0" w:space="0" w:color="auto"/>
        <w:bottom w:val="none" w:sz="0" w:space="0" w:color="auto"/>
        <w:right w:val="none" w:sz="0" w:space="0" w:color="auto"/>
      </w:divBdr>
      <w:divsChild>
        <w:div w:id="1420717392">
          <w:marLeft w:val="0"/>
          <w:marRight w:val="0"/>
          <w:marTop w:val="0"/>
          <w:marBottom w:val="0"/>
          <w:divBdr>
            <w:top w:val="none" w:sz="0" w:space="0" w:color="auto"/>
            <w:left w:val="none" w:sz="0" w:space="0" w:color="auto"/>
            <w:bottom w:val="none" w:sz="0" w:space="0" w:color="auto"/>
            <w:right w:val="none" w:sz="0" w:space="0" w:color="auto"/>
          </w:divBdr>
        </w:div>
      </w:divsChild>
    </w:div>
    <w:div w:id="1070886182">
      <w:bodyDiv w:val="1"/>
      <w:marLeft w:val="0"/>
      <w:marRight w:val="0"/>
      <w:marTop w:val="0"/>
      <w:marBottom w:val="0"/>
      <w:divBdr>
        <w:top w:val="none" w:sz="0" w:space="0" w:color="auto"/>
        <w:left w:val="none" w:sz="0" w:space="0" w:color="auto"/>
        <w:bottom w:val="none" w:sz="0" w:space="0" w:color="auto"/>
        <w:right w:val="none" w:sz="0" w:space="0" w:color="auto"/>
      </w:divBdr>
    </w:div>
    <w:div w:id="1074475713">
      <w:bodyDiv w:val="1"/>
      <w:marLeft w:val="0"/>
      <w:marRight w:val="0"/>
      <w:marTop w:val="0"/>
      <w:marBottom w:val="0"/>
      <w:divBdr>
        <w:top w:val="none" w:sz="0" w:space="0" w:color="auto"/>
        <w:left w:val="none" w:sz="0" w:space="0" w:color="auto"/>
        <w:bottom w:val="none" w:sz="0" w:space="0" w:color="auto"/>
        <w:right w:val="none" w:sz="0" w:space="0" w:color="auto"/>
      </w:divBdr>
    </w:div>
    <w:div w:id="1091898242">
      <w:bodyDiv w:val="1"/>
      <w:marLeft w:val="0"/>
      <w:marRight w:val="0"/>
      <w:marTop w:val="0"/>
      <w:marBottom w:val="0"/>
      <w:divBdr>
        <w:top w:val="none" w:sz="0" w:space="0" w:color="auto"/>
        <w:left w:val="none" w:sz="0" w:space="0" w:color="auto"/>
        <w:bottom w:val="none" w:sz="0" w:space="0" w:color="auto"/>
        <w:right w:val="none" w:sz="0" w:space="0" w:color="auto"/>
      </w:divBdr>
    </w:div>
    <w:div w:id="1092629285">
      <w:bodyDiv w:val="1"/>
      <w:marLeft w:val="0"/>
      <w:marRight w:val="0"/>
      <w:marTop w:val="0"/>
      <w:marBottom w:val="0"/>
      <w:divBdr>
        <w:top w:val="none" w:sz="0" w:space="0" w:color="auto"/>
        <w:left w:val="none" w:sz="0" w:space="0" w:color="auto"/>
        <w:bottom w:val="none" w:sz="0" w:space="0" w:color="auto"/>
        <w:right w:val="none" w:sz="0" w:space="0" w:color="auto"/>
      </w:divBdr>
      <w:divsChild>
        <w:div w:id="1631327245">
          <w:marLeft w:val="0"/>
          <w:marRight w:val="0"/>
          <w:marTop w:val="0"/>
          <w:marBottom w:val="0"/>
          <w:divBdr>
            <w:top w:val="none" w:sz="0" w:space="0" w:color="auto"/>
            <w:left w:val="none" w:sz="0" w:space="0" w:color="auto"/>
            <w:bottom w:val="none" w:sz="0" w:space="0" w:color="auto"/>
            <w:right w:val="none" w:sz="0" w:space="0" w:color="auto"/>
          </w:divBdr>
        </w:div>
      </w:divsChild>
    </w:div>
    <w:div w:id="1117793236">
      <w:bodyDiv w:val="1"/>
      <w:marLeft w:val="0"/>
      <w:marRight w:val="0"/>
      <w:marTop w:val="0"/>
      <w:marBottom w:val="0"/>
      <w:divBdr>
        <w:top w:val="none" w:sz="0" w:space="0" w:color="auto"/>
        <w:left w:val="none" w:sz="0" w:space="0" w:color="auto"/>
        <w:bottom w:val="none" w:sz="0" w:space="0" w:color="auto"/>
        <w:right w:val="none" w:sz="0" w:space="0" w:color="auto"/>
      </w:divBdr>
    </w:div>
    <w:div w:id="1165243935">
      <w:bodyDiv w:val="1"/>
      <w:marLeft w:val="0"/>
      <w:marRight w:val="0"/>
      <w:marTop w:val="0"/>
      <w:marBottom w:val="0"/>
      <w:divBdr>
        <w:top w:val="none" w:sz="0" w:space="0" w:color="auto"/>
        <w:left w:val="none" w:sz="0" w:space="0" w:color="auto"/>
        <w:bottom w:val="none" w:sz="0" w:space="0" w:color="auto"/>
        <w:right w:val="none" w:sz="0" w:space="0" w:color="auto"/>
      </w:divBdr>
    </w:div>
    <w:div w:id="1167786578">
      <w:bodyDiv w:val="1"/>
      <w:marLeft w:val="0"/>
      <w:marRight w:val="0"/>
      <w:marTop w:val="0"/>
      <w:marBottom w:val="0"/>
      <w:divBdr>
        <w:top w:val="none" w:sz="0" w:space="0" w:color="auto"/>
        <w:left w:val="none" w:sz="0" w:space="0" w:color="auto"/>
        <w:bottom w:val="none" w:sz="0" w:space="0" w:color="auto"/>
        <w:right w:val="none" w:sz="0" w:space="0" w:color="auto"/>
      </w:divBdr>
    </w:div>
    <w:div w:id="1175925802">
      <w:bodyDiv w:val="1"/>
      <w:marLeft w:val="0"/>
      <w:marRight w:val="0"/>
      <w:marTop w:val="0"/>
      <w:marBottom w:val="0"/>
      <w:divBdr>
        <w:top w:val="none" w:sz="0" w:space="0" w:color="auto"/>
        <w:left w:val="none" w:sz="0" w:space="0" w:color="auto"/>
        <w:bottom w:val="none" w:sz="0" w:space="0" w:color="auto"/>
        <w:right w:val="none" w:sz="0" w:space="0" w:color="auto"/>
      </w:divBdr>
      <w:divsChild>
        <w:div w:id="1985042290">
          <w:marLeft w:val="0"/>
          <w:marRight w:val="0"/>
          <w:marTop w:val="0"/>
          <w:marBottom w:val="0"/>
          <w:divBdr>
            <w:top w:val="none" w:sz="0" w:space="0" w:color="auto"/>
            <w:left w:val="none" w:sz="0" w:space="0" w:color="auto"/>
            <w:bottom w:val="none" w:sz="0" w:space="0" w:color="auto"/>
            <w:right w:val="none" w:sz="0" w:space="0" w:color="auto"/>
          </w:divBdr>
          <w:divsChild>
            <w:div w:id="70394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01902">
      <w:bodyDiv w:val="1"/>
      <w:marLeft w:val="0"/>
      <w:marRight w:val="0"/>
      <w:marTop w:val="0"/>
      <w:marBottom w:val="0"/>
      <w:divBdr>
        <w:top w:val="none" w:sz="0" w:space="0" w:color="auto"/>
        <w:left w:val="none" w:sz="0" w:space="0" w:color="auto"/>
        <w:bottom w:val="none" w:sz="0" w:space="0" w:color="auto"/>
        <w:right w:val="none" w:sz="0" w:space="0" w:color="auto"/>
      </w:divBdr>
    </w:div>
    <w:div w:id="1197278477">
      <w:bodyDiv w:val="1"/>
      <w:marLeft w:val="0"/>
      <w:marRight w:val="0"/>
      <w:marTop w:val="0"/>
      <w:marBottom w:val="0"/>
      <w:divBdr>
        <w:top w:val="none" w:sz="0" w:space="0" w:color="auto"/>
        <w:left w:val="none" w:sz="0" w:space="0" w:color="auto"/>
        <w:bottom w:val="none" w:sz="0" w:space="0" w:color="auto"/>
        <w:right w:val="none" w:sz="0" w:space="0" w:color="auto"/>
      </w:divBdr>
      <w:divsChild>
        <w:div w:id="813369903">
          <w:marLeft w:val="0"/>
          <w:marRight w:val="0"/>
          <w:marTop w:val="0"/>
          <w:marBottom w:val="0"/>
          <w:divBdr>
            <w:top w:val="none" w:sz="0" w:space="0" w:color="auto"/>
            <w:left w:val="none" w:sz="0" w:space="0" w:color="auto"/>
            <w:bottom w:val="none" w:sz="0" w:space="0" w:color="auto"/>
            <w:right w:val="none" w:sz="0" w:space="0" w:color="auto"/>
          </w:divBdr>
        </w:div>
      </w:divsChild>
    </w:div>
    <w:div w:id="1199468754">
      <w:bodyDiv w:val="1"/>
      <w:marLeft w:val="0"/>
      <w:marRight w:val="0"/>
      <w:marTop w:val="0"/>
      <w:marBottom w:val="0"/>
      <w:divBdr>
        <w:top w:val="none" w:sz="0" w:space="0" w:color="auto"/>
        <w:left w:val="none" w:sz="0" w:space="0" w:color="auto"/>
        <w:bottom w:val="none" w:sz="0" w:space="0" w:color="auto"/>
        <w:right w:val="none" w:sz="0" w:space="0" w:color="auto"/>
      </w:divBdr>
      <w:divsChild>
        <w:div w:id="1010185213">
          <w:marLeft w:val="0"/>
          <w:marRight w:val="0"/>
          <w:marTop w:val="0"/>
          <w:marBottom w:val="0"/>
          <w:divBdr>
            <w:top w:val="none" w:sz="0" w:space="0" w:color="auto"/>
            <w:left w:val="none" w:sz="0" w:space="0" w:color="auto"/>
            <w:bottom w:val="none" w:sz="0" w:space="0" w:color="auto"/>
            <w:right w:val="none" w:sz="0" w:space="0" w:color="auto"/>
          </w:divBdr>
        </w:div>
        <w:div w:id="2030255320">
          <w:marLeft w:val="0"/>
          <w:marRight w:val="0"/>
          <w:marTop w:val="0"/>
          <w:marBottom w:val="0"/>
          <w:divBdr>
            <w:top w:val="none" w:sz="0" w:space="0" w:color="auto"/>
            <w:left w:val="none" w:sz="0" w:space="0" w:color="auto"/>
            <w:bottom w:val="none" w:sz="0" w:space="0" w:color="auto"/>
            <w:right w:val="none" w:sz="0" w:space="0" w:color="auto"/>
          </w:divBdr>
        </w:div>
        <w:div w:id="1050498063">
          <w:marLeft w:val="0"/>
          <w:marRight w:val="0"/>
          <w:marTop w:val="0"/>
          <w:marBottom w:val="0"/>
          <w:divBdr>
            <w:top w:val="none" w:sz="0" w:space="0" w:color="auto"/>
            <w:left w:val="none" w:sz="0" w:space="0" w:color="auto"/>
            <w:bottom w:val="none" w:sz="0" w:space="0" w:color="auto"/>
            <w:right w:val="none" w:sz="0" w:space="0" w:color="auto"/>
          </w:divBdr>
        </w:div>
        <w:div w:id="1388644061">
          <w:marLeft w:val="0"/>
          <w:marRight w:val="0"/>
          <w:marTop w:val="0"/>
          <w:marBottom w:val="0"/>
          <w:divBdr>
            <w:top w:val="none" w:sz="0" w:space="0" w:color="auto"/>
            <w:left w:val="none" w:sz="0" w:space="0" w:color="auto"/>
            <w:bottom w:val="none" w:sz="0" w:space="0" w:color="auto"/>
            <w:right w:val="none" w:sz="0" w:space="0" w:color="auto"/>
          </w:divBdr>
        </w:div>
        <w:div w:id="1576625140">
          <w:marLeft w:val="0"/>
          <w:marRight w:val="0"/>
          <w:marTop w:val="0"/>
          <w:marBottom w:val="0"/>
          <w:divBdr>
            <w:top w:val="none" w:sz="0" w:space="0" w:color="auto"/>
            <w:left w:val="none" w:sz="0" w:space="0" w:color="auto"/>
            <w:bottom w:val="none" w:sz="0" w:space="0" w:color="auto"/>
            <w:right w:val="none" w:sz="0" w:space="0" w:color="auto"/>
          </w:divBdr>
        </w:div>
        <w:div w:id="1025404293">
          <w:marLeft w:val="0"/>
          <w:marRight w:val="0"/>
          <w:marTop w:val="0"/>
          <w:marBottom w:val="0"/>
          <w:divBdr>
            <w:top w:val="none" w:sz="0" w:space="0" w:color="auto"/>
            <w:left w:val="none" w:sz="0" w:space="0" w:color="auto"/>
            <w:bottom w:val="none" w:sz="0" w:space="0" w:color="auto"/>
            <w:right w:val="none" w:sz="0" w:space="0" w:color="auto"/>
          </w:divBdr>
        </w:div>
        <w:div w:id="634025311">
          <w:marLeft w:val="0"/>
          <w:marRight w:val="0"/>
          <w:marTop w:val="0"/>
          <w:marBottom w:val="0"/>
          <w:divBdr>
            <w:top w:val="none" w:sz="0" w:space="0" w:color="auto"/>
            <w:left w:val="none" w:sz="0" w:space="0" w:color="auto"/>
            <w:bottom w:val="none" w:sz="0" w:space="0" w:color="auto"/>
            <w:right w:val="none" w:sz="0" w:space="0" w:color="auto"/>
          </w:divBdr>
        </w:div>
        <w:div w:id="1823234313">
          <w:marLeft w:val="0"/>
          <w:marRight w:val="0"/>
          <w:marTop w:val="0"/>
          <w:marBottom w:val="0"/>
          <w:divBdr>
            <w:top w:val="none" w:sz="0" w:space="0" w:color="auto"/>
            <w:left w:val="none" w:sz="0" w:space="0" w:color="auto"/>
            <w:bottom w:val="none" w:sz="0" w:space="0" w:color="auto"/>
            <w:right w:val="none" w:sz="0" w:space="0" w:color="auto"/>
          </w:divBdr>
        </w:div>
        <w:div w:id="1318613604">
          <w:marLeft w:val="0"/>
          <w:marRight w:val="0"/>
          <w:marTop w:val="0"/>
          <w:marBottom w:val="0"/>
          <w:divBdr>
            <w:top w:val="none" w:sz="0" w:space="0" w:color="auto"/>
            <w:left w:val="none" w:sz="0" w:space="0" w:color="auto"/>
            <w:bottom w:val="none" w:sz="0" w:space="0" w:color="auto"/>
            <w:right w:val="none" w:sz="0" w:space="0" w:color="auto"/>
          </w:divBdr>
        </w:div>
        <w:div w:id="2108960776">
          <w:marLeft w:val="0"/>
          <w:marRight w:val="0"/>
          <w:marTop w:val="0"/>
          <w:marBottom w:val="0"/>
          <w:divBdr>
            <w:top w:val="none" w:sz="0" w:space="0" w:color="auto"/>
            <w:left w:val="none" w:sz="0" w:space="0" w:color="auto"/>
            <w:bottom w:val="none" w:sz="0" w:space="0" w:color="auto"/>
            <w:right w:val="none" w:sz="0" w:space="0" w:color="auto"/>
          </w:divBdr>
        </w:div>
      </w:divsChild>
    </w:div>
    <w:div w:id="1210534510">
      <w:bodyDiv w:val="1"/>
      <w:marLeft w:val="0"/>
      <w:marRight w:val="0"/>
      <w:marTop w:val="0"/>
      <w:marBottom w:val="0"/>
      <w:divBdr>
        <w:top w:val="none" w:sz="0" w:space="0" w:color="auto"/>
        <w:left w:val="none" w:sz="0" w:space="0" w:color="auto"/>
        <w:bottom w:val="none" w:sz="0" w:space="0" w:color="auto"/>
        <w:right w:val="none" w:sz="0" w:space="0" w:color="auto"/>
      </w:divBdr>
    </w:div>
    <w:div w:id="1215895793">
      <w:bodyDiv w:val="1"/>
      <w:marLeft w:val="0"/>
      <w:marRight w:val="0"/>
      <w:marTop w:val="0"/>
      <w:marBottom w:val="0"/>
      <w:divBdr>
        <w:top w:val="none" w:sz="0" w:space="0" w:color="auto"/>
        <w:left w:val="none" w:sz="0" w:space="0" w:color="auto"/>
        <w:bottom w:val="none" w:sz="0" w:space="0" w:color="auto"/>
        <w:right w:val="none" w:sz="0" w:space="0" w:color="auto"/>
      </w:divBdr>
    </w:div>
    <w:div w:id="1238858853">
      <w:bodyDiv w:val="1"/>
      <w:marLeft w:val="0"/>
      <w:marRight w:val="0"/>
      <w:marTop w:val="0"/>
      <w:marBottom w:val="0"/>
      <w:divBdr>
        <w:top w:val="none" w:sz="0" w:space="0" w:color="auto"/>
        <w:left w:val="none" w:sz="0" w:space="0" w:color="auto"/>
        <w:bottom w:val="none" w:sz="0" w:space="0" w:color="auto"/>
        <w:right w:val="none" w:sz="0" w:space="0" w:color="auto"/>
      </w:divBdr>
    </w:div>
    <w:div w:id="1285572873">
      <w:bodyDiv w:val="1"/>
      <w:marLeft w:val="0"/>
      <w:marRight w:val="0"/>
      <w:marTop w:val="0"/>
      <w:marBottom w:val="0"/>
      <w:divBdr>
        <w:top w:val="none" w:sz="0" w:space="0" w:color="auto"/>
        <w:left w:val="none" w:sz="0" w:space="0" w:color="auto"/>
        <w:bottom w:val="none" w:sz="0" w:space="0" w:color="auto"/>
        <w:right w:val="none" w:sz="0" w:space="0" w:color="auto"/>
      </w:divBdr>
      <w:divsChild>
        <w:div w:id="704673496">
          <w:marLeft w:val="0"/>
          <w:marRight w:val="0"/>
          <w:marTop w:val="0"/>
          <w:marBottom w:val="0"/>
          <w:divBdr>
            <w:top w:val="none" w:sz="0" w:space="0" w:color="auto"/>
            <w:left w:val="none" w:sz="0" w:space="0" w:color="auto"/>
            <w:bottom w:val="none" w:sz="0" w:space="0" w:color="auto"/>
            <w:right w:val="none" w:sz="0" w:space="0" w:color="auto"/>
          </w:divBdr>
          <w:divsChild>
            <w:div w:id="375281858">
              <w:marLeft w:val="0"/>
              <w:marRight w:val="0"/>
              <w:marTop w:val="0"/>
              <w:marBottom w:val="0"/>
              <w:divBdr>
                <w:top w:val="none" w:sz="0" w:space="0" w:color="auto"/>
                <w:left w:val="none" w:sz="0" w:space="0" w:color="auto"/>
                <w:bottom w:val="none" w:sz="0" w:space="0" w:color="auto"/>
                <w:right w:val="none" w:sz="0" w:space="0" w:color="auto"/>
              </w:divBdr>
              <w:divsChild>
                <w:div w:id="181641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949311">
      <w:bodyDiv w:val="1"/>
      <w:marLeft w:val="0"/>
      <w:marRight w:val="0"/>
      <w:marTop w:val="0"/>
      <w:marBottom w:val="0"/>
      <w:divBdr>
        <w:top w:val="none" w:sz="0" w:space="0" w:color="auto"/>
        <w:left w:val="none" w:sz="0" w:space="0" w:color="auto"/>
        <w:bottom w:val="none" w:sz="0" w:space="0" w:color="auto"/>
        <w:right w:val="none" w:sz="0" w:space="0" w:color="auto"/>
      </w:divBdr>
    </w:div>
    <w:div w:id="1298753546">
      <w:bodyDiv w:val="1"/>
      <w:marLeft w:val="0"/>
      <w:marRight w:val="0"/>
      <w:marTop w:val="0"/>
      <w:marBottom w:val="0"/>
      <w:divBdr>
        <w:top w:val="none" w:sz="0" w:space="0" w:color="auto"/>
        <w:left w:val="none" w:sz="0" w:space="0" w:color="auto"/>
        <w:bottom w:val="none" w:sz="0" w:space="0" w:color="auto"/>
        <w:right w:val="none" w:sz="0" w:space="0" w:color="auto"/>
      </w:divBdr>
    </w:div>
    <w:div w:id="1302424945">
      <w:bodyDiv w:val="1"/>
      <w:marLeft w:val="0"/>
      <w:marRight w:val="0"/>
      <w:marTop w:val="0"/>
      <w:marBottom w:val="0"/>
      <w:divBdr>
        <w:top w:val="none" w:sz="0" w:space="0" w:color="auto"/>
        <w:left w:val="none" w:sz="0" w:space="0" w:color="auto"/>
        <w:bottom w:val="none" w:sz="0" w:space="0" w:color="auto"/>
        <w:right w:val="none" w:sz="0" w:space="0" w:color="auto"/>
      </w:divBdr>
    </w:div>
    <w:div w:id="1321421596">
      <w:bodyDiv w:val="1"/>
      <w:marLeft w:val="0"/>
      <w:marRight w:val="0"/>
      <w:marTop w:val="0"/>
      <w:marBottom w:val="0"/>
      <w:divBdr>
        <w:top w:val="none" w:sz="0" w:space="0" w:color="auto"/>
        <w:left w:val="none" w:sz="0" w:space="0" w:color="auto"/>
        <w:bottom w:val="none" w:sz="0" w:space="0" w:color="auto"/>
        <w:right w:val="none" w:sz="0" w:space="0" w:color="auto"/>
      </w:divBdr>
    </w:div>
    <w:div w:id="1351949479">
      <w:bodyDiv w:val="1"/>
      <w:marLeft w:val="0"/>
      <w:marRight w:val="0"/>
      <w:marTop w:val="0"/>
      <w:marBottom w:val="0"/>
      <w:divBdr>
        <w:top w:val="none" w:sz="0" w:space="0" w:color="auto"/>
        <w:left w:val="none" w:sz="0" w:space="0" w:color="auto"/>
        <w:bottom w:val="none" w:sz="0" w:space="0" w:color="auto"/>
        <w:right w:val="none" w:sz="0" w:space="0" w:color="auto"/>
      </w:divBdr>
      <w:divsChild>
        <w:div w:id="1034890285">
          <w:marLeft w:val="0"/>
          <w:marRight w:val="0"/>
          <w:marTop w:val="0"/>
          <w:marBottom w:val="0"/>
          <w:divBdr>
            <w:top w:val="none" w:sz="0" w:space="0" w:color="auto"/>
            <w:left w:val="none" w:sz="0" w:space="0" w:color="auto"/>
            <w:bottom w:val="none" w:sz="0" w:space="0" w:color="auto"/>
            <w:right w:val="none" w:sz="0" w:space="0" w:color="auto"/>
          </w:divBdr>
          <w:divsChild>
            <w:div w:id="2020040525">
              <w:marLeft w:val="0"/>
              <w:marRight w:val="0"/>
              <w:marTop w:val="0"/>
              <w:marBottom w:val="0"/>
              <w:divBdr>
                <w:top w:val="none" w:sz="0" w:space="0" w:color="auto"/>
                <w:left w:val="none" w:sz="0" w:space="0" w:color="auto"/>
                <w:bottom w:val="none" w:sz="0" w:space="0" w:color="auto"/>
                <w:right w:val="none" w:sz="0" w:space="0" w:color="auto"/>
              </w:divBdr>
              <w:divsChild>
                <w:div w:id="185718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12021">
      <w:bodyDiv w:val="1"/>
      <w:marLeft w:val="0"/>
      <w:marRight w:val="0"/>
      <w:marTop w:val="0"/>
      <w:marBottom w:val="0"/>
      <w:divBdr>
        <w:top w:val="none" w:sz="0" w:space="0" w:color="auto"/>
        <w:left w:val="none" w:sz="0" w:space="0" w:color="auto"/>
        <w:bottom w:val="none" w:sz="0" w:space="0" w:color="auto"/>
        <w:right w:val="none" w:sz="0" w:space="0" w:color="auto"/>
      </w:divBdr>
    </w:div>
    <w:div w:id="1411856025">
      <w:bodyDiv w:val="1"/>
      <w:marLeft w:val="0"/>
      <w:marRight w:val="0"/>
      <w:marTop w:val="0"/>
      <w:marBottom w:val="0"/>
      <w:divBdr>
        <w:top w:val="none" w:sz="0" w:space="0" w:color="auto"/>
        <w:left w:val="none" w:sz="0" w:space="0" w:color="auto"/>
        <w:bottom w:val="none" w:sz="0" w:space="0" w:color="auto"/>
        <w:right w:val="none" w:sz="0" w:space="0" w:color="auto"/>
      </w:divBdr>
    </w:div>
    <w:div w:id="1417283565">
      <w:bodyDiv w:val="1"/>
      <w:marLeft w:val="0"/>
      <w:marRight w:val="0"/>
      <w:marTop w:val="0"/>
      <w:marBottom w:val="0"/>
      <w:divBdr>
        <w:top w:val="none" w:sz="0" w:space="0" w:color="auto"/>
        <w:left w:val="none" w:sz="0" w:space="0" w:color="auto"/>
        <w:bottom w:val="none" w:sz="0" w:space="0" w:color="auto"/>
        <w:right w:val="none" w:sz="0" w:space="0" w:color="auto"/>
      </w:divBdr>
    </w:div>
    <w:div w:id="1428964951">
      <w:bodyDiv w:val="1"/>
      <w:marLeft w:val="0"/>
      <w:marRight w:val="0"/>
      <w:marTop w:val="0"/>
      <w:marBottom w:val="0"/>
      <w:divBdr>
        <w:top w:val="none" w:sz="0" w:space="0" w:color="auto"/>
        <w:left w:val="none" w:sz="0" w:space="0" w:color="auto"/>
        <w:bottom w:val="none" w:sz="0" w:space="0" w:color="auto"/>
        <w:right w:val="none" w:sz="0" w:space="0" w:color="auto"/>
      </w:divBdr>
    </w:div>
    <w:div w:id="1450128415">
      <w:bodyDiv w:val="1"/>
      <w:marLeft w:val="0"/>
      <w:marRight w:val="0"/>
      <w:marTop w:val="0"/>
      <w:marBottom w:val="0"/>
      <w:divBdr>
        <w:top w:val="none" w:sz="0" w:space="0" w:color="auto"/>
        <w:left w:val="none" w:sz="0" w:space="0" w:color="auto"/>
        <w:bottom w:val="none" w:sz="0" w:space="0" w:color="auto"/>
        <w:right w:val="none" w:sz="0" w:space="0" w:color="auto"/>
      </w:divBdr>
    </w:div>
    <w:div w:id="1454707690">
      <w:bodyDiv w:val="1"/>
      <w:marLeft w:val="0"/>
      <w:marRight w:val="0"/>
      <w:marTop w:val="0"/>
      <w:marBottom w:val="0"/>
      <w:divBdr>
        <w:top w:val="none" w:sz="0" w:space="0" w:color="auto"/>
        <w:left w:val="none" w:sz="0" w:space="0" w:color="auto"/>
        <w:bottom w:val="none" w:sz="0" w:space="0" w:color="auto"/>
        <w:right w:val="none" w:sz="0" w:space="0" w:color="auto"/>
      </w:divBdr>
    </w:div>
    <w:div w:id="1463042120">
      <w:bodyDiv w:val="1"/>
      <w:marLeft w:val="0"/>
      <w:marRight w:val="0"/>
      <w:marTop w:val="0"/>
      <w:marBottom w:val="0"/>
      <w:divBdr>
        <w:top w:val="none" w:sz="0" w:space="0" w:color="auto"/>
        <w:left w:val="none" w:sz="0" w:space="0" w:color="auto"/>
        <w:bottom w:val="none" w:sz="0" w:space="0" w:color="auto"/>
        <w:right w:val="none" w:sz="0" w:space="0" w:color="auto"/>
      </w:divBdr>
    </w:div>
    <w:div w:id="1470518902">
      <w:bodyDiv w:val="1"/>
      <w:marLeft w:val="0"/>
      <w:marRight w:val="0"/>
      <w:marTop w:val="0"/>
      <w:marBottom w:val="0"/>
      <w:divBdr>
        <w:top w:val="none" w:sz="0" w:space="0" w:color="auto"/>
        <w:left w:val="none" w:sz="0" w:space="0" w:color="auto"/>
        <w:bottom w:val="none" w:sz="0" w:space="0" w:color="auto"/>
        <w:right w:val="none" w:sz="0" w:space="0" w:color="auto"/>
      </w:divBdr>
    </w:div>
    <w:div w:id="1521120176">
      <w:bodyDiv w:val="1"/>
      <w:marLeft w:val="0"/>
      <w:marRight w:val="0"/>
      <w:marTop w:val="0"/>
      <w:marBottom w:val="0"/>
      <w:divBdr>
        <w:top w:val="none" w:sz="0" w:space="0" w:color="auto"/>
        <w:left w:val="none" w:sz="0" w:space="0" w:color="auto"/>
        <w:bottom w:val="none" w:sz="0" w:space="0" w:color="auto"/>
        <w:right w:val="none" w:sz="0" w:space="0" w:color="auto"/>
      </w:divBdr>
    </w:div>
    <w:div w:id="1543323049">
      <w:bodyDiv w:val="1"/>
      <w:marLeft w:val="0"/>
      <w:marRight w:val="0"/>
      <w:marTop w:val="0"/>
      <w:marBottom w:val="0"/>
      <w:divBdr>
        <w:top w:val="none" w:sz="0" w:space="0" w:color="auto"/>
        <w:left w:val="none" w:sz="0" w:space="0" w:color="auto"/>
        <w:bottom w:val="none" w:sz="0" w:space="0" w:color="auto"/>
        <w:right w:val="none" w:sz="0" w:space="0" w:color="auto"/>
      </w:divBdr>
    </w:div>
    <w:div w:id="1551069994">
      <w:bodyDiv w:val="1"/>
      <w:marLeft w:val="0"/>
      <w:marRight w:val="0"/>
      <w:marTop w:val="0"/>
      <w:marBottom w:val="0"/>
      <w:divBdr>
        <w:top w:val="none" w:sz="0" w:space="0" w:color="auto"/>
        <w:left w:val="none" w:sz="0" w:space="0" w:color="auto"/>
        <w:bottom w:val="none" w:sz="0" w:space="0" w:color="auto"/>
        <w:right w:val="none" w:sz="0" w:space="0" w:color="auto"/>
      </w:divBdr>
    </w:div>
    <w:div w:id="1554541834">
      <w:bodyDiv w:val="1"/>
      <w:marLeft w:val="0"/>
      <w:marRight w:val="0"/>
      <w:marTop w:val="0"/>
      <w:marBottom w:val="0"/>
      <w:divBdr>
        <w:top w:val="none" w:sz="0" w:space="0" w:color="auto"/>
        <w:left w:val="none" w:sz="0" w:space="0" w:color="auto"/>
        <w:bottom w:val="none" w:sz="0" w:space="0" w:color="auto"/>
        <w:right w:val="none" w:sz="0" w:space="0" w:color="auto"/>
      </w:divBdr>
    </w:div>
    <w:div w:id="1558585938">
      <w:bodyDiv w:val="1"/>
      <w:marLeft w:val="0"/>
      <w:marRight w:val="0"/>
      <w:marTop w:val="0"/>
      <w:marBottom w:val="0"/>
      <w:divBdr>
        <w:top w:val="none" w:sz="0" w:space="0" w:color="auto"/>
        <w:left w:val="none" w:sz="0" w:space="0" w:color="auto"/>
        <w:bottom w:val="none" w:sz="0" w:space="0" w:color="auto"/>
        <w:right w:val="none" w:sz="0" w:space="0" w:color="auto"/>
      </w:divBdr>
    </w:div>
    <w:div w:id="1564179319">
      <w:bodyDiv w:val="1"/>
      <w:marLeft w:val="0"/>
      <w:marRight w:val="0"/>
      <w:marTop w:val="0"/>
      <w:marBottom w:val="0"/>
      <w:divBdr>
        <w:top w:val="none" w:sz="0" w:space="0" w:color="auto"/>
        <w:left w:val="none" w:sz="0" w:space="0" w:color="auto"/>
        <w:bottom w:val="none" w:sz="0" w:space="0" w:color="auto"/>
        <w:right w:val="none" w:sz="0" w:space="0" w:color="auto"/>
      </w:divBdr>
    </w:div>
    <w:div w:id="1566985727">
      <w:bodyDiv w:val="1"/>
      <w:marLeft w:val="0"/>
      <w:marRight w:val="0"/>
      <w:marTop w:val="0"/>
      <w:marBottom w:val="0"/>
      <w:divBdr>
        <w:top w:val="none" w:sz="0" w:space="0" w:color="auto"/>
        <w:left w:val="none" w:sz="0" w:space="0" w:color="auto"/>
        <w:bottom w:val="none" w:sz="0" w:space="0" w:color="auto"/>
        <w:right w:val="none" w:sz="0" w:space="0" w:color="auto"/>
      </w:divBdr>
      <w:divsChild>
        <w:div w:id="561411660">
          <w:marLeft w:val="0"/>
          <w:marRight w:val="0"/>
          <w:marTop w:val="0"/>
          <w:marBottom w:val="0"/>
          <w:divBdr>
            <w:top w:val="none" w:sz="0" w:space="0" w:color="auto"/>
            <w:left w:val="none" w:sz="0" w:space="0" w:color="auto"/>
            <w:bottom w:val="none" w:sz="0" w:space="0" w:color="auto"/>
            <w:right w:val="none" w:sz="0" w:space="0" w:color="auto"/>
          </w:divBdr>
        </w:div>
      </w:divsChild>
    </w:div>
    <w:div w:id="1600986637">
      <w:bodyDiv w:val="1"/>
      <w:marLeft w:val="0"/>
      <w:marRight w:val="0"/>
      <w:marTop w:val="0"/>
      <w:marBottom w:val="0"/>
      <w:divBdr>
        <w:top w:val="none" w:sz="0" w:space="0" w:color="auto"/>
        <w:left w:val="none" w:sz="0" w:space="0" w:color="auto"/>
        <w:bottom w:val="none" w:sz="0" w:space="0" w:color="auto"/>
        <w:right w:val="none" w:sz="0" w:space="0" w:color="auto"/>
      </w:divBdr>
    </w:div>
    <w:div w:id="1601254052">
      <w:bodyDiv w:val="1"/>
      <w:marLeft w:val="0"/>
      <w:marRight w:val="0"/>
      <w:marTop w:val="0"/>
      <w:marBottom w:val="0"/>
      <w:divBdr>
        <w:top w:val="none" w:sz="0" w:space="0" w:color="auto"/>
        <w:left w:val="none" w:sz="0" w:space="0" w:color="auto"/>
        <w:bottom w:val="none" w:sz="0" w:space="0" w:color="auto"/>
        <w:right w:val="none" w:sz="0" w:space="0" w:color="auto"/>
      </w:divBdr>
    </w:div>
    <w:div w:id="1623998942">
      <w:bodyDiv w:val="1"/>
      <w:marLeft w:val="0"/>
      <w:marRight w:val="0"/>
      <w:marTop w:val="0"/>
      <w:marBottom w:val="0"/>
      <w:divBdr>
        <w:top w:val="none" w:sz="0" w:space="0" w:color="auto"/>
        <w:left w:val="none" w:sz="0" w:space="0" w:color="auto"/>
        <w:bottom w:val="none" w:sz="0" w:space="0" w:color="auto"/>
        <w:right w:val="none" w:sz="0" w:space="0" w:color="auto"/>
      </w:divBdr>
      <w:divsChild>
        <w:div w:id="1545798882">
          <w:marLeft w:val="0"/>
          <w:marRight w:val="0"/>
          <w:marTop w:val="0"/>
          <w:marBottom w:val="0"/>
          <w:divBdr>
            <w:top w:val="none" w:sz="0" w:space="0" w:color="auto"/>
            <w:left w:val="none" w:sz="0" w:space="0" w:color="auto"/>
            <w:bottom w:val="none" w:sz="0" w:space="0" w:color="auto"/>
            <w:right w:val="none" w:sz="0" w:space="0" w:color="auto"/>
          </w:divBdr>
          <w:divsChild>
            <w:div w:id="747727662">
              <w:marLeft w:val="0"/>
              <w:marRight w:val="0"/>
              <w:marTop w:val="0"/>
              <w:marBottom w:val="0"/>
              <w:divBdr>
                <w:top w:val="none" w:sz="0" w:space="0" w:color="auto"/>
                <w:left w:val="none" w:sz="0" w:space="0" w:color="auto"/>
                <w:bottom w:val="none" w:sz="0" w:space="0" w:color="auto"/>
                <w:right w:val="none" w:sz="0" w:space="0" w:color="auto"/>
              </w:divBdr>
            </w:div>
          </w:divsChild>
        </w:div>
        <w:div w:id="678042178">
          <w:marLeft w:val="0"/>
          <w:marRight w:val="0"/>
          <w:marTop w:val="0"/>
          <w:marBottom w:val="0"/>
          <w:divBdr>
            <w:top w:val="none" w:sz="0" w:space="0" w:color="auto"/>
            <w:left w:val="none" w:sz="0" w:space="0" w:color="auto"/>
            <w:bottom w:val="none" w:sz="0" w:space="0" w:color="auto"/>
            <w:right w:val="none" w:sz="0" w:space="0" w:color="auto"/>
          </w:divBdr>
          <w:divsChild>
            <w:div w:id="1681662426">
              <w:marLeft w:val="0"/>
              <w:marRight w:val="0"/>
              <w:marTop w:val="0"/>
              <w:marBottom w:val="0"/>
              <w:divBdr>
                <w:top w:val="none" w:sz="0" w:space="0" w:color="auto"/>
                <w:left w:val="none" w:sz="0" w:space="0" w:color="auto"/>
                <w:bottom w:val="none" w:sz="0" w:space="0" w:color="auto"/>
                <w:right w:val="none" w:sz="0" w:space="0" w:color="auto"/>
              </w:divBdr>
            </w:div>
          </w:divsChild>
        </w:div>
        <w:div w:id="1514417341">
          <w:marLeft w:val="0"/>
          <w:marRight w:val="0"/>
          <w:marTop w:val="0"/>
          <w:marBottom w:val="0"/>
          <w:divBdr>
            <w:top w:val="none" w:sz="0" w:space="0" w:color="auto"/>
            <w:left w:val="none" w:sz="0" w:space="0" w:color="auto"/>
            <w:bottom w:val="none" w:sz="0" w:space="0" w:color="auto"/>
            <w:right w:val="none" w:sz="0" w:space="0" w:color="auto"/>
          </w:divBdr>
          <w:divsChild>
            <w:div w:id="1843737459">
              <w:marLeft w:val="0"/>
              <w:marRight w:val="0"/>
              <w:marTop w:val="0"/>
              <w:marBottom w:val="0"/>
              <w:divBdr>
                <w:top w:val="none" w:sz="0" w:space="0" w:color="auto"/>
                <w:left w:val="none" w:sz="0" w:space="0" w:color="auto"/>
                <w:bottom w:val="none" w:sz="0" w:space="0" w:color="auto"/>
                <w:right w:val="none" w:sz="0" w:space="0" w:color="auto"/>
              </w:divBdr>
            </w:div>
          </w:divsChild>
        </w:div>
        <w:div w:id="808011830">
          <w:marLeft w:val="0"/>
          <w:marRight w:val="0"/>
          <w:marTop w:val="0"/>
          <w:marBottom w:val="0"/>
          <w:divBdr>
            <w:top w:val="none" w:sz="0" w:space="0" w:color="auto"/>
            <w:left w:val="none" w:sz="0" w:space="0" w:color="auto"/>
            <w:bottom w:val="none" w:sz="0" w:space="0" w:color="auto"/>
            <w:right w:val="none" w:sz="0" w:space="0" w:color="auto"/>
          </w:divBdr>
          <w:divsChild>
            <w:div w:id="135954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58824">
      <w:bodyDiv w:val="1"/>
      <w:marLeft w:val="0"/>
      <w:marRight w:val="0"/>
      <w:marTop w:val="0"/>
      <w:marBottom w:val="0"/>
      <w:divBdr>
        <w:top w:val="none" w:sz="0" w:space="0" w:color="auto"/>
        <w:left w:val="none" w:sz="0" w:space="0" w:color="auto"/>
        <w:bottom w:val="none" w:sz="0" w:space="0" w:color="auto"/>
        <w:right w:val="none" w:sz="0" w:space="0" w:color="auto"/>
      </w:divBdr>
    </w:div>
    <w:div w:id="1652126854">
      <w:bodyDiv w:val="1"/>
      <w:marLeft w:val="0"/>
      <w:marRight w:val="0"/>
      <w:marTop w:val="0"/>
      <w:marBottom w:val="0"/>
      <w:divBdr>
        <w:top w:val="none" w:sz="0" w:space="0" w:color="auto"/>
        <w:left w:val="none" w:sz="0" w:space="0" w:color="auto"/>
        <w:bottom w:val="none" w:sz="0" w:space="0" w:color="auto"/>
        <w:right w:val="none" w:sz="0" w:space="0" w:color="auto"/>
      </w:divBdr>
    </w:div>
    <w:div w:id="1660772523">
      <w:bodyDiv w:val="1"/>
      <w:marLeft w:val="0"/>
      <w:marRight w:val="0"/>
      <w:marTop w:val="0"/>
      <w:marBottom w:val="0"/>
      <w:divBdr>
        <w:top w:val="none" w:sz="0" w:space="0" w:color="auto"/>
        <w:left w:val="none" w:sz="0" w:space="0" w:color="auto"/>
        <w:bottom w:val="none" w:sz="0" w:space="0" w:color="auto"/>
        <w:right w:val="none" w:sz="0" w:space="0" w:color="auto"/>
      </w:divBdr>
    </w:div>
    <w:div w:id="1666469356">
      <w:bodyDiv w:val="1"/>
      <w:marLeft w:val="0"/>
      <w:marRight w:val="0"/>
      <w:marTop w:val="0"/>
      <w:marBottom w:val="0"/>
      <w:divBdr>
        <w:top w:val="none" w:sz="0" w:space="0" w:color="auto"/>
        <w:left w:val="none" w:sz="0" w:space="0" w:color="auto"/>
        <w:bottom w:val="none" w:sz="0" w:space="0" w:color="auto"/>
        <w:right w:val="none" w:sz="0" w:space="0" w:color="auto"/>
      </w:divBdr>
    </w:div>
    <w:div w:id="1676415950">
      <w:bodyDiv w:val="1"/>
      <w:marLeft w:val="0"/>
      <w:marRight w:val="0"/>
      <w:marTop w:val="0"/>
      <w:marBottom w:val="0"/>
      <w:divBdr>
        <w:top w:val="none" w:sz="0" w:space="0" w:color="auto"/>
        <w:left w:val="none" w:sz="0" w:space="0" w:color="auto"/>
        <w:bottom w:val="none" w:sz="0" w:space="0" w:color="auto"/>
        <w:right w:val="none" w:sz="0" w:space="0" w:color="auto"/>
      </w:divBdr>
      <w:divsChild>
        <w:div w:id="1145395939">
          <w:marLeft w:val="0"/>
          <w:marRight w:val="0"/>
          <w:marTop w:val="0"/>
          <w:marBottom w:val="0"/>
          <w:divBdr>
            <w:top w:val="none" w:sz="0" w:space="0" w:color="auto"/>
            <w:left w:val="none" w:sz="0" w:space="0" w:color="auto"/>
            <w:bottom w:val="none" w:sz="0" w:space="0" w:color="auto"/>
            <w:right w:val="none" w:sz="0" w:space="0" w:color="auto"/>
          </w:divBdr>
        </w:div>
      </w:divsChild>
    </w:div>
    <w:div w:id="1700929235">
      <w:bodyDiv w:val="1"/>
      <w:marLeft w:val="0"/>
      <w:marRight w:val="0"/>
      <w:marTop w:val="0"/>
      <w:marBottom w:val="0"/>
      <w:divBdr>
        <w:top w:val="none" w:sz="0" w:space="0" w:color="auto"/>
        <w:left w:val="none" w:sz="0" w:space="0" w:color="auto"/>
        <w:bottom w:val="none" w:sz="0" w:space="0" w:color="auto"/>
        <w:right w:val="none" w:sz="0" w:space="0" w:color="auto"/>
      </w:divBdr>
    </w:div>
    <w:div w:id="1722561195">
      <w:bodyDiv w:val="1"/>
      <w:marLeft w:val="0"/>
      <w:marRight w:val="0"/>
      <w:marTop w:val="0"/>
      <w:marBottom w:val="0"/>
      <w:divBdr>
        <w:top w:val="none" w:sz="0" w:space="0" w:color="auto"/>
        <w:left w:val="none" w:sz="0" w:space="0" w:color="auto"/>
        <w:bottom w:val="none" w:sz="0" w:space="0" w:color="auto"/>
        <w:right w:val="none" w:sz="0" w:space="0" w:color="auto"/>
      </w:divBdr>
    </w:div>
    <w:div w:id="1727990138">
      <w:bodyDiv w:val="1"/>
      <w:marLeft w:val="0"/>
      <w:marRight w:val="0"/>
      <w:marTop w:val="0"/>
      <w:marBottom w:val="0"/>
      <w:divBdr>
        <w:top w:val="none" w:sz="0" w:space="0" w:color="auto"/>
        <w:left w:val="none" w:sz="0" w:space="0" w:color="auto"/>
        <w:bottom w:val="none" w:sz="0" w:space="0" w:color="auto"/>
        <w:right w:val="none" w:sz="0" w:space="0" w:color="auto"/>
      </w:divBdr>
    </w:div>
    <w:div w:id="1782341286">
      <w:bodyDiv w:val="1"/>
      <w:marLeft w:val="0"/>
      <w:marRight w:val="0"/>
      <w:marTop w:val="0"/>
      <w:marBottom w:val="0"/>
      <w:divBdr>
        <w:top w:val="none" w:sz="0" w:space="0" w:color="auto"/>
        <w:left w:val="none" w:sz="0" w:space="0" w:color="auto"/>
        <w:bottom w:val="none" w:sz="0" w:space="0" w:color="auto"/>
        <w:right w:val="none" w:sz="0" w:space="0" w:color="auto"/>
      </w:divBdr>
    </w:div>
    <w:div w:id="1786389547">
      <w:bodyDiv w:val="1"/>
      <w:marLeft w:val="0"/>
      <w:marRight w:val="0"/>
      <w:marTop w:val="0"/>
      <w:marBottom w:val="0"/>
      <w:divBdr>
        <w:top w:val="none" w:sz="0" w:space="0" w:color="auto"/>
        <w:left w:val="none" w:sz="0" w:space="0" w:color="auto"/>
        <w:bottom w:val="none" w:sz="0" w:space="0" w:color="auto"/>
        <w:right w:val="none" w:sz="0" w:space="0" w:color="auto"/>
      </w:divBdr>
    </w:div>
    <w:div w:id="1805392759">
      <w:bodyDiv w:val="1"/>
      <w:marLeft w:val="0"/>
      <w:marRight w:val="0"/>
      <w:marTop w:val="0"/>
      <w:marBottom w:val="0"/>
      <w:divBdr>
        <w:top w:val="none" w:sz="0" w:space="0" w:color="auto"/>
        <w:left w:val="none" w:sz="0" w:space="0" w:color="auto"/>
        <w:bottom w:val="none" w:sz="0" w:space="0" w:color="auto"/>
        <w:right w:val="none" w:sz="0" w:space="0" w:color="auto"/>
      </w:divBdr>
    </w:div>
    <w:div w:id="1810321582">
      <w:bodyDiv w:val="1"/>
      <w:marLeft w:val="0"/>
      <w:marRight w:val="0"/>
      <w:marTop w:val="0"/>
      <w:marBottom w:val="0"/>
      <w:divBdr>
        <w:top w:val="none" w:sz="0" w:space="0" w:color="auto"/>
        <w:left w:val="none" w:sz="0" w:space="0" w:color="auto"/>
        <w:bottom w:val="none" w:sz="0" w:space="0" w:color="auto"/>
        <w:right w:val="none" w:sz="0" w:space="0" w:color="auto"/>
      </w:divBdr>
      <w:divsChild>
        <w:div w:id="658536552">
          <w:marLeft w:val="0"/>
          <w:marRight w:val="0"/>
          <w:marTop w:val="0"/>
          <w:marBottom w:val="0"/>
          <w:divBdr>
            <w:top w:val="none" w:sz="0" w:space="0" w:color="auto"/>
            <w:left w:val="none" w:sz="0" w:space="0" w:color="auto"/>
            <w:bottom w:val="none" w:sz="0" w:space="0" w:color="auto"/>
            <w:right w:val="none" w:sz="0" w:space="0" w:color="auto"/>
          </w:divBdr>
        </w:div>
      </w:divsChild>
    </w:div>
    <w:div w:id="1817795556">
      <w:bodyDiv w:val="1"/>
      <w:marLeft w:val="0"/>
      <w:marRight w:val="0"/>
      <w:marTop w:val="0"/>
      <w:marBottom w:val="0"/>
      <w:divBdr>
        <w:top w:val="none" w:sz="0" w:space="0" w:color="auto"/>
        <w:left w:val="none" w:sz="0" w:space="0" w:color="auto"/>
        <w:bottom w:val="none" w:sz="0" w:space="0" w:color="auto"/>
        <w:right w:val="none" w:sz="0" w:space="0" w:color="auto"/>
      </w:divBdr>
    </w:div>
    <w:div w:id="1835954080">
      <w:bodyDiv w:val="1"/>
      <w:marLeft w:val="0"/>
      <w:marRight w:val="0"/>
      <w:marTop w:val="0"/>
      <w:marBottom w:val="0"/>
      <w:divBdr>
        <w:top w:val="none" w:sz="0" w:space="0" w:color="auto"/>
        <w:left w:val="none" w:sz="0" w:space="0" w:color="auto"/>
        <w:bottom w:val="none" w:sz="0" w:space="0" w:color="auto"/>
        <w:right w:val="none" w:sz="0" w:space="0" w:color="auto"/>
      </w:divBdr>
    </w:div>
    <w:div w:id="1859078492">
      <w:bodyDiv w:val="1"/>
      <w:marLeft w:val="0"/>
      <w:marRight w:val="0"/>
      <w:marTop w:val="0"/>
      <w:marBottom w:val="0"/>
      <w:divBdr>
        <w:top w:val="none" w:sz="0" w:space="0" w:color="auto"/>
        <w:left w:val="none" w:sz="0" w:space="0" w:color="auto"/>
        <w:bottom w:val="none" w:sz="0" w:space="0" w:color="auto"/>
        <w:right w:val="none" w:sz="0" w:space="0" w:color="auto"/>
      </w:divBdr>
    </w:div>
    <w:div w:id="1873492890">
      <w:bodyDiv w:val="1"/>
      <w:marLeft w:val="0"/>
      <w:marRight w:val="0"/>
      <w:marTop w:val="0"/>
      <w:marBottom w:val="0"/>
      <w:divBdr>
        <w:top w:val="none" w:sz="0" w:space="0" w:color="auto"/>
        <w:left w:val="none" w:sz="0" w:space="0" w:color="auto"/>
        <w:bottom w:val="none" w:sz="0" w:space="0" w:color="auto"/>
        <w:right w:val="none" w:sz="0" w:space="0" w:color="auto"/>
      </w:divBdr>
      <w:divsChild>
        <w:div w:id="1360623050">
          <w:marLeft w:val="0"/>
          <w:marRight w:val="0"/>
          <w:marTop w:val="0"/>
          <w:marBottom w:val="0"/>
          <w:divBdr>
            <w:top w:val="none" w:sz="0" w:space="0" w:color="auto"/>
            <w:left w:val="none" w:sz="0" w:space="0" w:color="auto"/>
            <w:bottom w:val="none" w:sz="0" w:space="0" w:color="auto"/>
            <w:right w:val="none" w:sz="0" w:space="0" w:color="auto"/>
          </w:divBdr>
        </w:div>
      </w:divsChild>
    </w:div>
    <w:div w:id="1873641205">
      <w:bodyDiv w:val="1"/>
      <w:marLeft w:val="0"/>
      <w:marRight w:val="0"/>
      <w:marTop w:val="0"/>
      <w:marBottom w:val="0"/>
      <w:divBdr>
        <w:top w:val="none" w:sz="0" w:space="0" w:color="auto"/>
        <w:left w:val="none" w:sz="0" w:space="0" w:color="auto"/>
        <w:bottom w:val="none" w:sz="0" w:space="0" w:color="auto"/>
        <w:right w:val="none" w:sz="0" w:space="0" w:color="auto"/>
      </w:divBdr>
    </w:div>
    <w:div w:id="1889224439">
      <w:bodyDiv w:val="1"/>
      <w:marLeft w:val="0"/>
      <w:marRight w:val="0"/>
      <w:marTop w:val="0"/>
      <w:marBottom w:val="0"/>
      <w:divBdr>
        <w:top w:val="none" w:sz="0" w:space="0" w:color="auto"/>
        <w:left w:val="none" w:sz="0" w:space="0" w:color="auto"/>
        <w:bottom w:val="none" w:sz="0" w:space="0" w:color="auto"/>
        <w:right w:val="none" w:sz="0" w:space="0" w:color="auto"/>
      </w:divBdr>
      <w:divsChild>
        <w:div w:id="1603686522">
          <w:marLeft w:val="0"/>
          <w:marRight w:val="0"/>
          <w:marTop w:val="0"/>
          <w:marBottom w:val="0"/>
          <w:divBdr>
            <w:top w:val="none" w:sz="0" w:space="0" w:color="auto"/>
            <w:left w:val="none" w:sz="0" w:space="0" w:color="auto"/>
            <w:bottom w:val="none" w:sz="0" w:space="0" w:color="auto"/>
            <w:right w:val="none" w:sz="0" w:space="0" w:color="auto"/>
          </w:divBdr>
        </w:div>
      </w:divsChild>
    </w:div>
    <w:div w:id="1890220245">
      <w:bodyDiv w:val="1"/>
      <w:marLeft w:val="0"/>
      <w:marRight w:val="0"/>
      <w:marTop w:val="0"/>
      <w:marBottom w:val="0"/>
      <w:divBdr>
        <w:top w:val="none" w:sz="0" w:space="0" w:color="auto"/>
        <w:left w:val="none" w:sz="0" w:space="0" w:color="auto"/>
        <w:bottom w:val="none" w:sz="0" w:space="0" w:color="auto"/>
        <w:right w:val="none" w:sz="0" w:space="0" w:color="auto"/>
      </w:divBdr>
    </w:div>
    <w:div w:id="1908495002">
      <w:bodyDiv w:val="1"/>
      <w:marLeft w:val="0"/>
      <w:marRight w:val="0"/>
      <w:marTop w:val="0"/>
      <w:marBottom w:val="0"/>
      <w:divBdr>
        <w:top w:val="none" w:sz="0" w:space="0" w:color="auto"/>
        <w:left w:val="none" w:sz="0" w:space="0" w:color="auto"/>
        <w:bottom w:val="none" w:sz="0" w:space="0" w:color="auto"/>
        <w:right w:val="none" w:sz="0" w:space="0" w:color="auto"/>
      </w:divBdr>
    </w:div>
    <w:div w:id="1927422496">
      <w:bodyDiv w:val="1"/>
      <w:marLeft w:val="0"/>
      <w:marRight w:val="0"/>
      <w:marTop w:val="0"/>
      <w:marBottom w:val="0"/>
      <w:divBdr>
        <w:top w:val="none" w:sz="0" w:space="0" w:color="auto"/>
        <w:left w:val="none" w:sz="0" w:space="0" w:color="auto"/>
        <w:bottom w:val="none" w:sz="0" w:space="0" w:color="auto"/>
        <w:right w:val="none" w:sz="0" w:space="0" w:color="auto"/>
      </w:divBdr>
    </w:div>
    <w:div w:id="1930651745">
      <w:bodyDiv w:val="1"/>
      <w:marLeft w:val="0"/>
      <w:marRight w:val="0"/>
      <w:marTop w:val="0"/>
      <w:marBottom w:val="0"/>
      <w:divBdr>
        <w:top w:val="none" w:sz="0" w:space="0" w:color="auto"/>
        <w:left w:val="none" w:sz="0" w:space="0" w:color="auto"/>
        <w:bottom w:val="none" w:sz="0" w:space="0" w:color="auto"/>
        <w:right w:val="none" w:sz="0" w:space="0" w:color="auto"/>
      </w:divBdr>
    </w:div>
    <w:div w:id="1972515602">
      <w:bodyDiv w:val="1"/>
      <w:marLeft w:val="0"/>
      <w:marRight w:val="0"/>
      <w:marTop w:val="0"/>
      <w:marBottom w:val="0"/>
      <w:divBdr>
        <w:top w:val="none" w:sz="0" w:space="0" w:color="auto"/>
        <w:left w:val="none" w:sz="0" w:space="0" w:color="auto"/>
        <w:bottom w:val="none" w:sz="0" w:space="0" w:color="auto"/>
        <w:right w:val="none" w:sz="0" w:space="0" w:color="auto"/>
      </w:divBdr>
      <w:divsChild>
        <w:div w:id="1088191506">
          <w:marLeft w:val="0"/>
          <w:marRight w:val="0"/>
          <w:marTop w:val="0"/>
          <w:marBottom w:val="0"/>
          <w:divBdr>
            <w:top w:val="none" w:sz="0" w:space="0" w:color="auto"/>
            <w:left w:val="none" w:sz="0" w:space="0" w:color="auto"/>
            <w:bottom w:val="none" w:sz="0" w:space="0" w:color="auto"/>
            <w:right w:val="none" w:sz="0" w:space="0" w:color="auto"/>
          </w:divBdr>
        </w:div>
      </w:divsChild>
    </w:div>
    <w:div w:id="1977294442">
      <w:bodyDiv w:val="1"/>
      <w:marLeft w:val="0"/>
      <w:marRight w:val="0"/>
      <w:marTop w:val="0"/>
      <w:marBottom w:val="0"/>
      <w:divBdr>
        <w:top w:val="none" w:sz="0" w:space="0" w:color="auto"/>
        <w:left w:val="none" w:sz="0" w:space="0" w:color="auto"/>
        <w:bottom w:val="none" w:sz="0" w:space="0" w:color="auto"/>
        <w:right w:val="none" w:sz="0" w:space="0" w:color="auto"/>
      </w:divBdr>
    </w:div>
    <w:div w:id="1986155740">
      <w:bodyDiv w:val="1"/>
      <w:marLeft w:val="0"/>
      <w:marRight w:val="0"/>
      <w:marTop w:val="0"/>
      <w:marBottom w:val="0"/>
      <w:divBdr>
        <w:top w:val="none" w:sz="0" w:space="0" w:color="auto"/>
        <w:left w:val="none" w:sz="0" w:space="0" w:color="auto"/>
        <w:bottom w:val="none" w:sz="0" w:space="0" w:color="auto"/>
        <w:right w:val="none" w:sz="0" w:space="0" w:color="auto"/>
      </w:divBdr>
      <w:divsChild>
        <w:div w:id="877813663">
          <w:marLeft w:val="0"/>
          <w:marRight w:val="0"/>
          <w:marTop w:val="0"/>
          <w:marBottom w:val="0"/>
          <w:divBdr>
            <w:top w:val="none" w:sz="0" w:space="0" w:color="auto"/>
            <w:left w:val="none" w:sz="0" w:space="0" w:color="auto"/>
            <w:bottom w:val="none" w:sz="0" w:space="0" w:color="auto"/>
            <w:right w:val="none" w:sz="0" w:space="0" w:color="auto"/>
          </w:divBdr>
        </w:div>
      </w:divsChild>
    </w:div>
    <w:div w:id="2009282708">
      <w:bodyDiv w:val="1"/>
      <w:marLeft w:val="0"/>
      <w:marRight w:val="0"/>
      <w:marTop w:val="0"/>
      <w:marBottom w:val="0"/>
      <w:divBdr>
        <w:top w:val="none" w:sz="0" w:space="0" w:color="auto"/>
        <w:left w:val="none" w:sz="0" w:space="0" w:color="auto"/>
        <w:bottom w:val="none" w:sz="0" w:space="0" w:color="auto"/>
        <w:right w:val="none" w:sz="0" w:space="0" w:color="auto"/>
      </w:divBdr>
    </w:div>
    <w:div w:id="2057120474">
      <w:bodyDiv w:val="1"/>
      <w:marLeft w:val="0"/>
      <w:marRight w:val="0"/>
      <w:marTop w:val="0"/>
      <w:marBottom w:val="0"/>
      <w:divBdr>
        <w:top w:val="none" w:sz="0" w:space="0" w:color="auto"/>
        <w:left w:val="none" w:sz="0" w:space="0" w:color="auto"/>
        <w:bottom w:val="none" w:sz="0" w:space="0" w:color="auto"/>
        <w:right w:val="none" w:sz="0" w:space="0" w:color="auto"/>
      </w:divBdr>
      <w:divsChild>
        <w:div w:id="1494906266">
          <w:marLeft w:val="0"/>
          <w:marRight w:val="0"/>
          <w:marTop w:val="0"/>
          <w:marBottom w:val="0"/>
          <w:divBdr>
            <w:top w:val="none" w:sz="0" w:space="0" w:color="auto"/>
            <w:left w:val="none" w:sz="0" w:space="0" w:color="auto"/>
            <w:bottom w:val="none" w:sz="0" w:space="0" w:color="auto"/>
            <w:right w:val="none" w:sz="0" w:space="0" w:color="auto"/>
          </w:divBdr>
        </w:div>
        <w:div w:id="996685961">
          <w:marLeft w:val="0"/>
          <w:marRight w:val="0"/>
          <w:marTop w:val="0"/>
          <w:marBottom w:val="0"/>
          <w:divBdr>
            <w:top w:val="none" w:sz="0" w:space="0" w:color="auto"/>
            <w:left w:val="none" w:sz="0" w:space="0" w:color="auto"/>
            <w:bottom w:val="none" w:sz="0" w:space="0" w:color="auto"/>
            <w:right w:val="none" w:sz="0" w:space="0" w:color="auto"/>
          </w:divBdr>
        </w:div>
      </w:divsChild>
    </w:div>
    <w:div w:id="2091272988">
      <w:bodyDiv w:val="1"/>
      <w:marLeft w:val="0"/>
      <w:marRight w:val="0"/>
      <w:marTop w:val="0"/>
      <w:marBottom w:val="0"/>
      <w:divBdr>
        <w:top w:val="none" w:sz="0" w:space="0" w:color="auto"/>
        <w:left w:val="none" w:sz="0" w:space="0" w:color="auto"/>
        <w:bottom w:val="none" w:sz="0" w:space="0" w:color="auto"/>
        <w:right w:val="none" w:sz="0" w:space="0" w:color="auto"/>
      </w:divBdr>
    </w:div>
    <w:div w:id="2129815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ca://s?q=Concrete_electromagnetic_properties" TargetMode="External"/><Relationship Id="rId26" Type="http://schemas.openxmlformats.org/officeDocument/2006/relationships/image" Target="media/image7.png"/><Relationship Id="rId39" Type="http://schemas.openxmlformats.org/officeDocument/2006/relationships/hyperlink" Target="ca://s?q=Powell_conjugate_direction_method" TargetMode="External"/><Relationship Id="rId21" Type="http://schemas.openxmlformats.org/officeDocument/2006/relationships/hyperlink" Target="ca://s?q=Plaster_electromagnetic_properties" TargetMode="External"/><Relationship Id="rId34" Type="http://schemas.openxmlformats.org/officeDocument/2006/relationships/hyperlink" Target="ca://s?q=Blender_for_geometry_refinement" TargetMode="External"/><Relationship Id="rId42" Type="http://schemas.openxmlformats.org/officeDocument/2006/relationships/image" Target="media/image10.png"/><Relationship Id="rId47" Type="http://schemas.openxmlformats.org/officeDocument/2006/relationships/image" Target="media/image15.png"/><Relationship Id="rId50" Type="http://schemas.openxmlformats.org/officeDocument/2006/relationships/image" Target="media/image18.png"/><Relationship Id="rId55"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ca://s?q=Brick_electromagnetic_properties" TargetMode="External"/><Relationship Id="rId25" Type="http://schemas.openxmlformats.org/officeDocument/2006/relationships/image" Target="media/image6.png"/><Relationship Id="rId33" Type="http://schemas.openxmlformats.org/officeDocument/2006/relationships/hyperlink" Target="ca://s?q=OpenStreetMap_for_scene_construction" TargetMode="External"/><Relationship Id="rId38" Type="http://schemas.openxmlformats.org/officeDocument/2006/relationships/hyperlink" Target="ca://s?q=Dual-slope_breakpoint_distance_formula" TargetMode="External"/><Relationship Id="rId46"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hyperlink" Target="ca://s?q=Wood_electromagnetic_properties" TargetMode="External"/><Relationship Id="rId29" Type="http://schemas.openxmlformats.org/officeDocument/2006/relationships/hyperlink" Target="ca://s?q=Explain_Sionna_RT_2.0" TargetMode="External"/><Relationship Id="rId41" Type="http://schemas.openxmlformats.org/officeDocument/2006/relationships/hyperlink" Target="ca://s?q=NVIDIA_Tesla_V100_GPU" TargetMode="External"/><Relationship Id="rId54"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5.emf"/><Relationship Id="rId32" Type="http://schemas.openxmlformats.org/officeDocument/2006/relationships/hyperlink" Target="ca://s?q=SRTM_30m_DEM" TargetMode="External"/><Relationship Id="rId37" Type="http://schemas.openxmlformats.org/officeDocument/2006/relationships/hyperlink" Target="ca://s?q=Vegetation_attenuation_models" TargetMode="External"/><Relationship Id="rId40" Type="http://schemas.openxmlformats.org/officeDocument/2006/relationships/hyperlink" Target="ca://s?q=Python_geospatial_libraries" TargetMode="External"/><Relationship Id="rId45" Type="http://schemas.openxmlformats.org/officeDocument/2006/relationships/image" Target="media/image13.png"/><Relationship Id="rId53" Type="http://schemas.openxmlformats.org/officeDocument/2006/relationships/image" Target="media/image21.png"/><Relationship Id="rId58"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ca://s?q=Vegetation_electromagnetic_properties" TargetMode="External"/><Relationship Id="rId28" Type="http://schemas.openxmlformats.org/officeDocument/2006/relationships/image" Target="media/image9.png"/><Relationship Id="rId36" Type="http://schemas.openxmlformats.org/officeDocument/2006/relationships/hyperlink" Target="ca://s?q=ITU-R_P.2040-2_material_parameters" TargetMode="External"/><Relationship Id="rId49" Type="http://schemas.openxmlformats.org/officeDocument/2006/relationships/image" Target="media/image17.png"/><Relationship Id="rId57"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ca://s?q=Glass_electromagnetic_properties" TargetMode="External"/><Relationship Id="rId31" Type="http://schemas.openxmlformats.org/officeDocument/2006/relationships/hyperlink" Target="ca://s?q=UK_Environment_Agency_LiDAR" TargetMode="External"/><Relationship Id="rId44" Type="http://schemas.openxmlformats.org/officeDocument/2006/relationships/image" Target="media/image12.png"/><Relationship Id="rId52"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ca://s?q=Metal_electromagnetic_properties" TargetMode="External"/><Relationship Id="rId27" Type="http://schemas.openxmlformats.org/officeDocument/2006/relationships/image" Target="media/image8.png"/><Relationship Id="rId30" Type="http://schemas.openxmlformats.org/officeDocument/2006/relationships/hyperlink" Target="ca://s?q=Describe_Mitsuba_3_and_Dr.Jit" TargetMode="External"/><Relationship Id="rId35" Type="http://schemas.openxmlformats.org/officeDocument/2006/relationships/hyperlink" Target="ca://s?q=Ofcom_2018_propagation_dataset" TargetMode="External"/><Relationship Id="rId43" Type="http://schemas.openxmlformats.org/officeDocument/2006/relationships/image" Target="media/image11.png"/><Relationship Id="rId48" Type="http://schemas.openxmlformats.org/officeDocument/2006/relationships/image" Target="media/image16.png"/><Relationship Id="rId56" Type="http://schemas.openxmlformats.org/officeDocument/2006/relationships/image" Target="media/image24.png"/><Relationship Id="rId8" Type="http://schemas.openxmlformats.org/officeDocument/2006/relationships/webSettings" Target="webSettings.xml"/><Relationship Id="rId51" Type="http://schemas.openxmlformats.org/officeDocument/2006/relationships/image" Target="media/image19.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11b8dfc-fd9f-4701-ac6f-2de7ce1814a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519316271BB14EA2631867CA373B09" ma:contentTypeVersion="16" ma:contentTypeDescription="Create a new document." ma:contentTypeScope="" ma:versionID="7909330076b5ec18132052d90ea2c147">
  <xsd:schema xmlns:xsd="http://www.w3.org/2001/XMLSchema" xmlns:xs="http://www.w3.org/2001/XMLSchema" xmlns:p="http://schemas.microsoft.com/office/2006/metadata/properties" xmlns:ns3="474ed860-15e2-4eda-ab2c-268681e038fa" xmlns:ns4="111b8dfc-fd9f-4701-ac6f-2de7ce1814ab" targetNamespace="http://schemas.microsoft.com/office/2006/metadata/properties" ma:root="true" ma:fieldsID="34e6ee697f69fc65d0d92d35a5d9cbfd" ns3:_="" ns4:_="">
    <xsd:import namespace="474ed860-15e2-4eda-ab2c-268681e038fa"/>
    <xsd:import namespace="111b8dfc-fd9f-4701-ac6f-2de7ce1814a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DateTaken" minOccurs="0"/>
                <xsd:element ref="ns4:MediaServiceAutoTags" minOccurs="0"/>
                <xsd:element ref="ns4:MediaServiceGenerationTime" minOccurs="0"/>
                <xsd:element ref="ns4:MediaServiceEventHashCode" minOccurs="0"/>
                <xsd:element ref="ns4:MediaLengthInSeconds" minOccurs="0"/>
                <xsd:element ref="ns4:MediaServiceSystemTags" minOccurs="0"/>
                <xsd:element ref="ns4:MediaServiceSearchProperties"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4ed860-15e2-4eda-ab2c-268681e038f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11b8dfc-fd9f-4701-ac6f-2de7ce1814a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B17F1D1-8FED-4D51-A5B2-6672A01D1B51}">
  <ds:schemaRefs>
    <ds:schemaRef ds:uri="http://schemas.microsoft.com/office/2006/metadata/properties"/>
    <ds:schemaRef ds:uri="http://schemas.microsoft.com/office/infopath/2007/PartnerControls"/>
    <ds:schemaRef ds:uri="111b8dfc-fd9f-4701-ac6f-2de7ce1814ab"/>
  </ds:schemaRefs>
</ds:datastoreItem>
</file>

<file path=customXml/itemProps2.xml><?xml version="1.0" encoding="utf-8"?>
<ds:datastoreItem xmlns:ds="http://schemas.openxmlformats.org/officeDocument/2006/customXml" ds:itemID="{91915C84-00D2-4512-9FFA-2A74F9F2FE0E}">
  <ds:schemaRefs>
    <ds:schemaRef ds:uri="http://schemas.microsoft.com/sharepoint/v3/contenttype/forms"/>
  </ds:schemaRefs>
</ds:datastoreItem>
</file>

<file path=customXml/itemProps3.xml><?xml version="1.0" encoding="utf-8"?>
<ds:datastoreItem xmlns:ds="http://schemas.openxmlformats.org/officeDocument/2006/customXml" ds:itemID="{E29FD815-7BAD-479A-88DA-3125C64511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4ed860-15e2-4eda-ab2c-268681e038fa"/>
    <ds:schemaRef ds:uri="111b8dfc-fd9f-4701-ac6f-2de7ce1814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16E004C-86CA-4EDF-BFBC-F394A6C61A68}">
  <ds:schemaRefs>
    <ds:schemaRef ds:uri="http://schemas.openxmlformats.org/officeDocument/2006/bibliography"/>
  </ds:schemaRefs>
</ds:datastoreItem>
</file>

<file path=docMetadata/LabelInfo.xml><?xml version="1.0" encoding="utf-8"?>
<clbl:labelList xmlns:clbl="http://schemas.microsoft.com/office/2020/mipLabelMetadata">
  <clbl:label id="{2ad96934-43e5-41c2-9761-f335fe214cc3}" enabled="0" method="" siteId="{2ad96934-43e5-41c2-9761-f335fe214cc3}"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74</Pages>
  <Words>25839</Words>
  <Characters>147286</Characters>
  <Application>Microsoft Office Word</Application>
  <DocSecurity>0</DocSecurity>
  <Lines>1227</Lines>
  <Paragraphs>345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marc</dc:creator>
  <cp:lastModifiedBy>georges kai</cp:lastModifiedBy>
  <cp:revision>2</cp:revision>
  <cp:lastPrinted>2026-03-10T10:21:00Z</cp:lastPrinted>
  <dcterms:created xsi:type="dcterms:W3CDTF">2026-09-06T19:35:00Z</dcterms:created>
  <dcterms:modified xsi:type="dcterms:W3CDTF">2026-09-06T19:35:00Z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0x01010019519316271BB14EA2631867CA373B09</vt:lpwstr>
  </property>
</Properties>
</file>