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300" w:lineRule="auto"/>
      </w:pPr>
      <w:r>
        <w:rPr>
          <w:rFonts w:ascii="Calibri" w:hAnsi="Calibri"/>
          <w:b/>
          <w:color w:val="96BE2B"/>
          <w:sz w:val="18"/>
        </w:rPr>
        <w:t>PROJECT CANARY · TEAM STUDY GUIDE</w:t>
      </w:r>
    </w:p>
    <w:p>
      <w:pPr>
        <w:spacing w:before="0" w:after="60" w:line="240" w:lineRule="auto"/>
      </w:pPr>
      <w:r>
        <w:rPr>
          <w:rFonts w:ascii="Calibri" w:hAnsi="Calibri"/>
          <w:b/>
          <w:color w:val="173F31"/>
          <w:sz w:val="50"/>
        </w:rPr>
        <w:t>Capstone Defense Cheat Sheet</w:t>
      </w:r>
    </w:p>
    <w:p>
      <w:pPr>
        <w:spacing w:before="0" w:after="200" w:line="300" w:lineRule="auto"/>
      </w:pPr>
      <w:r>
        <w:rPr>
          <w:rFonts w:ascii="Calibri" w:hAnsi="Calibri"/>
          <w:color w:val="607069"/>
          <w:sz w:val="23"/>
        </w:rPr>
        <w:t>What Canary is, how each component works, what the results mean, and which claims the evidence supports</w:t>
      </w:r>
    </w:p>
    <w:tbl>
      <w:tblPr>
        <w:tblW w:type="dxa" w:w="9360"/>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EDF5F0"/>
          </w:tcPr>
          <w:p>
            <w:pPr>
              <w:spacing w:before="0" w:after="0" w:line="300" w:lineRule="auto"/>
            </w:pPr>
            <w:r>
              <w:rPr>
                <w:rFonts w:ascii="Calibri" w:hAnsi="Calibri"/>
                <w:b/>
                <w:color w:val="2A3730"/>
                <w:sz w:val="21"/>
              </w:rPr>
              <w:t>Core story:</w:t>
            </w:r>
            <w:r>
              <w:rPr>
                <w:rFonts w:ascii="Calibri" w:hAnsi="Calibri"/>
                <w:color w:val="2A3730"/>
                <w:sz w:val="21"/>
              </w:rPr>
              <w:t xml:space="preserve"> Identify buildings that need attention, project Day 35 weight and harvest recovery, explain the warning signs, and recommend the next management check.</w:t>
            </w:r>
          </w:p>
        </w:tc>
      </w:tr>
    </w:tbl>
    <w:p>
      <w:pPr>
        <w:spacing w:before="0" w:after="80" w:line="300" w:lineRule="auto"/>
      </w:pPr>
    </w:p>
    <w:p>
      <w:pPr>
        <w:spacing w:before="0" w:after="120" w:line="288" w:lineRule="auto"/>
      </w:pPr>
      <w:r>
        <w:rPr>
          <w:rFonts w:ascii="Calibri" w:hAnsi="Calibri"/>
          <w:b/>
          <w:color w:val="2A3730"/>
          <w:sz w:val="21"/>
        </w:rPr>
        <w:t>Purpose:</w:t>
      </w:r>
      <w:r>
        <w:rPr>
          <w:rFonts w:ascii="Calibri" w:hAnsi="Calibri"/>
          <w:color w:val="2A3730"/>
          <w:sz w:val="21"/>
        </w:rPr>
        <w:t xml:space="preserve"> A concise reference for explaining what Canary is, how it works, what the evidence supports, and where its limits are.</w:t>
      </w:r>
    </w:p>
    <w:p>
      <w:pPr>
        <w:pStyle w:val="Heading1"/>
      </w:pPr>
      <w:r>
        <w:t>1. The 30-second answer</w:t>
      </w:r>
    </w:p>
    <w:p>
      <w:pPr>
        <w:spacing w:before="0" w:after="120" w:line="288" w:lineRule="auto"/>
      </w:pPr>
      <w:r>
        <w:rPr>
          <w:rFonts w:ascii="Calibri" w:hAnsi="Calibri"/>
          <w:b/>
          <w:color w:val="2A3730"/>
          <w:sz w:val="21"/>
        </w:rPr>
        <w:t>What is Project Canary?</w:t>
      </w:r>
    </w:p>
    <w:p>
      <w:pPr>
        <w:pStyle w:val="ListBullet"/>
      </w:pPr>
      <w:r>
        <w:rPr>
          <w:rFonts w:ascii="Calibri" w:hAnsi="Calibri"/>
          <w:color w:val="2A3730"/>
          <w:sz w:val="21"/>
        </w:rPr>
        <w:t xml:space="preserve"> A daily early-warning and decision-support system for a broiler farm.</w:t>
      </w:r>
    </w:p>
    <w:p>
      <w:pPr>
        <w:pStyle w:val="ListBullet"/>
      </w:pPr>
      <w:r>
        <w:rPr>
          <w:rFonts w:ascii="Calibri" w:hAnsi="Calibri"/>
          <w:color w:val="2A3730"/>
          <w:sz w:val="21"/>
        </w:rPr>
        <w:t xml:space="preserve"> It shows which buildings need attention, why they were flagged, what Day 35 weight and harvest recovery are currently expected, and what management should inspect next.</w:t>
      </w:r>
    </w:p>
    <w:p>
      <w:pPr>
        <w:pStyle w:val="ListBullet"/>
      </w:pPr>
      <w:r>
        <w:rPr>
          <w:rFonts w:ascii="Calibri" w:hAnsi="Calibri"/>
          <w:color w:val="2A3730"/>
          <w:sz w:val="21"/>
        </w:rPr>
        <w:t xml:space="preserve"> It uses Days 1–14 as the early-warning window but continues monitoring the current flock after Day 14.</w:t>
      </w:r>
    </w:p>
    <w:p>
      <w:pPr>
        <w:spacing w:before="0" w:after="120" w:line="288" w:lineRule="auto"/>
      </w:pPr>
      <w:r>
        <w:rPr>
          <w:rFonts w:ascii="Calibri" w:hAnsi="Calibri"/>
          <w:b/>
          <w:color w:val="2A3730"/>
          <w:sz w:val="21"/>
        </w:rPr>
        <w:t>Business question</w:t>
      </w:r>
    </w:p>
    <w:tbl>
      <w:tblPr>
        <w:tblW w:type="dxa" w:w="9360"/>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2F8D9"/>
          </w:tcPr>
          <w:p>
            <w:pPr>
              <w:spacing w:before="0" w:after="0" w:line="300" w:lineRule="auto"/>
            </w:pPr>
            <w:r>
              <w:rPr>
                <w:rFonts w:ascii="Calibri" w:hAnsi="Calibri"/>
                <w:color w:val="173F31"/>
                <w:sz w:val="21"/>
              </w:rPr>
              <w:t>Based on everything known today, which buildings need attention, what Day 35 weight and harvest recovery should we expect, why are they being flagged, and what should management check next?</w:t>
            </w:r>
          </w:p>
        </w:tc>
      </w:tr>
    </w:tbl>
    <w:p>
      <w:pPr>
        <w:spacing w:after="40"/>
      </w:pPr>
    </w:p>
    <w:p>
      <w:pPr>
        <w:spacing w:before="0" w:after="120" w:line="288" w:lineRule="auto"/>
      </w:pPr>
      <w:r>
        <w:rPr>
          <w:rFonts w:ascii="Calibri" w:hAnsi="Calibri"/>
          <w:b/>
          <w:color w:val="2A3730"/>
          <w:sz w:val="21"/>
        </w:rPr>
        <w:t>Two targets, one decision workflow</w:t>
      </w:r>
    </w:p>
    <w:p>
      <w:pPr>
        <w:pStyle w:val="ListBullet"/>
      </w:pPr>
      <w:r>
        <w:rPr>
          <w:rFonts w:ascii="Calibri" w:hAnsi="Calibri"/>
          <w:color w:val="2A3730"/>
          <w:sz w:val="21"/>
        </w:rPr>
        <w:t xml:space="preserve"> </w:t>
      </w:r>
      <w:r>
        <w:rPr>
          <w:rFonts w:ascii="Calibri" w:hAnsi="Calibri"/>
          <w:b/>
          <w:color w:val="2A3730"/>
          <w:sz w:val="21"/>
        </w:rPr>
        <w:t>Growth target:</w:t>
      </w:r>
      <w:r>
        <w:rPr>
          <w:rFonts w:ascii="Calibri" w:hAnsi="Calibri"/>
          <w:color w:val="2A3730"/>
          <w:sz w:val="21"/>
        </w:rPr>
        <w:t xml:space="preserve"> at least </w:t>
      </w:r>
      <w:r>
        <w:rPr>
          <w:rFonts w:ascii="Calibri" w:hAnsi="Calibri"/>
          <w:b/>
          <w:color w:val="2A3730"/>
          <w:sz w:val="21"/>
        </w:rPr>
        <w:t>2,000 g average weight on Day 35</w:t>
      </w:r>
      <w:r>
        <w:rPr>
          <w:rFonts w:ascii="Calibri" w:hAnsi="Calibri"/>
          <w:color w:val="2A3730"/>
          <w:sz w:val="21"/>
        </w:rPr>
        <w:t>.</w:t>
      </w:r>
    </w:p>
    <w:p>
      <w:pPr>
        <w:pStyle w:val="ListBullet"/>
      </w:pPr>
      <w:r>
        <w:rPr>
          <w:rFonts w:ascii="Calibri" w:hAnsi="Calibri"/>
          <w:color w:val="2A3730"/>
          <w:sz w:val="21"/>
        </w:rPr>
        <w:t xml:space="preserve"> </w:t>
      </w:r>
      <w:r>
        <w:rPr>
          <w:rFonts w:ascii="Calibri" w:hAnsi="Calibri"/>
          <w:b/>
          <w:color w:val="2A3730"/>
          <w:sz w:val="21"/>
        </w:rPr>
        <w:t>Survival target:</w:t>
      </w:r>
      <w:r>
        <w:rPr>
          <w:rFonts w:ascii="Calibri" w:hAnsi="Calibri"/>
          <w:color w:val="2A3730"/>
          <w:sz w:val="21"/>
        </w:rPr>
        <w:t xml:space="preserve"> at least </w:t>
      </w:r>
      <w:r>
        <w:rPr>
          <w:rFonts w:ascii="Calibri" w:hAnsi="Calibri"/>
          <w:b/>
          <w:color w:val="2A3730"/>
          <w:sz w:val="21"/>
        </w:rPr>
        <w:t>95% harvest recovery</w:t>
      </w:r>
      <w:r>
        <w:rPr>
          <w:rFonts w:ascii="Calibri" w:hAnsi="Calibri"/>
          <w:color w:val="2A3730"/>
          <w:sz w:val="21"/>
        </w:rPr>
        <w:t>.</w:t>
      </w:r>
    </w:p>
    <w:p>
      <w:pPr>
        <w:pStyle w:val="ListBullet"/>
      </w:pPr>
      <w:r>
        <w:rPr>
          <w:rFonts w:ascii="Calibri" w:hAnsi="Calibri"/>
          <w:color w:val="2A3730"/>
          <w:sz w:val="21"/>
        </w:rPr>
        <w:t xml:space="preserve"> These represent different outcomes: growth performance and birds remaining.</w:t>
      </w:r>
    </w:p>
    <w:p>
      <w:pPr>
        <w:pStyle w:val="Heading1"/>
      </w:pPr>
      <w:r>
        <w:t>2. The one-minute workflow</w:t>
      </w:r>
    </w:p>
    <w:p>
      <w:pPr>
        <w:numPr>
          <w:ilvl w:val="0"/>
          <w:numId w:val="10"/>
        </w:numPr>
        <w:spacing w:before="0" w:after="60" w:line="283" w:lineRule="auto"/>
      </w:pPr>
      <w:r>
        <w:rPr>
          <w:rFonts w:ascii="Calibri" w:hAnsi="Calibri"/>
          <w:color w:val="2A3730"/>
          <w:sz w:val="21"/>
        </w:rPr>
        <w:t>Load the farm workbook.</w:t>
      </w:r>
    </w:p>
    <w:p>
      <w:pPr>
        <w:numPr>
          <w:ilvl w:val="0"/>
          <w:numId w:val="10"/>
        </w:numPr>
        <w:spacing w:before="0" w:after="60" w:line="283" w:lineRule="auto"/>
      </w:pPr>
      <w:r>
        <w:rPr>
          <w:rFonts w:ascii="Calibri" w:hAnsi="Calibri"/>
          <w:color w:val="2A3730"/>
          <w:sz w:val="21"/>
        </w:rPr>
        <w:t>Select the current harvest cycle and an as-of review date.</w:t>
      </w:r>
    </w:p>
    <w:p>
      <w:pPr>
        <w:numPr>
          <w:ilvl w:val="0"/>
          <w:numId w:val="10"/>
        </w:numPr>
        <w:spacing w:before="0" w:after="60" w:line="283" w:lineRule="auto"/>
      </w:pPr>
      <w:r>
        <w:rPr>
          <w:rFonts w:ascii="Calibri" w:hAnsi="Calibri"/>
          <w:color w:val="2A3730"/>
          <w:sz w:val="21"/>
        </w:rPr>
        <w:t>Use only records available on or before that date.</w:t>
      </w:r>
    </w:p>
    <w:p>
      <w:pPr>
        <w:numPr>
          <w:ilvl w:val="0"/>
          <w:numId w:val="10"/>
        </w:numPr>
        <w:spacing w:before="0" w:after="60" w:line="283" w:lineRule="auto"/>
      </w:pPr>
      <w:r>
        <w:rPr>
          <w:rFonts w:ascii="Calibri" w:hAnsi="Calibri"/>
          <w:color w:val="2A3730"/>
          <w:sz w:val="21"/>
        </w:rPr>
        <w:t>Score four operational warning signs for every building.</w:t>
      </w:r>
    </w:p>
    <w:p>
      <w:pPr>
        <w:numPr>
          <w:ilvl w:val="0"/>
          <w:numId w:val="10"/>
        </w:numPr>
        <w:spacing w:before="0" w:after="60" w:line="283" w:lineRule="auto"/>
      </w:pPr>
      <w:r>
        <w:rPr>
          <w:rFonts w:ascii="Calibri" w:hAnsi="Calibri"/>
          <w:color w:val="2A3730"/>
          <w:sz w:val="21"/>
        </w:rPr>
        <w:t>Estimate harvest recovery and project Day 35 average weight.</w:t>
      </w:r>
    </w:p>
    <w:p>
      <w:pPr>
        <w:numPr>
          <w:ilvl w:val="0"/>
          <w:numId w:val="10"/>
        </w:numPr>
        <w:spacing w:before="0" w:after="60" w:line="283" w:lineRule="auto"/>
      </w:pPr>
      <w:r>
        <w:rPr>
          <w:rFonts w:ascii="Calibri" w:hAnsi="Calibri"/>
          <w:color w:val="2A3730"/>
          <w:sz w:val="21"/>
        </w:rPr>
        <w:t>Explain the risk-score components and the model drivers.</w:t>
      </w:r>
    </w:p>
    <w:p>
      <w:pPr>
        <w:numPr>
          <w:ilvl w:val="0"/>
          <w:numId w:val="10"/>
        </w:numPr>
        <w:spacing w:before="0" w:after="60" w:line="283" w:lineRule="auto"/>
      </w:pPr>
      <w:r>
        <w:rPr>
          <w:rFonts w:ascii="Calibri" w:hAnsi="Calibri"/>
          <w:color w:val="2A3730"/>
          <w:sz w:val="21"/>
        </w:rPr>
        <w:t>Check current temperature, humidity, feed, and mortality against provisional farm thresholds.</w:t>
      </w:r>
    </w:p>
    <w:p>
      <w:pPr>
        <w:numPr>
          <w:ilvl w:val="0"/>
          <w:numId w:val="10"/>
        </w:numPr>
        <w:spacing w:before="0" w:after="60" w:line="283" w:lineRule="auto"/>
      </w:pPr>
      <w:r>
        <w:rPr>
          <w:rFonts w:ascii="Calibri" w:hAnsi="Calibri"/>
          <w:color w:val="2A3730"/>
          <w:sz w:val="21"/>
        </w:rPr>
        <w:t>Lead with the most specific supported operating alert and match it to a management action.</w:t>
      </w:r>
    </w:p>
    <w:p>
      <w:pPr>
        <w:spacing w:before="0" w:after="120" w:line="288" w:lineRule="auto"/>
      </w:pPr>
      <w:r>
        <w:rPr>
          <w:rFonts w:ascii="Calibri" w:hAnsi="Calibri"/>
          <w:b/>
          <w:color w:val="2A3730"/>
          <w:sz w:val="21"/>
        </w:rPr>
        <w:t>Important distinction</w:t>
      </w:r>
    </w:p>
    <w:p>
      <w:pPr>
        <w:pStyle w:val="ListBullet"/>
      </w:pPr>
      <w:r>
        <w:rPr>
          <w:rFonts w:ascii="Calibri" w:hAnsi="Calibri"/>
          <w:color w:val="2A3730"/>
          <w:sz w:val="21"/>
        </w:rPr>
        <w:t xml:space="preserve"> The </w:t>
      </w:r>
      <w:r>
        <w:rPr>
          <w:rFonts w:ascii="Calibri" w:hAnsi="Calibri"/>
          <w:b/>
          <w:color w:val="2A3730"/>
          <w:sz w:val="21"/>
        </w:rPr>
        <w:t>risk score</w:t>
      </w:r>
      <w:r>
        <w:rPr>
          <w:rFonts w:ascii="Calibri" w:hAnsi="Calibri"/>
          <w:color w:val="2A3730"/>
          <w:sz w:val="21"/>
        </w:rPr>
        <w:t xml:space="preserve"> prioritizes attention.</w:t>
      </w:r>
    </w:p>
    <w:p>
      <w:pPr>
        <w:pStyle w:val="ListBullet"/>
      </w:pPr>
      <w:r>
        <w:rPr>
          <w:rFonts w:ascii="Calibri" w:hAnsi="Calibri"/>
          <w:color w:val="2A3730"/>
          <w:sz w:val="21"/>
        </w:rPr>
        <w:t xml:space="preserve"> The </w:t>
      </w:r>
      <w:r>
        <w:rPr>
          <w:rFonts w:ascii="Calibri" w:hAnsi="Calibri"/>
          <w:b/>
          <w:color w:val="2A3730"/>
          <w:sz w:val="21"/>
        </w:rPr>
        <w:t>models</w:t>
      </w:r>
      <w:r>
        <w:rPr>
          <w:rFonts w:ascii="Calibri" w:hAnsi="Calibri"/>
          <w:color w:val="2A3730"/>
          <w:sz w:val="21"/>
        </w:rPr>
        <w:t xml:space="preserve"> estimate the two outcomes.</w:t>
      </w:r>
    </w:p>
    <w:p>
      <w:pPr>
        <w:pStyle w:val="ListBullet"/>
      </w:pPr>
      <w:r>
        <w:rPr>
          <w:rFonts w:ascii="Calibri" w:hAnsi="Calibri"/>
          <w:color w:val="2A3730"/>
          <w:sz w:val="21"/>
        </w:rPr>
        <w:t xml:space="preserve"> The </w:t>
      </w:r>
      <w:r>
        <w:rPr>
          <w:rFonts w:ascii="Calibri" w:hAnsi="Calibri"/>
          <w:b/>
          <w:color w:val="2A3730"/>
          <w:sz w:val="21"/>
        </w:rPr>
        <w:t>operational alert layer</w:t>
      </w:r>
      <w:r>
        <w:rPr>
          <w:rFonts w:ascii="Calibri" w:hAnsi="Calibri"/>
          <w:color w:val="2A3730"/>
          <w:sz w:val="21"/>
        </w:rPr>
        <w:t xml:space="preserve"> identifies a measurable condition management can investigate.</w:t>
      </w:r>
    </w:p>
    <w:p>
      <w:pPr>
        <w:pStyle w:val="ListBullet"/>
      </w:pPr>
      <w:r>
        <w:rPr>
          <w:rFonts w:ascii="Calibri" w:hAnsi="Calibri"/>
          <w:color w:val="2A3730"/>
          <w:sz w:val="21"/>
        </w:rPr>
        <w:t xml:space="preserve"> The </w:t>
      </w:r>
      <w:r>
        <w:rPr>
          <w:rFonts w:ascii="Calibri" w:hAnsi="Calibri"/>
          <w:b/>
          <w:color w:val="2A3730"/>
          <w:sz w:val="21"/>
        </w:rPr>
        <w:t>playbook</w:t>
      </w:r>
      <w:r>
        <w:rPr>
          <w:rFonts w:ascii="Calibri" w:hAnsi="Calibri"/>
          <w:color w:val="2A3730"/>
          <w:sz w:val="21"/>
        </w:rPr>
        <w:t xml:space="preserve"> recommends the next inspection or adjustment toward an approved target range.</w:t>
      </w:r>
    </w:p>
    <w:p>
      <w:pPr>
        <w:pStyle w:val="ListBullet"/>
      </w:pPr>
      <w:r>
        <w:rPr>
          <w:rFonts w:ascii="Calibri" w:hAnsi="Calibri"/>
          <w:color w:val="2A3730"/>
          <w:sz w:val="21"/>
        </w:rPr>
        <w:t xml:space="preserve"> The risk label is </w:t>
      </w:r>
      <w:r>
        <w:rPr>
          <w:rFonts w:ascii="Calibri" w:hAnsi="Calibri"/>
          <w:b/>
          <w:color w:val="2A3730"/>
          <w:sz w:val="21"/>
        </w:rPr>
        <w:t>not</w:t>
      </w:r>
      <w:r>
        <w:rPr>
          <w:rFonts w:ascii="Calibri" w:hAnsi="Calibri"/>
          <w:color w:val="2A3730"/>
          <w:sz w:val="21"/>
        </w:rPr>
        <w:t xml:space="preserve"> a probability of missing either target.</w:t>
      </w:r>
    </w:p>
    <w:p>
      <w:pPr>
        <w:pStyle w:val="Heading1"/>
      </w:pPr>
      <w:r>
        <w:t>2A. How every current-building card is produced</w:t>
      </w:r>
    </w:p>
    <w:tbl>
      <w:tblPr>
        <w:tblStyle w:val="TableGrid"/>
        <w:tblW w:type="dxa" w:w="9360"/>
        <w:tblLayout w:type="fixed"/>
        <w:tblLook w:firstColumn="1" w:firstRow="1" w:lastColumn="0" w:lastRow="0" w:noHBand="0" w:noVBand="1" w:val="04A0"/>
        <w:tblInd w:w="120" w:type="dxa"/>
      </w:tblPr>
      <w:tblGrid>
        <w:gridCol w:w="3000"/>
        <w:gridCol w:w="6360"/>
      </w:tblGrid>
      <w:tr>
        <w:trPr>
          <w:cantSplit/>
          <w:tblHeader w:val="true"/>
        </w:trPr>
        <w:tc>
          <w:tcPr>
            <w:tcW w:type="dxa" w:w="3000"/>
            <w:tcMar>
              <w:top w:w="80" w:type="dxa"/>
              <w:start w:w="120" w:type="dxa"/>
              <w:bottom w:w="80" w:type="dxa"/>
              <w:end w:w="120" w:type="dxa"/>
            </w:tcMar>
            <w:vAlign w:val="center"/>
            <w:shd w:fill="286245"/>
          </w:tcPr>
          <w:p>
            <w:pPr>
              <w:keepLines/>
              <w:spacing w:before="0" w:after="0" w:line="264" w:lineRule="auto"/>
            </w:pPr>
            <w:r>
              <w:rPr>
                <w:b/>
              </w:rPr>
            </w:r>
            <w:r>
              <w:rPr>
                <w:rFonts w:ascii="Calibri" w:hAnsi="Calibri"/>
                <w:b/>
                <w:color w:val="FFFFFF"/>
                <w:sz w:val="19"/>
              </w:rPr>
              <w:t>Card output</w:t>
            </w:r>
          </w:p>
        </w:tc>
        <w:tc>
          <w:tcPr>
            <w:tcW w:type="dxa" w:w="6360"/>
            <w:tcMar>
              <w:top w:w="80" w:type="dxa"/>
              <w:start w:w="120" w:type="dxa"/>
              <w:bottom w:w="80" w:type="dxa"/>
              <w:end w:w="120" w:type="dxa"/>
            </w:tcMar>
            <w:vAlign w:val="center"/>
            <w:shd w:fill="286245"/>
          </w:tcPr>
          <w:p>
            <w:pPr>
              <w:keepLines/>
              <w:spacing w:before="0" w:after="0" w:line="264" w:lineRule="auto"/>
            </w:pPr>
            <w:r>
              <w:rPr>
                <w:b/>
              </w:rPr>
            </w:r>
            <w:r>
              <w:rPr>
                <w:rFonts w:ascii="Calibri" w:hAnsi="Calibri"/>
                <w:b/>
                <w:color w:val="FFFFFF"/>
                <w:sz w:val="19"/>
              </w:rPr>
              <w:t>How Canary produces it</w:t>
            </w:r>
          </w:p>
        </w:tc>
      </w:tr>
      <w:tr>
        <w:trPr>
          <w:cantSplit/>
        </w:trPr>
        <w:tc>
          <w:tcPr>
            <w:tcW w:type="dxa" w:w="3000"/>
            <w:tcMar>
              <w:top w:w="80" w:type="dxa"/>
              <w:start w:w="120" w:type="dxa"/>
              <w:bottom w:w="80" w:type="dxa"/>
              <w:end w:w="120" w:type="dxa"/>
            </w:tcMar>
            <w:vAlign w:val="center"/>
          </w:tcPr>
          <w:p>
            <w:pPr>
              <w:keepLines/>
              <w:spacing w:before="0" w:after="0" w:line="264" w:lineRule="auto"/>
            </w:pPr>
            <w:r/>
            <w:r>
              <w:rPr>
                <w:rFonts w:ascii="Calibri" w:hAnsi="Calibri"/>
                <w:color w:val="2A3730"/>
                <w:sz w:val="19"/>
              </w:rPr>
              <w:t>Current state</w:t>
            </w:r>
          </w:p>
        </w:tc>
        <w:tc>
          <w:tcPr>
            <w:tcW w:type="dxa" w:w="6360"/>
            <w:tcMar>
              <w:top w:w="80" w:type="dxa"/>
              <w:start w:w="120" w:type="dxa"/>
              <w:bottom w:w="80" w:type="dxa"/>
              <w:end w:w="120" w:type="dxa"/>
            </w:tcMar>
            <w:vAlign w:val="center"/>
          </w:tcPr>
          <w:p>
            <w:pPr>
              <w:keepLines/>
              <w:spacing w:before="0" w:after="0" w:line="264" w:lineRule="auto"/>
            </w:pPr>
            <w:r/>
            <w:r>
              <w:rPr>
                <w:rFonts w:ascii="Calibri" w:hAnsi="Calibri"/>
                <w:color w:val="2A3730"/>
                <w:sz w:val="19"/>
              </w:rPr>
              <w:t>Latest population and weight observations recorded on or before the selected review date</w:t>
            </w:r>
          </w:p>
        </w:tc>
      </w:tr>
      <w:tr>
        <w:trPr>
          <w:cantSplit/>
        </w:trPr>
        <w:tc>
          <w:tcPr>
            <w:tcW w:type="dxa" w:w="300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9"/>
              </w:rPr>
              <w:t>Risk rating</w:t>
            </w:r>
          </w:p>
        </w:tc>
        <w:tc>
          <w:tcPr>
            <w:tcW w:type="dxa" w:w="636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9"/>
              </w:rPr>
              <w:t>Sum of the available 0–3 point weight, survival, mortality-trend, and peer checks; total mapped to Low/Medium/High/Critical</w:t>
            </w:r>
          </w:p>
        </w:tc>
      </w:tr>
      <w:tr>
        <w:trPr>
          <w:cantSplit/>
        </w:trPr>
        <w:tc>
          <w:tcPr>
            <w:tcW w:type="dxa" w:w="3000"/>
            <w:tcMar>
              <w:top w:w="80" w:type="dxa"/>
              <w:start w:w="120" w:type="dxa"/>
              <w:bottom w:w="80" w:type="dxa"/>
              <w:end w:w="120" w:type="dxa"/>
            </w:tcMar>
            <w:vAlign w:val="center"/>
          </w:tcPr>
          <w:p>
            <w:pPr>
              <w:keepLines/>
              <w:spacing w:before="0" w:after="0" w:line="264" w:lineRule="auto"/>
            </w:pPr>
            <w:r/>
            <w:r>
              <w:rPr>
                <w:rFonts w:ascii="Calibri" w:hAnsi="Calibri"/>
                <w:color w:val="2A3730"/>
                <w:sz w:val="19"/>
              </w:rPr>
              <w:t>Main reason</w:t>
            </w:r>
          </w:p>
        </w:tc>
        <w:tc>
          <w:tcPr>
            <w:tcW w:type="dxa" w:w="6360"/>
            <w:tcMar>
              <w:top w:w="80" w:type="dxa"/>
              <w:start w:w="120" w:type="dxa"/>
              <w:bottom w:w="80" w:type="dxa"/>
              <w:end w:w="120" w:type="dxa"/>
            </w:tcMar>
            <w:vAlign w:val="center"/>
          </w:tcPr>
          <w:p>
            <w:pPr>
              <w:keepLines/>
              <w:spacing w:before="0" w:after="0" w:line="264" w:lineRule="auto"/>
            </w:pPr>
            <w:r/>
            <w:r>
              <w:rPr>
                <w:rFonts w:ascii="Calibri" w:hAnsi="Calibri"/>
                <w:color w:val="2A3730"/>
                <w:sz w:val="19"/>
              </w:rPr>
              <w:t>Most specific current operational alert when supported; otherwise the strongest rules-based risk driver</w:t>
            </w:r>
          </w:p>
        </w:tc>
      </w:tr>
      <w:tr>
        <w:trPr>
          <w:cantSplit/>
        </w:trPr>
        <w:tc>
          <w:tcPr>
            <w:tcW w:type="dxa" w:w="300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9"/>
              </w:rPr>
              <w:t>Projected harvest recovery</w:t>
            </w:r>
          </w:p>
        </w:tc>
        <w:tc>
          <w:tcPr>
            <w:tcW w:type="dxa" w:w="636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9"/>
              </w:rPr>
              <w:t>Selected compact Ridge model using age, current survival, mortality, feed, and available temperature/humidity inputs</w:t>
            </w:r>
          </w:p>
        </w:tc>
      </w:tr>
      <w:tr>
        <w:trPr>
          <w:cantSplit/>
        </w:trPr>
        <w:tc>
          <w:tcPr>
            <w:tcW w:type="dxa" w:w="3000"/>
            <w:tcMar>
              <w:top w:w="80" w:type="dxa"/>
              <w:start w:w="120" w:type="dxa"/>
              <w:bottom w:w="80" w:type="dxa"/>
              <w:end w:w="120" w:type="dxa"/>
            </w:tcMar>
            <w:vAlign w:val="center"/>
          </w:tcPr>
          <w:p>
            <w:pPr>
              <w:keepLines/>
              <w:spacing w:before="0" w:after="0" w:line="264" w:lineRule="auto"/>
            </w:pPr>
            <w:r/>
            <w:r>
              <w:rPr>
                <w:rFonts w:ascii="Calibri" w:hAnsi="Calibri"/>
                <w:color w:val="2A3730"/>
                <w:sz w:val="19"/>
              </w:rPr>
              <w:t>Projected Day 35 weight</w:t>
            </w:r>
          </w:p>
        </w:tc>
        <w:tc>
          <w:tcPr>
            <w:tcW w:type="dxa" w:w="6360"/>
            <w:tcMar>
              <w:top w:w="80" w:type="dxa"/>
              <w:start w:w="120" w:type="dxa"/>
              <w:bottom w:w="80" w:type="dxa"/>
              <w:end w:w="120" w:type="dxa"/>
            </w:tcMar>
            <w:vAlign w:val="center"/>
          </w:tcPr>
          <w:p>
            <w:pPr>
              <w:keepLines/>
              <w:spacing w:before="0" w:after="0" w:line="264" w:lineRule="auto"/>
            </w:pPr>
            <w:r/>
            <w:r>
              <w:rPr>
                <w:rFonts w:ascii="Calibri" w:hAnsi="Calibri"/>
                <w:color w:val="2A3730"/>
                <w:sz w:val="19"/>
              </w:rPr>
              <w:t>Latest measured weight plus historically expected remaining gain from that measurement age to Day 35</w:t>
            </w:r>
          </w:p>
        </w:tc>
      </w:tr>
      <w:tr>
        <w:trPr>
          <w:cantSplit/>
        </w:trPr>
        <w:tc>
          <w:tcPr>
            <w:tcW w:type="dxa" w:w="300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9"/>
              </w:rPr>
              <w:t>Identified problem</w:t>
            </w:r>
          </w:p>
        </w:tc>
        <w:tc>
          <w:tcPr>
            <w:tcW w:type="dxa" w:w="636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9"/>
              </w:rPr>
              <w:t>Deterministic pattern assigned from which risk dimensions are elevated and whether the concern is localized or farm-wide</w:t>
            </w:r>
          </w:p>
        </w:tc>
      </w:tr>
      <w:tr>
        <w:trPr>
          <w:cantSplit/>
        </w:trPr>
        <w:tc>
          <w:tcPr>
            <w:tcW w:type="dxa" w:w="3000"/>
            <w:tcMar>
              <w:top w:w="80" w:type="dxa"/>
              <w:start w:w="120" w:type="dxa"/>
              <w:bottom w:w="80" w:type="dxa"/>
              <w:end w:w="120" w:type="dxa"/>
            </w:tcMar>
            <w:vAlign w:val="center"/>
          </w:tcPr>
          <w:p>
            <w:pPr>
              <w:keepLines/>
              <w:spacing w:before="0" w:after="0" w:line="264" w:lineRule="auto"/>
            </w:pPr>
            <w:r/>
            <w:r>
              <w:rPr>
                <w:rFonts w:ascii="Calibri" w:hAnsi="Calibri"/>
                <w:color w:val="2A3730"/>
                <w:sz w:val="19"/>
              </w:rPr>
              <w:t>Next action</w:t>
            </w:r>
          </w:p>
        </w:tc>
        <w:tc>
          <w:tcPr>
            <w:tcW w:type="dxa" w:w="6360"/>
            <w:tcMar>
              <w:top w:w="80" w:type="dxa"/>
              <w:start w:w="120" w:type="dxa"/>
              <w:bottom w:w="80" w:type="dxa"/>
              <w:end w:w="120" w:type="dxa"/>
            </w:tcMar>
            <w:vAlign w:val="center"/>
          </w:tcPr>
          <w:p>
            <w:pPr>
              <w:keepLines/>
              <w:spacing w:before="0" w:after="0" w:line="264" w:lineRule="auto"/>
            </w:pPr>
            <w:r/>
            <w:r>
              <w:rPr>
                <w:rFonts w:ascii="Calibri" w:hAnsi="Calibri"/>
                <w:color w:val="2A3730"/>
                <w:sz w:val="19"/>
              </w:rPr>
              <w:t>Specific operational-alert action when supported; otherwise the deterministic playbook rule for the identified pattern, with urgency from the risk rating</w:t>
            </w:r>
          </w:p>
        </w:tc>
      </w:tr>
      <w:tr>
        <w:trPr>
          <w:cantSplit/>
        </w:trPr>
        <w:tc>
          <w:tcPr>
            <w:tcW w:type="dxa" w:w="300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9"/>
              </w:rPr>
              <w:t>Gross revenue at risk</w:t>
            </w:r>
          </w:p>
        </w:tc>
        <w:tc>
          <w:tcPr>
            <w:tcW w:type="dxa" w:w="636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9"/>
              </w:rPr>
              <w:t>Beginning birds × recovery gap to 95% × assumed sale weight × assumed PHP price per kg</w:t>
            </w:r>
          </w:p>
        </w:tc>
      </w:tr>
    </w:tbl>
    <w:p>
      <w:pPr>
        <w:spacing w:after="40"/>
      </w:pPr>
    </w:p>
    <w:p>
      <w:pPr>
        <w:pStyle w:val="Heading3"/>
      </w:pPr>
      <w:r>
        <w:t>Worked current-cycle example — Tags 2 on Day 22</w:t>
      </w:r>
    </w:p>
    <w:p>
      <w:pPr>
        <w:spacing w:before="0" w:after="120" w:line="288" w:lineRule="auto"/>
      </w:pPr>
      <w:r>
        <w:rPr>
          <w:rFonts w:ascii="Calibri" w:hAnsi="Calibri"/>
          <w:color w:val="2A3730"/>
          <w:sz w:val="21"/>
        </w:rPr>
        <w:t xml:space="preserve">This is the result using records available through </w:t>
      </w:r>
      <w:r>
        <w:rPr>
          <w:rFonts w:ascii="Calibri" w:hAnsi="Calibri"/>
          <w:b/>
          <w:color w:val="2A3730"/>
          <w:sz w:val="21"/>
        </w:rPr>
        <w:t>25 July 2026</w:t>
      </w:r>
      <w:r>
        <w:rPr>
          <w:rFonts w:ascii="Calibri" w:hAnsi="Calibri"/>
          <w:color w:val="2A3730"/>
          <w:sz w:val="21"/>
        </w:rPr>
        <w:t xml:space="preserve"> for cycle </w:t>
      </w:r>
      <w:r>
        <w:rPr>
          <w:rFonts w:ascii="Calibri" w:hAnsi="Calibri"/>
          <w:b/>
          <w:color w:val="2A3730"/>
          <w:sz w:val="21"/>
        </w:rPr>
        <w:t>2026-3</w:t>
      </w:r>
      <w:r>
        <w:rPr>
          <w:rFonts w:ascii="Calibri" w:hAnsi="Calibri"/>
          <w:color w:val="2A3730"/>
          <w:sz w:val="21"/>
        </w:rPr>
        <w:t>.</w:t>
      </w:r>
    </w:p>
    <w:p>
      <w:pPr>
        <w:pStyle w:val="Heading3"/>
      </w:pPr>
      <w:r>
        <w:t>A. Risk rating — Medium, 3/12</w:t>
      </w:r>
    </w:p>
    <w:tbl>
      <w:tblPr>
        <w:tblStyle w:val="TableGrid"/>
        <w:tblW w:type="dxa" w:w="9360"/>
        <w:tblLayout w:type="fixed"/>
        <w:tblLook w:firstColumn="1" w:firstRow="1" w:lastColumn="0" w:lastRow="0" w:noHBand="0" w:noVBand="1" w:val="04A0"/>
        <w:tblInd w:w="120" w:type="dxa"/>
      </w:tblPr>
      <w:tblGrid>
        <w:gridCol w:w="2500"/>
        <w:gridCol w:w="1800"/>
        <w:gridCol w:w="5060"/>
      </w:tblGrid>
      <w:tr>
        <w:trPr>
          <w:cantSplit/>
          <w:tblHeader w:val="true"/>
        </w:trPr>
        <w:tc>
          <w:tcPr>
            <w:tcW w:type="dxa" w:w="2500"/>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8"/>
              </w:rPr>
              <w:t>Risk check</w:t>
            </w:r>
          </w:p>
        </w:tc>
        <w:tc>
          <w:tcPr>
            <w:tcW w:type="dxa" w:w="1800"/>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8"/>
              </w:rPr>
              <w:t>Current calculation</w:t>
            </w:r>
          </w:p>
        </w:tc>
        <w:tc>
          <w:tcPr>
            <w:tcW w:type="dxa" w:w="5060"/>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8"/>
              </w:rPr>
              <w:t>Day 22+ threshold and score</w:t>
            </w:r>
          </w:p>
        </w:tc>
      </w:tr>
      <w:tr>
        <w:trPr>
          <w:cantSplit/>
        </w:trPr>
        <w:tc>
          <w:tcPr>
            <w:tcW w:type="dxa" w:w="250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Weight gap</w:t>
            </w:r>
          </w:p>
        </w:tc>
        <w:tc>
          <w:tcPr>
            <w:tcW w:type="dxa" w:w="180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No measured building weight in the current cycle</w:t>
            </w:r>
          </w:p>
        </w:tc>
        <w:tc>
          <w:tcPr>
            <w:tcW w:type="dxa" w:w="506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Not scored; shown as missing rather than zero</w:t>
            </w:r>
          </w:p>
        </w:tc>
      </w:tr>
      <w:tr>
        <w:trPr>
          <w:cantSplit/>
        </w:trPr>
        <w:tc>
          <w:tcPr>
            <w:tcW w:type="dxa" w:w="250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Survival reference gap</w:t>
            </w:r>
          </w:p>
        </w:tc>
        <w:tc>
          <w:tcPr>
            <w:tcW w:type="dxa" w:w="180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 xml:space="preserve">Beginning 7,114; latest population 6,763; currently alive = 6,763 ÷ 7,114 = </w:t>
            </w:r>
            <w:r>
              <w:rPr>
                <w:rFonts w:ascii="Calibri" w:hAnsi="Calibri"/>
                <w:b/>
                <w:color w:val="2A3730"/>
                <w:sz w:val="18"/>
              </w:rPr>
              <w:t>95.07%</w:t>
            </w:r>
            <w:r>
              <w:rPr>
                <w:rFonts w:ascii="Calibri" w:hAnsi="Calibri"/>
                <w:color w:val="2A3730"/>
                <w:sz w:val="18"/>
              </w:rPr>
              <w:t xml:space="preserve">. Provisional reference = 1 − (1 − 95%) × 22 ÷ 35 = </w:t>
            </w:r>
            <w:r>
              <w:rPr>
                <w:rFonts w:ascii="Calibri" w:hAnsi="Calibri"/>
                <w:b/>
                <w:color w:val="2A3730"/>
                <w:sz w:val="18"/>
              </w:rPr>
              <w:t>96.86%</w:t>
            </w:r>
            <w:r>
              <w:rPr>
                <w:rFonts w:ascii="Calibri" w:hAnsi="Calibri"/>
                <w:color w:val="2A3730"/>
                <w:sz w:val="18"/>
              </w:rPr>
              <w:t xml:space="preserve">. Gap = </w:t>
            </w:r>
            <w:r>
              <w:rPr>
                <w:rFonts w:ascii="Calibri" w:hAnsi="Calibri"/>
                <w:b/>
                <w:color w:val="2A3730"/>
                <w:sz w:val="18"/>
              </w:rPr>
              <w:t>1.79 points</w:t>
            </w:r>
            <w:r>
              <w:rPr>
                <w:rFonts w:ascii="Calibri" w:hAnsi="Calibri"/>
                <w:color w:val="2A3730"/>
                <w:sz w:val="18"/>
              </w:rPr>
              <w:t>.</w:t>
            </w:r>
          </w:p>
        </w:tc>
        <w:tc>
          <w:tcPr>
            <w:tcW w:type="dxa" w:w="506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 xml:space="preserve">0: ≤0.75; 1: &gt;0.75–2; 2: &gt;2–4; 3: &gt;4 points. </w:t>
            </w:r>
            <w:r>
              <w:rPr>
                <w:rFonts w:ascii="Calibri" w:hAnsi="Calibri"/>
                <w:b/>
                <w:color w:val="2A3730"/>
                <w:sz w:val="18"/>
              </w:rPr>
              <w:t>Score 1.</w:t>
            </w:r>
          </w:p>
        </w:tc>
      </w:tr>
      <w:tr>
        <w:trPr>
          <w:cantSplit/>
        </w:trPr>
        <w:tc>
          <w:tcPr>
            <w:tcW w:type="dxa" w:w="250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Mortality trend</w:t>
            </w:r>
          </w:p>
        </w:tc>
        <w:tc>
          <w:tcPr>
            <w:tcW w:type="dxa" w:w="180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 xml:space="preserve">Recent three-day mortality = 1.36/1,000; preceding baseline = 1.51/1,000. Worsening amount = max(1.36 − 1.51, 0) = </w:t>
            </w:r>
            <w:r>
              <w:rPr>
                <w:rFonts w:ascii="Calibri" w:hAnsi="Calibri"/>
                <w:b/>
                <w:color w:val="2A3730"/>
                <w:sz w:val="18"/>
              </w:rPr>
              <w:t>0.00/1,000</w:t>
            </w:r>
            <w:r>
              <w:rPr>
                <w:rFonts w:ascii="Calibri" w:hAnsi="Calibri"/>
                <w:color w:val="2A3730"/>
                <w:sz w:val="18"/>
              </w:rPr>
              <w:t>.</w:t>
            </w:r>
          </w:p>
        </w:tc>
        <w:tc>
          <w:tcPr>
            <w:tcW w:type="dxa" w:w="506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 xml:space="preserve">0: ≤0.15; 1: &gt;0.15–0.50; 2: &gt;0.50–0.95; 3: &gt;0.95/1,000. </w:t>
            </w:r>
            <w:r>
              <w:rPr>
                <w:rFonts w:ascii="Calibri" w:hAnsi="Calibri"/>
                <w:b/>
                <w:color w:val="2A3730"/>
                <w:sz w:val="18"/>
              </w:rPr>
              <w:t>Score 0.</w:t>
            </w:r>
          </w:p>
        </w:tc>
      </w:tr>
      <w:tr>
        <w:trPr>
          <w:cantSplit/>
        </w:trPr>
        <w:tc>
          <w:tcPr>
            <w:tcW w:type="dxa" w:w="250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Peer comparison</w:t>
            </w:r>
          </w:p>
        </w:tc>
        <w:tc>
          <w:tcPr>
            <w:tcW w:type="dxa" w:w="180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 xml:space="preserve">Recent mortality is </w:t>
            </w:r>
            <w:r>
              <w:rPr>
                <w:rFonts w:ascii="Calibri" w:hAnsi="Calibri"/>
                <w:b/>
                <w:color w:val="2A3730"/>
                <w:sz w:val="18"/>
              </w:rPr>
              <w:t>0.38/1,000 worse</w:t>
            </w:r>
            <w:r>
              <w:rPr>
                <w:rFonts w:ascii="Calibri" w:hAnsi="Calibri"/>
                <w:color w:val="2A3730"/>
                <w:sz w:val="18"/>
              </w:rPr>
              <w:t xml:space="preserve"> than the median of Tags 1 and Tags 3.</w:t>
            </w:r>
          </w:p>
        </w:tc>
        <w:tc>
          <w:tcPr>
            <w:tcW w:type="dxa" w:w="506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 xml:space="preserve">0: ≤0.10; 1: &gt;0.10–0.30; 2: &gt;0.30–0.60; 3: &gt;0.60/1,000. </w:t>
            </w:r>
            <w:r>
              <w:rPr>
                <w:rFonts w:ascii="Calibri" w:hAnsi="Calibri"/>
                <w:b/>
                <w:color w:val="2A3730"/>
                <w:sz w:val="18"/>
              </w:rPr>
              <w:t>Score 2.</w:t>
            </w:r>
          </w:p>
        </w:tc>
      </w:tr>
    </w:tbl>
    <w:p>
      <w:pPr>
        <w:spacing w:after="40"/>
      </w:pPr>
    </w:p>
    <w:p>
      <w:pPr>
        <w:spacing w:before="0" w:after="120" w:line="288" w:lineRule="auto"/>
      </w:pPr>
      <w:r>
        <w:rPr>
          <w:rFonts w:ascii="Calibri" w:hAnsi="Calibri"/>
          <w:b/>
          <w:color w:val="2A3730"/>
          <w:sz w:val="21"/>
        </w:rPr>
        <w:t>Total:</w:t>
      </w:r>
      <w:r>
        <w:rPr>
          <w:rFonts w:ascii="Calibri" w:hAnsi="Calibri"/>
          <w:color w:val="2A3730"/>
          <w:sz w:val="21"/>
        </w:rPr>
        <w:t xml:space="preserve"> survival 1 + mortality 0 + peer 2 = </w:t>
      </w:r>
      <w:r>
        <w:rPr>
          <w:rFonts w:ascii="Calibri" w:hAnsi="Calibri"/>
          <w:b/>
          <w:color w:val="2A3730"/>
          <w:sz w:val="21"/>
        </w:rPr>
        <w:t>3/12</w:t>
      </w:r>
      <w:r>
        <w:rPr>
          <w:rFonts w:ascii="Calibri" w:hAnsi="Calibri"/>
          <w:color w:val="2A3730"/>
          <w:sz w:val="21"/>
        </w:rPr>
        <w:t xml:space="preserve">. Weight is not scored. Rating bands are Low 0–1, Medium 2–3, High 4–5, and Critical 6–12. Therefore </w:t>
      </w:r>
      <w:r>
        <w:rPr>
          <w:rFonts w:ascii="Calibri" w:hAnsi="Calibri"/>
          <w:b/>
          <w:color w:val="2A3730"/>
          <w:sz w:val="21"/>
        </w:rPr>
        <w:t>3 = Medium risk</w:t>
      </w:r>
      <w:r>
        <w:rPr>
          <w:rFonts w:ascii="Calibri" w:hAnsi="Calibri"/>
          <w:color w:val="2A3730"/>
          <w:sz w:val="21"/>
        </w:rPr>
        <w:t xml:space="preserve">, with </w:t>
      </w:r>
      <w:r>
        <w:rPr>
          <w:rFonts w:ascii="Calibri" w:hAnsi="Calibri"/>
          <w:b/>
          <w:color w:val="2A3730"/>
          <w:sz w:val="21"/>
        </w:rPr>
        <w:t>3 of 4 checks supported by data</w:t>
      </w:r>
      <w:r>
        <w:rPr>
          <w:rFonts w:ascii="Calibri" w:hAnsi="Calibri"/>
          <w:color w:val="2A3730"/>
          <w:sz w:val="21"/>
        </w:rPr>
        <w:t>.</w:t>
      </w:r>
    </w:p>
    <w:p>
      <w:pPr>
        <w:spacing w:before="0" w:after="120" w:line="288" w:lineRule="auto"/>
      </w:pPr>
      <w:r>
        <w:rPr>
          <w:rFonts w:ascii="Calibri" w:hAnsi="Calibri"/>
          <w:b/>
          <w:color w:val="2A3730"/>
          <w:sz w:val="21"/>
        </w:rPr>
        <w:t>How to say this:</w:t>
      </w:r>
      <w:r>
        <w:rPr>
          <w:rFonts w:ascii="Calibri" w:hAnsi="Calibri"/>
          <w:color w:val="2A3730"/>
          <w:sz w:val="21"/>
        </w:rPr>
        <w:t xml:space="preserve"> “By Day 22, the temporary straight-line reference allows 3.14% cumulative loss, so 96.86% would remain. The record shows 95.07% remaining. The 1.79-point shortfall receives 1 point.” This reference is a configurable management benchmark, not a learned biological curve.</w:t>
      </w:r>
    </w:p>
    <w:p>
      <w:pPr>
        <w:pStyle w:val="Heading3"/>
      </w:pPr>
      <w:r>
        <w:t>B. Projected harvest recovery — 91.9%</w:t>
      </w:r>
    </w:p>
    <w:p>
      <w:pPr>
        <w:numPr>
          <w:ilvl w:val="0"/>
          <w:numId w:val="11"/>
        </w:numPr>
        <w:spacing w:before="0" w:after="60" w:line="283" w:lineRule="auto"/>
      </w:pPr>
      <w:r>
        <w:rPr>
          <w:rFonts w:ascii="Calibri" w:hAnsi="Calibri"/>
          <w:color w:val="2A3730"/>
          <w:sz w:val="21"/>
        </w:rPr>
        <w:t>Canary builds the Day 22 input row: age, current survival, latest and recent mortality, mortality trend, latest and cumulative feed, and recent temperature and humidity when available.</w:t>
      </w:r>
    </w:p>
    <w:p>
      <w:pPr>
        <w:numPr>
          <w:ilvl w:val="0"/>
          <w:numId w:val="11"/>
        </w:numPr>
        <w:spacing w:before="0" w:after="60" w:line="283" w:lineRule="auto"/>
      </w:pPr>
      <w:r>
        <w:rPr>
          <w:rFonts w:ascii="Calibri" w:hAnsi="Calibri"/>
          <w:color w:val="2A3730"/>
          <w:sz w:val="21"/>
        </w:rPr>
        <w:t>Missing values are imputed from training data and represented by explicit missing-data flags; numeric inputs are standardized.</w:t>
      </w:r>
    </w:p>
    <w:p>
      <w:pPr>
        <w:numPr>
          <w:ilvl w:val="0"/>
          <w:numId w:val="11"/>
        </w:numPr>
        <w:spacing w:before="0" w:after="60" w:line="283" w:lineRule="auto"/>
      </w:pPr>
      <w:r>
        <w:rPr>
          <w:rFonts w:ascii="Calibri" w:hAnsi="Calibri"/>
          <w:color w:val="2A3730"/>
          <w:sz w:val="21"/>
        </w:rPr>
        <w:t xml:space="preserve">The selected compact Ridge model calculates an unconstrained estimate of </w:t>
      </w:r>
      <w:r>
        <w:rPr>
          <w:rFonts w:ascii="Calibri" w:hAnsi="Calibri"/>
          <w:b/>
          <w:color w:val="2A3730"/>
          <w:sz w:val="21"/>
        </w:rPr>
        <w:t>91.8728%</w:t>
      </w:r>
      <w:r>
        <w:rPr>
          <w:rFonts w:ascii="Calibri" w:hAnsi="Calibri"/>
          <w:color w:val="2A3730"/>
          <w:sz w:val="21"/>
        </w:rPr>
        <w:t>.</w:t>
      </w:r>
    </w:p>
    <w:p>
      <w:pPr>
        <w:numPr>
          <w:ilvl w:val="0"/>
          <w:numId w:val="11"/>
        </w:numPr>
        <w:spacing w:before="0" w:after="60" w:line="283" w:lineRule="auto"/>
      </w:pPr>
      <w:r>
        <w:rPr>
          <w:rFonts w:ascii="Calibri" w:hAnsi="Calibri"/>
          <w:color w:val="2A3730"/>
          <w:sz w:val="21"/>
        </w:rPr>
        <w:t xml:space="preserve">Canary applies the accounting safeguard: final recovery cannot exceed survival already recorded today. </w:t>
      </w:r>
      <w:r>
        <w:rPr>
          <w:rFonts w:ascii="Calibri" w:hAnsi="Calibri"/>
          <w:b/>
          <w:color w:val="286245"/>
          <w:sz w:val="20"/>
        </w:rPr>
        <w:t>min(91.8728%, 95.0661%) = 91.8728%</w:t>
      </w:r>
      <w:r>
        <w:rPr>
          <w:rFonts w:ascii="Calibri" w:hAnsi="Calibri"/>
          <w:color w:val="2A3730"/>
          <w:sz w:val="21"/>
        </w:rPr>
        <w:t>.</w:t>
      </w:r>
    </w:p>
    <w:p>
      <w:pPr>
        <w:numPr>
          <w:ilvl w:val="0"/>
          <w:numId w:val="11"/>
        </w:numPr>
        <w:spacing w:before="0" w:after="60" w:line="283" w:lineRule="auto"/>
      </w:pPr>
      <w:r>
        <w:rPr>
          <w:rFonts w:ascii="Calibri" w:hAnsi="Calibri"/>
          <w:color w:val="2A3730"/>
          <w:sz w:val="21"/>
        </w:rPr>
        <w:t xml:space="preserve">Displayed prediction: </w:t>
      </w:r>
      <w:r>
        <w:rPr>
          <w:rFonts w:ascii="Calibri" w:hAnsi="Calibri"/>
          <w:b/>
          <w:color w:val="2A3730"/>
          <w:sz w:val="21"/>
        </w:rPr>
        <w:t>91.9%</w:t>
      </w:r>
      <w:r>
        <w:rPr>
          <w:rFonts w:ascii="Calibri" w:hAnsi="Calibri"/>
          <w:color w:val="2A3730"/>
          <w:sz w:val="21"/>
        </w:rPr>
        <w:t xml:space="preserve">. Gap to the 95% goal: </w:t>
      </w:r>
      <w:r>
        <w:rPr>
          <w:rFonts w:ascii="Calibri" w:hAnsi="Calibri"/>
          <w:b/>
          <w:color w:val="2A3730"/>
          <w:sz w:val="21"/>
        </w:rPr>
        <w:t>3.13 percentage points below</w:t>
      </w:r>
      <w:r>
        <w:rPr>
          <w:rFonts w:ascii="Calibri" w:hAnsi="Calibri"/>
          <w:color w:val="2A3730"/>
          <w:sz w:val="21"/>
        </w:rPr>
        <w:t>.</w:t>
      </w:r>
    </w:p>
    <w:p>
      <w:pPr>
        <w:numPr>
          <w:ilvl w:val="0"/>
          <w:numId w:val="11"/>
        </w:numPr>
        <w:spacing w:before="0" w:after="60" w:line="283" w:lineRule="auto"/>
      </w:pPr>
      <w:r>
        <w:rPr>
          <w:rFonts w:ascii="Calibri" w:hAnsi="Calibri"/>
          <w:color w:val="2A3730"/>
          <w:sz w:val="21"/>
        </w:rPr>
        <w:t xml:space="preserve">The empirical 80% likely range is approximately </w:t>
      </w:r>
      <w:r>
        <w:rPr>
          <w:rFonts w:ascii="Calibri" w:hAnsi="Calibri"/>
          <w:b/>
          <w:color w:val="2A3730"/>
          <w:sz w:val="21"/>
        </w:rPr>
        <w:t>89.6%–94.1%</w:t>
      </w:r>
      <w:r>
        <w:rPr>
          <w:rFonts w:ascii="Calibri" w:hAnsi="Calibri"/>
          <w:color w:val="2A3730"/>
          <w:sz w:val="21"/>
        </w:rPr>
        <w:t>.</w:t>
      </w:r>
    </w:p>
    <w:p>
      <w:pPr>
        <w:spacing w:before="0" w:after="120" w:line="288" w:lineRule="auto"/>
      </w:pPr>
      <w:r>
        <w:rPr>
          <w:rFonts w:ascii="Calibri" w:hAnsi="Calibri"/>
          <w:color w:val="2A3730"/>
          <w:sz w:val="21"/>
        </w:rPr>
        <w:t>The forecast is a model estimate, not part of the 3/12 risk-score calculation and not proof that a particular input caused the result.</w:t>
      </w:r>
    </w:p>
    <w:p>
      <w:pPr>
        <w:pStyle w:val="Heading3"/>
      </w:pPr>
      <w:r>
        <w:t>C. Projected Day 35 average weight — unavailable for this current card</w:t>
      </w:r>
    </w:p>
    <w:p>
      <w:pPr>
        <w:pStyle w:val="ListBullet"/>
      </w:pPr>
      <w:r>
        <w:rPr>
          <w:rFonts w:ascii="Calibri" w:hAnsi="Calibri"/>
          <w:color w:val="2A3730"/>
          <w:sz w:val="21"/>
        </w:rPr>
        <w:t xml:space="preserve"> Tags 2 has </w:t>
      </w:r>
      <w:r>
        <w:rPr>
          <w:rFonts w:ascii="Calibri" w:hAnsi="Calibri"/>
          <w:b/>
          <w:color w:val="2A3730"/>
          <w:sz w:val="21"/>
        </w:rPr>
        <w:t>no measured building weight in cycle 2026-3</w:t>
      </w:r>
      <w:r>
        <w:rPr>
          <w:rFonts w:ascii="Calibri" w:hAnsi="Calibri"/>
          <w:color w:val="2A3730"/>
          <w:sz w:val="21"/>
        </w:rPr>
        <w:t>.</w:t>
      </w:r>
    </w:p>
    <w:p>
      <w:pPr>
        <w:pStyle w:val="ListBullet"/>
      </w:pPr>
      <w:r>
        <w:rPr>
          <w:rFonts w:ascii="Calibri" w:hAnsi="Calibri"/>
          <w:color w:val="2A3730"/>
          <w:sz w:val="21"/>
        </w:rPr>
        <w:t xml:space="preserve"> Canary therefore displays </w:t>
      </w:r>
      <w:r>
        <w:rPr>
          <w:rFonts w:ascii="Calibri" w:hAnsi="Calibri"/>
          <w:b/>
          <w:color w:val="2A3730"/>
          <w:sz w:val="21"/>
        </w:rPr>
        <w:t>Not available / Needs a measured weight</w:t>
      </w:r>
      <w:r>
        <w:rPr>
          <w:rFonts w:ascii="Calibri" w:hAnsi="Calibri"/>
          <w:color w:val="2A3730"/>
          <w:sz w:val="21"/>
        </w:rPr>
        <w:t xml:space="preserve"> instead of giving every building a generic prediction.</w:t>
      </w:r>
    </w:p>
    <w:p>
      <w:pPr>
        <w:pStyle w:val="ListBullet"/>
      </w:pPr>
      <w:r>
        <w:rPr>
          <w:rFonts w:ascii="Calibri" w:hAnsi="Calibri"/>
          <w:color w:val="2A3730"/>
          <w:sz w:val="21"/>
        </w:rPr>
        <w:t xml:space="preserve"> When a measurement exists, the calculation is:</w:t>
      </w:r>
    </w:p>
    <w:tbl>
      <w:tblPr>
        <w:tblW w:type="dxa" w:w="9360"/>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2F8D9"/>
          </w:tcPr>
          <w:p>
            <w:pPr>
              <w:spacing w:before="0" w:after="0" w:line="300" w:lineRule="auto"/>
            </w:pPr>
            <w:r>
              <w:rPr>
                <w:rFonts w:ascii="Calibri" w:hAnsi="Calibri"/>
                <w:color w:val="173F31"/>
                <w:sz w:val="21"/>
              </w:rPr>
              <w:t>Projected Day 35 weight = latest measured weight + historical remaining gain from that measurement age</w:t>
            </w:r>
          </w:p>
        </w:tc>
      </w:tr>
    </w:tbl>
    <w:p>
      <w:pPr>
        <w:spacing w:after="40"/>
      </w:pPr>
    </w:p>
    <w:p>
      <w:pPr>
        <w:spacing w:before="0" w:after="120" w:line="288" w:lineRule="auto"/>
      </w:pPr>
      <w:r>
        <w:rPr>
          <w:rFonts w:ascii="Calibri" w:hAnsi="Calibri"/>
          <w:b/>
          <w:color w:val="2A3730"/>
          <w:sz w:val="21"/>
        </w:rPr>
        <w:t>Illustrative recorded example:</w:t>
      </w:r>
      <w:r>
        <w:rPr>
          <w:rFonts w:ascii="Calibri" w:hAnsi="Calibri"/>
          <w:color w:val="2A3730"/>
          <w:sz w:val="21"/>
        </w:rPr>
        <w:t xml:space="preserve"> Lags 2 in cycle 2026-2 measured </w:t>
      </w:r>
      <w:r>
        <w:rPr>
          <w:rFonts w:ascii="Calibri" w:hAnsi="Calibri"/>
          <w:b/>
          <w:color w:val="2A3730"/>
          <w:sz w:val="21"/>
        </w:rPr>
        <w:t>172.5 g on Day 14</w:t>
      </w:r>
      <w:r>
        <w:rPr>
          <w:rFonts w:ascii="Calibri" w:hAnsi="Calibri"/>
          <w:color w:val="2A3730"/>
          <w:sz w:val="21"/>
        </w:rPr>
        <w:t xml:space="preserve">. The training history's average remaining Day 14-to-35 gain is </w:t>
      </w:r>
      <w:r>
        <w:rPr>
          <w:rFonts w:ascii="Calibri" w:hAnsi="Calibri"/>
          <w:b/>
          <w:color w:val="2A3730"/>
          <w:sz w:val="21"/>
        </w:rPr>
        <w:t>1,264.3 g</w:t>
      </w:r>
      <w:r>
        <w:rPr>
          <w:rFonts w:ascii="Calibri" w:hAnsi="Calibri"/>
          <w:color w:val="2A3730"/>
          <w:sz w:val="21"/>
        </w:rPr>
        <w:t xml:space="preserve">. The projection is therefore </w:t>
      </w:r>
      <w:r>
        <w:rPr>
          <w:rFonts w:ascii="Calibri" w:hAnsi="Calibri"/>
          <w:b/>
          <w:color w:val="2A3730"/>
          <w:sz w:val="21"/>
        </w:rPr>
        <w:t>172.5 + 1,264.3 = 1,436.8 g</w:t>
      </w:r>
      <w:r>
        <w:rPr>
          <w:rFonts w:ascii="Calibri" w:hAnsi="Calibri"/>
          <w:color w:val="2A3730"/>
          <w:sz w:val="21"/>
        </w:rPr>
        <w:t xml:space="preserve">, or </w:t>
      </w:r>
      <w:r>
        <w:rPr>
          <w:rFonts w:ascii="Calibri" w:hAnsi="Calibri"/>
          <w:b/>
          <w:color w:val="2A3730"/>
          <w:sz w:val="21"/>
        </w:rPr>
        <w:t>563.2 g below</w:t>
      </w:r>
      <w:r>
        <w:rPr>
          <w:rFonts w:ascii="Calibri" w:hAnsi="Calibri"/>
          <w:color w:val="2A3730"/>
          <w:sz w:val="21"/>
        </w:rPr>
        <w:t xml:space="preserve"> the 2,000 g goal. Its empirical range is approximately </w:t>
      </w:r>
      <w:r>
        <w:rPr>
          <w:rFonts w:ascii="Calibri" w:hAnsi="Calibri"/>
          <w:b/>
          <w:color w:val="2A3730"/>
          <w:sz w:val="21"/>
        </w:rPr>
        <w:t>1,197.7–1,675.9 g</w:t>
      </w:r>
      <w:r>
        <w:rPr>
          <w:rFonts w:ascii="Calibri" w:hAnsi="Calibri"/>
          <w:color w:val="2A3730"/>
          <w:sz w:val="21"/>
        </w:rPr>
        <w:t>. This example demonstrates inference; 2026-2 cannot improve training until a reliable Day 35 outcome is supplied.</w:t>
      </w:r>
    </w:p>
    <w:p>
      <w:pPr>
        <w:pStyle w:val="Heading3"/>
      </w:pPr>
      <w:r>
        <w:t>D. Identified problem</w:t>
      </w:r>
    </w:p>
    <w:p>
      <w:pPr>
        <w:pStyle w:val="ListBullet"/>
      </w:pPr>
      <w:r>
        <w:rPr>
          <w:rFonts w:ascii="Calibri" w:hAnsi="Calibri"/>
          <w:color w:val="2A3730"/>
          <w:sz w:val="21"/>
        </w:rPr>
        <w:t xml:space="preserve"> Formal risk pattern: </w:t>
      </w:r>
      <w:r>
        <w:rPr>
          <w:rFonts w:ascii="Calibri" w:hAnsi="Calibri"/>
          <w:b/>
          <w:color w:val="2A3730"/>
          <w:sz w:val="21"/>
        </w:rPr>
        <w:t>Localized Building Drift</w:t>
      </w:r>
      <w:r>
        <w:rPr>
          <w:rFonts w:ascii="Calibri" w:hAnsi="Calibri"/>
          <w:color w:val="2A3730"/>
          <w:sz w:val="21"/>
        </w:rPr>
        <w:t>.</w:t>
      </w:r>
    </w:p>
    <w:p>
      <w:pPr>
        <w:pStyle w:val="ListBullet"/>
      </w:pPr>
      <w:r>
        <w:rPr>
          <w:rFonts w:ascii="Calibri" w:hAnsi="Calibri"/>
          <w:color w:val="2A3730"/>
          <w:sz w:val="21"/>
        </w:rPr>
        <w:t xml:space="preserve"> Reason: the peer-comparison check is elevated, while the evidence does not meet the farm-wide-drift rule.</w:t>
      </w:r>
    </w:p>
    <w:p>
      <w:pPr>
        <w:pStyle w:val="ListBullet"/>
      </w:pPr>
      <w:r>
        <w:rPr>
          <w:rFonts w:ascii="Calibri" w:hAnsi="Calibri"/>
          <w:color w:val="2A3730"/>
          <w:sz w:val="21"/>
        </w:rPr>
        <w:t xml:space="preserve"> More specific current operating alert: </w:t>
      </w:r>
      <w:r>
        <w:rPr>
          <w:rFonts w:ascii="Calibri" w:hAnsi="Calibri"/>
          <w:b/>
          <w:color w:val="2A3730"/>
          <w:sz w:val="21"/>
        </w:rPr>
        <w:t>Feed intake is 43% below the provisional Day 22 target</w:t>
      </w:r>
      <w:r>
        <w:rPr>
          <w:rFonts w:ascii="Calibri" w:hAnsi="Calibri"/>
          <w:color w:val="2A3730"/>
          <w:sz w:val="21"/>
        </w:rPr>
        <w:t>—74 g/bird recorded versus 130 g/bird proposed.</w:t>
      </w:r>
    </w:p>
    <w:p>
      <w:pPr>
        <w:pStyle w:val="ListBullet"/>
      </w:pPr>
      <w:r>
        <w:rPr>
          <w:rFonts w:ascii="Calibri" w:hAnsi="Calibri"/>
          <w:color w:val="2A3730"/>
          <w:sz w:val="21"/>
        </w:rPr>
        <w:t xml:space="preserve"> The operating alert is displayed as the practical main reason because it is more actionable, but it does </w:t>
      </w:r>
      <w:r>
        <w:rPr>
          <w:rFonts w:ascii="Calibri" w:hAnsi="Calibri"/>
          <w:b/>
          <w:color w:val="2A3730"/>
          <w:sz w:val="21"/>
        </w:rPr>
        <w:t>not</w:t>
      </w:r>
      <w:r>
        <w:rPr>
          <w:rFonts w:ascii="Calibri" w:hAnsi="Calibri"/>
          <w:color w:val="2A3730"/>
          <w:sz w:val="21"/>
        </w:rPr>
        <w:t xml:space="preserve"> add points to or alter the 3/12 risk score.</w:t>
      </w:r>
    </w:p>
    <w:p>
      <w:pPr>
        <w:pStyle w:val="Heading3"/>
      </w:pPr>
      <w:r>
        <w:t>E. Proposed solution</w:t>
      </w:r>
    </w:p>
    <w:p>
      <w:pPr>
        <w:pStyle w:val="ListBullet"/>
      </w:pPr>
      <w:r>
        <w:rPr>
          <w:rFonts w:ascii="Calibri" w:hAnsi="Calibri"/>
          <w:color w:val="2A3730"/>
          <w:sz w:val="21"/>
        </w:rPr>
        <w:t xml:space="preserve"> Medium risk sets the urgency to </w:t>
      </w:r>
      <w:r>
        <w:rPr>
          <w:rFonts w:ascii="Calibri" w:hAnsi="Calibri"/>
          <w:b/>
          <w:color w:val="2A3730"/>
          <w:sz w:val="21"/>
        </w:rPr>
        <w:t>within 24 hours</w:t>
      </w:r>
      <w:r>
        <w:rPr>
          <w:rFonts w:ascii="Calibri" w:hAnsi="Calibri"/>
          <w:color w:val="2A3730"/>
          <w:sz w:val="21"/>
        </w:rPr>
        <w:t>.</w:t>
      </w:r>
    </w:p>
    <w:p>
      <w:pPr>
        <w:pStyle w:val="ListBullet"/>
      </w:pPr>
      <w:r>
        <w:rPr>
          <w:rFonts w:ascii="Calibri" w:hAnsi="Calibri"/>
          <w:color w:val="2A3730"/>
          <w:sz w:val="21"/>
        </w:rPr>
        <w:t xml:space="preserve"> The current feed alert supplies the specific action: confirm the unit and reading; check feed availability and quality, feeder allocation and line operation, bird access, water access, house temperature, and flock condition.</w:t>
      </w:r>
    </w:p>
    <w:p>
      <w:pPr>
        <w:pStyle w:val="ListBullet"/>
      </w:pPr>
      <w:r>
        <w:rPr>
          <w:rFonts w:ascii="Calibri" w:hAnsi="Calibri"/>
          <w:color w:val="2A3730"/>
          <w:sz w:val="21"/>
        </w:rPr>
        <w:t xml:space="preserve"> The fallback pattern rule is </w:t>
      </w:r>
      <w:r>
        <w:rPr>
          <w:rFonts w:ascii="Calibri" w:hAnsi="Calibri"/>
          <w:b/>
          <w:color w:val="2A3730"/>
          <w:sz w:val="21"/>
        </w:rPr>
        <w:t>ACT-005</w:t>
      </w:r>
      <w:r>
        <w:rPr>
          <w:rFonts w:ascii="Calibri" w:hAnsi="Calibri"/>
          <w:color w:val="2A3730"/>
          <w:sz w:val="21"/>
        </w:rPr>
        <w:t>, which calls for comparison with better-performing peers and inspection for a building-specific problem.</w:t>
      </w:r>
    </w:p>
    <w:p>
      <w:pPr>
        <w:pStyle w:val="ListBullet"/>
      </w:pPr>
      <w:r>
        <w:rPr>
          <w:rFonts w:ascii="Calibri" w:hAnsi="Calibri"/>
          <w:color w:val="2A3730"/>
          <w:sz w:val="21"/>
        </w:rPr>
        <w:t xml:space="preserve"> These rules remain preliminary until Doc Raymond approves them.</w:t>
      </w:r>
    </w:p>
    <w:p>
      <w:pPr>
        <w:pStyle w:val="Heading3"/>
      </w:pPr>
      <w:r>
        <w:t>F. Gross revenue at risk — approximately PHP 53,392</w:t>
      </w:r>
    </w:p>
    <w:p>
      <w:pPr>
        <w:spacing w:before="0" w:after="120" w:line="288" w:lineRule="auto"/>
      </w:pPr>
      <w:r>
        <w:rPr>
          <w:rFonts w:ascii="Calibri" w:hAnsi="Calibri"/>
          <w:color w:val="2A3730"/>
          <w:sz w:val="21"/>
        </w:rPr>
        <w:t xml:space="preserve">Default planning assumptions are </w:t>
      </w:r>
      <w:r>
        <w:rPr>
          <w:rFonts w:ascii="Calibri" w:hAnsi="Calibri"/>
          <w:b/>
          <w:color w:val="2A3730"/>
          <w:sz w:val="21"/>
        </w:rPr>
        <w:t>2.0 kg sale weight</w:t>
      </w:r>
      <w:r>
        <w:rPr>
          <w:rFonts w:ascii="Calibri" w:hAnsi="Calibri"/>
          <w:color w:val="2A3730"/>
          <w:sz w:val="21"/>
        </w:rPr>
        <w:t xml:space="preserve"> and </w:t>
      </w:r>
      <w:r>
        <w:rPr>
          <w:rFonts w:ascii="Calibri" w:hAnsi="Calibri"/>
          <w:b/>
          <w:color w:val="2A3730"/>
          <w:sz w:val="21"/>
        </w:rPr>
        <w:t>PHP 120/kg</w:t>
      </w:r>
      <w:r>
        <w:rPr>
          <w:rFonts w:ascii="Calibri" w:hAnsi="Calibri"/>
          <w:color w:val="2A3730"/>
          <w:sz w:val="21"/>
        </w:rPr>
        <w:t xml:space="preserve">, so gross revenue per additional surviving bird is </w:t>
      </w:r>
      <w:r>
        <w:rPr>
          <w:rFonts w:ascii="Calibri" w:hAnsi="Calibri"/>
          <w:b/>
          <w:color w:val="286245"/>
          <w:sz w:val="20"/>
        </w:rPr>
        <w:t>2.0 × 120 = PHP 240</w:t>
      </w:r>
      <w:r>
        <w:rPr>
          <w:rFonts w:ascii="Calibri" w:hAnsi="Calibri"/>
          <w:color w:val="2A3730"/>
          <w:sz w:val="21"/>
        </w:rPr>
        <w:t>.</w:t>
      </w:r>
    </w:p>
    <w:p>
      <w:pPr>
        <w:numPr>
          <w:ilvl w:val="0"/>
          <w:numId w:val="12"/>
        </w:numPr>
        <w:spacing w:before="0" w:after="60" w:line="283" w:lineRule="auto"/>
      </w:pPr>
      <w:r>
        <w:rPr>
          <w:rFonts w:ascii="Calibri" w:hAnsi="Calibri"/>
          <w:color w:val="2A3730"/>
          <w:sz w:val="21"/>
        </w:rPr>
        <w:t xml:space="preserve">Recovery gap = </w:t>
      </w:r>
      <w:r>
        <w:rPr>
          <w:rFonts w:ascii="Calibri" w:hAnsi="Calibri"/>
          <w:b/>
          <w:color w:val="286245"/>
          <w:sz w:val="20"/>
        </w:rPr>
        <w:t>95.0% − 91.8728% = 3.1272 percentage points</w:t>
      </w:r>
      <w:r>
        <w:rPr>
          <w:rFonts w:ascii="Calibri" w:hAnsi="Calibri"/>
          <w:color w:val="2A3730"/>
          <w:sz w:val="21"/>
        </w:rPr>
        <w:t>.</w:t>
      </w:r>
    </w:p>
    <w:p>
      <w:pPr>
        <w:numPr>
          <w:ilvl w:val="0"/>
          <w:numId w:val="12"/>
        </w:numPr>
        <w:spacing w:before="0" w:after="60" w:line="283" w:lineRule="auto"/>
      </w:pPr>
      <w:r>
        <w:rPr>
          <w:rFonts w:ascii="Calibri" w:hAnsi="Calibri"/>
          <w:color w:val="2A3730"/>
          <w:sz w:val="21"/>
        </w:rPr>
        <w:t xml:space="preserve">Birds associated with the gap = </w:t>
      </w:r>
      <w:r>
        <w:rPr>
          <w:rFonts w:ascii="Calibri" w:hAnsi="Calibri"/>
          <w:b/>
          <w:color w:val="286245"/>
          <w:sz w:val="20"/>
        </w:rPr>
        <w:t>7,114 × 3.1272% = 222.47 birds</w:t>
      </w:r>
      <w:r>
        <w:rPr>
          <w:rFonts w:ascii="Calibri" w:hAnsi="Calibri"/>
          <w:color w:val="2A3730"/>
          <w:sz w:val="21"/>
        </w:rPr>
        <w:t>.</w:t>
      </w:r>
    </w:p>
    <w:p>
      <w:pPr>
        <w:numPr>
          <w:ilvl w:val="0"/>
          <w:numId w:val="12"/>
        </w:numPr>
        <w:spacing w:before="0" w:after="60" w:line="283" w:lineRule="auto"/>
      </w:pPr>
      <w:r>
        <w:rPr>
          <w:rFonts w:ascii="Calibri" w:hAnsi="Calibri"/>
          <w:color w:val="2A3730"/>
          <w:sz w:val="21"/>
        </w:rPr>
        <w:t xml:space="preserve">Gross revenue at risk = </w:t>
      </w:r>
      <w:r>
        <w:rPr>
          <w:rFonts w:ascii="Calibri" w:hAnsi="Calibri"/>
          <w:b/>
          <w:color w:val="286245"/>
          <w:sz w:val="20"/>
        </w:rPr>
        <w:t>222.47 × PHP 240 = PHP 53,392.15</w:t>
      </w:r>
      <w:r>
        <w:rPr>
          <w:rFonts w:ascii="Calibri" w:hAnsi="Calibri"/>
          <w:color w:val="2A3730"/>
          <w:sz w:val="21"/>
        </w:rPr>
        <w:t>.</w:t>
      </w:r>
    </w:p>
    <w:p>
      <w:pPr>
        <w:numPr>
          <w:ilvl w:val="0"/>
          <w:numId w:val="12"/>
        </w:numPr>
        <w:spacing w:before="0" w:after="60" w:line="283" w:lineRule="auto"/>
      </w:pPr>
      <w:r>
        <w:rPr>
          <w:rFonts w:ascii="Calibri" w:hAnsi="Calibri"/>
          <w:color w:val="2A3730"/>
          <w:sz w:val="21"/>
        </w:rPr>
        <w:t xml:space="preserve">Displayed rounded value = </w:t>
      </w:r>
      <w:r>
        <w:rPr>
          <w:rFonts w:ascii="Calibri" w:hAnsi="Calibri"/>
          <w:b/>
          <w:color w:val="2A3730"/>
          <w:sz w:val="21"/>
        </w:rPr>
        <w:t>PHP 53,392</w:t>
      </w:r>
      <w:r>
        <w:rPr>
          <w:rFonts w:ascii="Calibri" w:hAnsi="Calibri"/>
          <w:color w:val="2A3730"/>
          <w:sz w:val="21"/>
        </w:rPr>
        <w:t>.</w:t>
      </w:r>
    </w:p>
    <w:p>
      <w:pPr>
        <w:spacing w:before="0" w:after="120" w:line="288" w:lineRule="auto"/>
      </w:pPr>
      <w:r>
        <w:rPr>
          <w:rFonts w:ascii="Calibri" w:hAnsi="Calibri"/>
          <w:color w:val="2A3730"/>
          <w:sz w:val="21"/>
        </w:rPr>
        <w:t xml:space="preserve">This is gross revenue associated with closing the modeled recovery gap—not profit, guaranteed savings, or proof that Canary caused an improvement. Price and sale-weight assumptions are editable in </w:t>
      </w:r>
      <w:r>
        <w:rPr>
          <w:rFonts w:ascii="Calibri" w:hAnsi="Calibri"/>
          <w:b/>
          <w:color w:val="2A3730"/>
          <w:sz w:val="21"/>
        </w:rPr>
        <w:t>Business Value</w:t>
      </w:r>
      <w:r>
        <w:rPr>
          <w:rFonts w:ascii="Calibri" w:hAnsi="Calibri"/>
          <w:color w:val="2A3730"/>
          <w:sz w:val="21"/>
        </w:rPr>
        <w:t>.</w:t>
      </w:r>
    </w:p>
    <w:p>
      <w:pPr>
        <w:pStyle w:val="Heading3"/>
      </w:pPr>
      <w:r>
        <w:t>Other card details to defend</w:t>
      </w:r>
    </w:p>
    <w:p>
      <w:pPr>
        <w:pStyle w:val="ListBullet"/>
      </w:pPr>
      <w:r>
        <w:rPr>
          <w:rFonts w:ascii="Calibri" w:hAnsi="Calibri"/>
          <w:color w:val="2A3730"/>
          <w:sz w:val="21"/>
        </w:rPr>
        <w:t xml:space="preserve"> </w:t>
      </w:r>
      <w:r>
        <w:rPr>
          <w:rFonts w:ascii="Calibri" w:hAnsi="Calibri"/>
          <w:b/>
          <w:color w:val="2A3730"/>
          <w:sz w:val="21"/>
        </w:rPr>
        <w:t>Current versus projected:</w:t>
      </w:r>
      <w:r>
        <w:rPr>
          <w:rFonts w:ascii="Calibri" w:hAnsi="Calibri"/>
          <w:color w:val="2A3730"/>
          <w:sz w:val="21"/>
        </w:rPr>
        <w:t xml:space="preserve"> current recovery is observed so far; projected recovery estimates the later outcome.</w:t>
      </w:r>
    </w:p>
    <w:p>
      <w:pPr>
        <w:pStyle w:val="ListBullet"/>
      </w:pPr>
      <w:r>
        <w:rPr>
          <w:rFonts w:ascii="Calibri" w:hAnsi="Calibri"/>
          <w:color w:val="2A3730"/>
          <w:sz w:val="21"/>
        </w:rPr>
        <w:t xml:space="preserve"> </w:t>
      </w:r>
      <w:r>
        <w:rPr>
          <w:rFonts w:ascii="Calibri" w:hAnsi="Calibri"/>
          <w:b/>
          <w:color w:val="2A3730"/>
          <w:sz w:val="21"/>
        </w:rPr>
        <w:t>Likely range:</w:t>
      </w:r>
      <w:r>
        <w:rPr>
          <w:rFonts w:ascii="Calibri" w:hAnsi="Calibri"/>
          <w:color w:val="2A3730"/>
          <w:sz w:val="21"/>
        </w:rPr>
        <w:t xml:space="preserve"> derived from held-out historical errors, not a guarantee.</w:t>
      </w:r>
    </w:p>
    <w:p>
      <w:pPr>
        <w:pStyle w:val="ListBullet"/>
      </w:pPr>
      <w:r>
        <w:rPr>
          <w:rFonts w:ascii="Calibri" w:hAnsi="Calibri"/>
          <w:color w:val="2A3730"/>
          <w:sz w:val="21"/>
        </w:rPr>
        <w:t xml:space="preserve"> </w:t>
      </w:r>
      <w:r>
        <w:rPr>
          <w:rFonts w:ascii="Calibri" w:hAnsi="Calibri"/>
          <w:b/>
          <w:color w:val="2A3730"/>
          <w:sz w:val="21"/>
        </w:rPr>
        <w:t>Data coverage:</w:t>
      </w:r>
      <w:r>
        <w:rPr>
          <w:rFonts w:ascii="Calibri" w:hAnsi="Calibri"/>
          <w:color w:val="2A3730"/>
          <w:sz w:val="21"/>
        </w:rPr>
        <w:t xml:space="preserve"> “3/4 risk checks” warns that weight evidence is missing.</w:t>
      </w:r>
    </w:p>
    <w:p>
      <w:pPr>
        <w:pStyle w:val="ListBullet"/>
      </w:pPr>
      <w:r>
        <w:rPr>
          <w:rFonts w:ascii="Calibri" w:hAnsi="Calibri"/>
          <w:color w:val="2A3730"/>
          <w:sz w:val="21"/>
        </w:rPr>
        <w:t xml:space="preserve"> </w:t>
      </w:r>
      <w:r>
        <w:rPr>
          <w:rFonts w:ascii="Calibri" w:hAnsi="Calibri"/>
          <w:b/>
          <w:color w:val="2A3730"/>
          <w:sz w:val="21"/>
        </w:rPr>
        <w:t>Model/rule versions:</w:t>
      </w:r>
      <w:r>
        <w:rPr>
          <w:rFonts w:ascii="Calibri" w:hAnsi="Calibri"/>
          <w:color w:val="2A3730"/>
          <w:sz w:val="21"/>
        </w:rPr>
        <w:t xml:space="preserve"> retained in Building View and Canary Methodology for reproducibility.</w:t>
      </w:r>
    </w:p>
    <w:p>
      <w:pPr>
        <w:pStyle w:val="ListBullet"/>
      </w:pPr>
      <w:r>
        <w:rPr>
          <w:rFonts w:ascii="Calibri" w:hAnsi="Calibri"/>
          <w:color w:val="2A3730"/>
          <w:sz w:val="21"/>
        </w:rPr>
        <w:t xml:space="preserve"> </w:t>
      </w:r>
      <w:r>
        <w:rPr>
          <w:rFonts w:ascii="Calibri" w:hAnsi="Calibri"/>
          <w:b/>
          <w:color w:val="2A3730"/>
          <w:sz w:val="21"/>
        </w:rPr>
        <w:t>Review date:</w:t>
      </w:r>
      <w:r>
        <w:rPr>
          <w:rFonts w:ascii="Calibri" w:hAnsi="Calibri"/>
          <w:color w:val="2A3730"/>
          <w:sz w:val="21"/>
        </w:rPr>
        <w:t xml:space="preserve"> freezes all calculations to information recorded on or before that date.</w:t>
      </w:r>
    </w:p>
    <w:p>
      <w:pPr>
        <w:pStyle w:val="ListBullet"/>
      </w:pPr>
      <w:r>
        <w:rPr>
          <w:rFonts w:ascii="Calibri" w:hAnsi="Calibri"/>
          <w:color w:val="2A3730"/>
          <w:sz w:val="21"/>
        </w:rPr>
        <w:t xml:space="preserve"> </w:t>
      </w:r>
      <w:r>
        <w:rPr>
          <w:rFonts w:ascii="Calibri" w:hAnsi="Calibri"/>
          <w:b/>
          <w:color w:val="2A3730"/>
          <w:sz w:val="21"/>
        </w:rPr>
        <w:t>Separation of layers:</w:t>
      </w:r>
      <w:r>
        <w:rPr>
          <w:rFonts w:ascii="Calibri" w:hAnsi="Calibri"/>
          <w:color w:val="2A3730"/>
          <w:sz w:val="21"/>
        </w:rPr>
        <w:t xml:space="preserve"> the risk score, forecasts, operational alerts, recommendation rules, and business-value assumptions are intentionally calculated independently and then combined only for presentation.</w:t>
      </w:r>
    </w:p>
    <w:p>
      <w:pPr>
        <w:pStyle w:val="Heading1"/>
      </w:pPr>
      <w:r>
        <w:t>3. Data foundation</w:t>
      </w:r>
    </w:p>
    <w:p>
      <w:pPr>
        <w:pStyle w:val="ListBullet"/>
      </w:pPr>
      <w:r>
        <w:rPr>
          <w:rFonts w:ascii="Calibri" w:hAnsi="Calibri"/>
          <w:color w:val="2A3730"/>
          <w:sz w:val="21"/>
        </w:rPr>
        <w:t xml:space="preserve"> Primary daily source: </w:t>
      </w:r>
      <w:r>
        <w:rPr>
          <w:rFonts w:ascii="Calibri" w:hAnsi="Calibri"/>
          <w:b/>
          <w:color w:val="2A3730"/>
          <w:sz w:val="21"/>
        </w:rPr>
        <w:t>FARM HARVEST DATA.xlsx</w:t>
      </w:r>
      <w:r>
        <w:rPr>
          <w:rFonts w:ascii="Calibri" w:hAnsi="Calibri"/>
          <w:color w:val="2A3730"/>
          <w:sz w:val="21"/>
        </w:rPr>
        <w:t>.</w:t>
      </w:r>
    </w:p>
    <w:p>
      <w:pPr>
        <w:pStyle w:val="ListBullet"/>
      </w:pPr>
      <w:r>
        <w:rPr>
          <w:rFonts w:ascii="Calibri" w:hAnsi="Calibri"/>
          <w:color w:val="2A3730"/>
          <w:sz w:val="21"/>
        </w:rPr>
        <w:t xml:space="preserve"> Final average weight for completed-cycle display: </w:t>
      </w:r>
      <w:r>
        <w:rPr>
          <w:rFonts w:ascii="Calibri" w:hAnsi="Calibri"/>
          <w:b/>
          <w:color w:val="2A3730"/>
          <w:sz w:val="21"/>
        </w:rPr>
        <w:t>Farm Performance Summary.xlsx</w:t>
      </w:r>
      <w:r>
        <w:rPr>
          <w:rFonts w:ascii="Calibri" w:hAnsi="Calibri"/>
          <w:color w:val="2A3730"/>
          <w:sz w:val="21"/>
        </w:rPr>
        <w:t>.</w:t>
      </w:r>
    </w:p>
    <w:p>
      <w:pPr>
        <w:pStyle w:val="ListBullet"/>
      </w:pPr>
      <w:r>
        <w:rPr>
          <w:rFonts w:ascii="Calibri" w:hAnsi="Calibri"/>
          <w:color w:val="2A3730"/>
          <w:sz w:val="21"/>
        </w:rPr>
        <w:t xml:space="preserve"> Age-specific weight targets: farm </w:t>
      </w:r>
      <w:r>
        <w:rPr>
          <w:rFonts w:ascii="Calibri" w:hAnsi="Calibri"/>
          <w:b/>
          <w:color w:val="2A3730"/>
          <w:sz w:val="21"/>
        </w:rPr>
        <w:t>Target Weights</w:t>
      </w:r>
      <w:r>
        <w:rPr>
          <w:rFonts w:ascii="Calibri" w:hAnsi="Calibri"/>
          <w:color w:val="2A3730"/>
          <w:sz w:val="21"/>
        </w:rPr>
        <w:t xml:space="preserve"> sheet.</w:t>
      </w:r>
    </w:p>
    <w:p>
      <w:pPr>
        <w:pStyle w:val="ListBullet"/>
      </w:pPr>
      <w:r>
        <w:rPr>
          <w:rFonts w:ascii="Calibri" w:hAnsi="Calibri"/>
          <w:color w:val="2A3730"/>
          <w:sz w:val="21"/>
        </w:rPr>
        <w:t xml:space="preserve"> Early detailed weights: </w:t>
      </w:r>
      <w:r>
        <w:rPr>
          <w:rFonts w:ascii="Calibri" w:hAnsi="Calibri"/>
          <w:b/>
          <w:color w:val="2A3730"/>
          <w:sz w:val="21"/>
        </w:rPr>
        <w:t>Weights Cleaned.xlsx</w:t>
      </w:r>
      <w:r>
        <w:rPr>
          <w:rFonts w:ascii="Calibri" w:hAnsi="Calibri"/>
          <w:color w:val="2A3730"/>
          <w:sz w:val="21"/>
        </w:rPr>
        <w:t>, available only for limited buildings/cycles.</w:t>
      </w:r>
    </w:p>
    <w:p>
      <w:pPr>
        <w:pStyle w:val="ListBullet"/>
      </w:pPr>
      <w:r>
        <w:rPr>
          <w:rFonts w:ascii="Calibri" w:hAnsi="Calibri"/>
          <w:color w:val="2A3730"/>
          <w:sz w:val="21"/>
        </w:rPr>
        <w:t xml:space="preserve"> Farm thresholds and interventions: </w:t>
      </w:r>
      <w:r>
        <w:rPr>
          <w:rFonts w:ascii="Calibri" w:hAnsi="Calibri"/>
          <w:b/>
          <w:color w:val="2A3730"/>
          <w:sz w:val="21"/>
        </w:rPr>
        <w:t>Farmer Validation Workbook.xlsx</w:t>
      </w:r>
      <w:r>
        <w:rPr>
          <w:rFonts w:ascii="Calibri" w:hAnsi="Calibri"/>
          <w:color w:val="2A3730"/>
          <w:sz w:val="21"/>
        </w:rPr>
        <w:t>, excluding its Risk Scoring Matrix as instructed.</w:t>
      </w:r>
    </w:p>
    <w:p>
      <w:pPr>
        <w:spacing w:before="0" w:after="120" w:line="288" w:lineRule="auto"/>
      </w:pPr>
      <w:r>
        <w:rPr>
          <w:rFonts w:ascii="Calibri" w:hAnsi="Calibri"/>
          <w:b/>
          <w:color w:val="2A3730"/>
          <w:sz w:val="21"/>
        </w:rPr>
        <w:t>Cleaning performed</w:t>
      </w:r>
    </w:p>
    <w:p>
      <w:pPr>
        <w:pStyle w:val="ListBullet"/>
      </w:pPr>
      <w:r>
        <w:rPr>
          <w:rFonts w:ascii="Calibri" w:hAnsi="Calibri"/>
          <w:color w:val="2A3730"/>
          <w:sz w:val="21"/>
        </w:rPr>
        <w:t xml:space="preserve"> Started with </w:t>
      </w:r>
      <w:r>
        <w:rPr>
          <w:rFonts w:ascii="Calibri" w:hAnsi="Calibri"/>
          <w:b/>
          <w:color w:val="2A3730"/>
          <w:sz w:val="21"/>
        </w:rPr>
        <w:t>1,785 source rows</w:t>
      </w:r>
      <w:r>
        <w:rPr>
          <w:rFonts w:ascii="Calibri" w:hAnsi="Calibri"/>
          <w:color w:val="2A3730"/>
          <w:sz w:val="21"/>
        </w:rPr>
        <w:t>.</w:t>
      </w:r>
    </w:p>
    <w:p>
      <w:pPr>
        <w:pStyle w:val="ListBullet"/>
      </w:pPr>
      <w:r>
        <w:rPr>
          <w:rFonts w:ascii="Calibri" w:hAnsi="Calibri"/>
          <w:color w:val="2A3730"/>
          <w:sz w:val="21"/>
        </w:rPr>
        <w:t xml:space="preserve"> Consolidated </w:t>
      </w:r>
      <w:r>
        <w:rPr>
          <w:rFonts w:ascii="Calibri" w:hAnsi="Calibri"/>
          <w:b/>
          <w:color w:val="2A3730"/>
          <w:sz w:val="21"/>
        </w:rPr>
        <w:t>119 repeated rows</w:t>
      </w:r>
      <w:r>
        <w:rPr>
          <w:rFonts w:ascii="Calibri" w:hAnsi="Calibri"/>
          <w:color w:val="2A3730"/>
          <w:sz w:val="21"/>
        </w:rPr>
        <w:t>.</w:t>
      </w:r>
    </w:p>
    <w:p>
      <w:pPr>
        <w:pStyle w:val="ListBullet"/>
      </w:pPr>
      <w:r>
        <w:rPr>
          <w:rFonts w:ascii="Calibri" w:hAnsi="Calibri"/>
          <w:color w:val="2A3730"/>
          <w:sz w:val="21"/>
        </w:rPr>
        <w:t xml:space="preserve"> Produced </w:t>
      </w:r>
      <w:r>
        <w:rPr>
          <w:rFonts w:ascii="Calibri" w:hAnsi="Calibri"/>
          <w:b/>
          <w:color w:val="2A3730"/>
          <w:sz w:val="21"/>
        </w:rPr>
        <w:t>1,666 unique building-day records</w:t>
      </w:r>
      <w:r>
        <w:rPr>
          <w:rFonts w:ascii="Calibri" w:hAnsi="Calibri"/>
          <w:color w:val="2A3730"/>
          <w:sz w:val="21"/>
        </w:rPr>
        <w:t>.</w:t>
      </w:r>
    </w:p>
    <w:p>
      <w:pPr>
        <w:pStyle w:val="ListBullet"/>
      </w:pPr>
      <w:r>
        <w:rPr>
          <w:rFonts w:ascii="Calibri" w:hAnsi="Calibri"/>
          <w:color w:val="2A3730"/>
          <w:sz w:val="21"/>
        </w:rPr>
        <w:t xml:space="preserve"> Found </w:t>
      </w:r>
      <w:r>
        <w:rPr>
          <w:rFonts w:ascii="Calibri" w:hAnsi="Calibri"/>
          <w:b/>
          <w:color w:val="2A3730"/>
          <w:sz w:val="21"/>
        </w:rPr>
        <w:t>0 blocking duplicate conflicts</w:t>
      </w:r>
      <w:r>
        <w:rPr>
          <w:rFonts w:ascii="Calibri" w:hAnsi="Calibri"/>
          <w:color w:val="2A3730"/>
          <w:sz w:val="21"/>
        </w:rPr>
        <w:t>.</w:t>
      </w:r>
    </w:p>
    <w:p>
      <w:pPr>
        <w:pStyle w:val="ListBullet"/>
      </w:pPr>
      <w:r>
        <w:rPr>
          <w:rFonts w:ascii="Calibri" w:hAnsi="Calibri"/>
          <w:color w:val="2A3730"/>
          <w:sz w:val="21"/>
        </w:rPr>
        <w:t xml:space="preserve"> Normalized dates, building names, age, population, mortality, feed, weight, temperature, and humidity.</w:t>
      </w:r>
    </w:p>
    <w:p>
      <w:pPr>
        <w:pStyle w:val="ListBullet"/>
      </w:pPr>
      <w:r>
        <w:rPr>
          <w:rFonts w:ascii="Calibri" w:hAnsi="Calibri"/>
          <w:color w:val="2A3730"/>
          <w:sz w:val="21"/>
        </w:rPr>
        <w:t xml:space="preserve"> Kept missing values as missing; blanks were not silently changed to zero.</w:t>
      </w:r>
    </w:p>
    <w:p>
      <w:pPr>
        <w:pStyle w:val="ListBullet"/>
      </w:pPr>
      <w:r>
        <w:rPr>
          <w:rFonts w:ascii="Calibri" w:hAnsi="Calibri"/>
          <w:color w:val="2A3730"/>
          <w:sz w:val="21"/>
        </w:rPr>
        <w:t xml:space="preserve"> Auditable output: </w:t>
      </w:r>
      <w:r>
        <w:rPr>
          <w:rFonts w:ascii="Calibri" w:hAnsi="Calibri"/>
          <w:b/>
          <w:color w:val="2A3730"/>
          <w:sz w:val="21"/>
        </w:rPr>
        <w:t>data/Project_Canary_Canonical_Building_Day_1666.xlsx</w:t>
      </w:r>
      <w:r>
        <w:rPr>
          <w:rFonts w:ascii="Calibri" w:hAnsi="Calibri"/>
          <w:color w:val="2A3730"/>
          <w:sz w:val="21"/>
        </w:rPr>
        <w:t>.</w:t>
      </w:r>
    </w:p>
    <w:p>
      <w:pPr>
        <w:spacing w:before="0" w:after="120" w:line="288" w:lineRule="auto"/>
      </w:pPr>
      <w:r>
        <w:rPr>
          <w:rFonts w:ascii="Calibri" w:hAnsi="Calibri"/>
          <w:b/>
          <w:color w:val="2A3730"/>
          <w:sz w:val="21"/>
        </w:rPr>
        <w:t>What the 119 repeated rows were</w:t>
      </w:r>
    </w:p>
    <w:p>
      <w:pPr>
        <w:pStyle w:val="ListBullet"/>
      </w:pPr>
      <w:r>
        <w:rPr>
          <w:rFonts w:ascii="Calibri" w:hAnsi="Calibri"/>
          <w:color w:val="2A3730"/>
          <w:sz w:val="21"/>
        </w:rPr>
        <w:t xml:space="preserve"> They are 119 cycle-building-age keys that each occurred twice, or </w:t>
      </w:r>
      <w:r>
        <w:rPr>
          <w:rFonts w:ascii="Calibri" w:hAnsi="Calibri"/>
          <w:b/>
          <w:color w:val="2A3730"/>
          <w:sz w:val="21"/>
        </w:rPr>
        <w:t>238 source rows in total</w:t>
      </w:r>
      <w:r>
        <w:rPr>
          <w:rFonts w:ascii="Calibri" w:hAnsi="Calibri"/>
          <w:color w:val="2A3730"/>
          <w:sz w:val="21"/>
        </w:rPr>
        <w:t>.</w:t>
      </w:r>
    </w:p>
    <w:p>
      <w:pPr>
        <w:pStyle w:val="ListBullet"/>
      </w:pPr>
      <w:r>
        <w:rPr>
          <w:rFonts w:ascii="Calibri" w:hAnsi="Calibri"/>
          <w:color w:val="2A3730"/>
          <w:sz w:val="21"/>
        </w:rPr>
        <w:t xml:space="preserve"> The repeated days are 2026-2 Lags 1 Days 1–30, Lags 2 Days 1–22, Lags 3 Days 1–16, and 2026-3 Tags 1–3 Days 1–17.</w:t>
      </w:r>
    </w:p>
    <w:p>
      <w:pPr>
        <w:pStyle w:val="ListBullet"/>
      </w:pPr>
      <w:r>
        <w:rPr>
          <w:rFonts w:ascii="Calibri" w:hAnsi="Calibri"/>
          <w:color w:val="2A3730"/>
          <w:sz w:val="21"/>
        </w:rPr>
        <w:t xml:space="preserve"> Production values matched within every repeated key; the rows contained different environmental readings, consistent with multiple environmental sections or zones.</w:t>
      </w:r>
    </w:p>
    <w:p>
      <w:pPr>
        <w:pStyle w:val="ListBullet"/>
      </w:pPr>
      <w:r>
        <w:rPr>
          <w:rFonts w:ascii="Calibri" w:hAnsi="Calibri"/>
          <w:color w:val="2A3730"/>
          <w:sz w:val="21"/>
        </w:rPr>
        <w:t xml:space="preserve"> Example: 2026-2 Lags 1 Day 1 has identical beginning population, ending population, mortality, feed, and weight values in both source rows. The average-temperature readings are 31.85°C and 33.12°C, so the canonical average is their mean; minimum and maximum readings retain the overall minimum and maximum.</w:t>
      </w:r>
    </w:p>
    <w:p>
      <w:pPr>
        <w:spacing w:before="0" w:after="120" w:line="288" w:lineRule="auto"/>
      </w:pPr>
      <w:r>
        <w:rPr>
          <w:rFonts w:ascii="Calibri" w:hAnsi="Calibri"/>
          <w:b/>
          <w:color w:val="2A3730"/>
          <w:sz w:val="21"/>
        </w:rPr>
        <w:t>Leakage protection</w:t>
      </w:r>
    </w:p>
    <w:p>
      <w:pPr>
        <w:pStyle w:val="ListBullet"/>
      </w:pPr>
      <w:r>
        <w:rPr>
          <w:rFonts w:ascii="Calibri" w:hAnsi="Calibri"/>
          <w:color w:val="2A3730"/>
          <w:sz w:val="21"/>
        </w:rPr>
        <w:t xml:space="preserve"> Every prediction uses only information available by the review date.</w:t>
      </w:r>
    </w:p>
    <w:p>
      <w:pPr>
        <w:pStyle w:val="ListBullet"/>
      </w:pPr>
      <w:r>
        <w:rPr>
          <w:rFonts w:ascii="Calibri" w:hAnsi="Calibri"/>
          <w:color w:val="2A3730"/>
          <w:sz w:val="21"/>
        </w:rPr>
        <w:t xml:space="preserve"> Model validation holds out entire harvest cycles.</w:t>
      </w:r>
    </w:p>
    <w:p>
      <w:pPr>
        <w:pStyle w:val="ListBullet"/>
      </w:pPr>
      <w:r>
        <w:rPr>
          <w:rFonts w:ascii="Calibri" w:hAnsi="Calibri"/>
          <w:color w:val="2A3730"/>
          <w:sz w:val="21"/>
        </w:rPr>
        <w:t xml:space="preserve"> Daily rows from the same cycle never appear in both training and validation.</w:t>
      </w:r>
    </w:p>
    <w:p>
      <w:pPr>
        <w:pStyle w:val="Heading1"/>
      </w:pPr>
      <w:r>
        <w:t>4. Component 1 — Rules-based risk score</w:t>
      </w:r>
    </w:p>
    <w:p>
      <w:pPr>
        <w:pStyle w:val="Heading3"/>
      </w:pPr>
      <w:r>
        <w:t>What it answers</w:t>
      </w:r>
    </w:p>
    <w:p>
      <w:pPr>
        <w:pStyle w:val="ListBullet"/>
      </w:pPr>
      <w:r>
        <w:rPr>
          <w:rFonts w:ascii="Calibri" w:hAnsi="Calibri"/>
          <w:color w:val="2A3730"/>
          <w:sz w:val="21"/>
        </w:rPr>
        <w:t xml:space="preserve"> Which building should management inspect first?</w:t>
      </w:r>
    </w:p>
    <w:p>
      <w:pPr>
        <w:pStyle w:val="ListBullet"/>
      </w:pPr>
      <w:r>
        <w:rPr>
          <w:rFonts w:ascii="Calibri" w:hAnsi="Calibri"/>
          <w:color w:val="2A3730"/>
          <w:sz w:val="21"/>
        </w:rPr>
        <w:t xml:space="preserve"> Which recorded warning signs explain the concern?</w:t>
      </w:r>
    </w:p>
    <w:p>
      <w:pPr>
        <w:pStyle w:val="Heading3"/>
      </w:pPr>
      <w:r>
        <w:t>Four dimensions</w:t>
      </w:r>
    </w:p>
    <w:p>
      <w:pPr>
        <w:numPr>
          <w:ilvl w:val="0"/>
          <w:numId w:val="13"/>
        </w:numPr>
        <w:spacing w:before="0" w:after="60" w:line="283" w:lineRule="auto"/>
      </w:pPr>
      <w:r>
        <w:rPr>
          <w:rFonts w:ascii="Calibri" w:hAnsi="Calibri"/>
          <w:b/>
          <w:color w:val="2A3730"/>
          <w:sz w:val="21"/>
        </w:rPr>
        <w:t>Weight gap:</w:t>
      </w:r>
      <w:r>
        <w:rPr>
          <w:rFonts w:ascii="Calibri" w:hAnsi="Calibri"/>
          <w:color w:val="2A3730"/>
          <w:sz w:val="21"/>
        </w:rPr>
        <w:t xml:space="preserve"> latest measured weight versus the target for the actual weighing day.</w:t>
      </w:r>
    </w:p>
    <w:p>
      <w:pPr>
        <w:numPr>
          <w:ilvl w:val="0"/>
          <w:numId w:val="13"/>
        </w:numPr>
        <w:spacing w:before="0" w:after="60" w:line="283" w:lineRule="auto"/>
      </w:pPr>
      <w:r>
        <w:rPr>
          <w:rFonts w:ascii="Calibri" w:hAnsi="Calibri"/>
          <w:b/>
          <w:color w:val="2A3730"/>
          <w:sz w:val="21"/>
        </w:rPr>
        <w:t>Survival reference gap:</w:t>
      </w:r>
      <w:r>
        <w:rPr>
          <w:rFonts w:ascii="Calibri" w:hAnsi="Calibri"/>
          <w:color w:val="2A3730"/>
          <w:sz w:val="21"/>
        </w:rPr>
        <w:t xml:space="preserve"> current percentage alive versus a provisional straight-line path to 95% on Day 35.</w:t>
      </w:r>
    </w:p>
    <w:p>
      <w:pPr>
        <w:numPr>
          <w:ilvl w:val="0"/>
          <w:numId w:val="13"/>
        </w:numPr>
        <w:spacing w:before="0" w:after="60" w:line="283" w:lineRule="auto"/>
      </w:pPr>
      <w:r>
        <w:rPr>
          <w:rFonts w:ascii="Calibri" w:hAnsi="Calibri"/>
          <w:b/>
          <w:color w:val="2A3730"/>
          <w:sz w:val="21"/>
        </w:rPr>
        <w:t>Mortality momentum:</w:t>
      </w:r>
      <w:r>
        <w:rPr>
          <w:rFonts w:ascii="Calibri" w:hAnsi="Calibri"/>
          <w:color w:val="2A3730"/>
          <w:sz w:val="21"/>
        </w:rPr>
        <w:t xml:space="preserve"> recent three-day mortality versus the preceding baseline.</w:t>
      </w:r>
    </w:p>
    <w:p>
      <w:pPr>
        <w:numPr>
          <w:ilvl w:val="0"/>
          <w:numId w:val="13"/>
        </w:numPr>
        <w:spacing w:before="0" w:after="60" w:line="283" w:lineRule="auto"/>
      </w:pPr>
      <w:r>
        <w:rPr>
          <w:rFonts w:ascii="Calibri" w:hAnsi="Calibri"/>
          <w:b/>
          <w:color w:val="2A3730"/>
          <w:sz w:val="21"/>
        </w:rPr>
        <w:t>Peer context:</w:t>
      </w:r>
      <w:r>
        <w:rPr>
          <w:rFonts w:ascii="Calibri" w:hAnsi="Calibri"/>
          <w:color w:val="2A3730"/>
          <w:sz w:val="21"/>
        </w:rPr>
        <w:t xml:space="preserve"> performance versus similar-age buildings in the same cycle.</w:t>
      </w:r>
    </w:p>
    <w:p>
      <w:pPr>
        <w:pStyle w:val="Heading3"/>
      </w:pPr>
      <w:r>
        <w:t>Point system</w:t>
      </w:r>
    </w:p>
    <w:p>
      <w:pPr>
        <w:pStyle w:val="ListBullet"/>
      </w:pPr>
      <w:r>
        <w:rPr>
          <w:rFonts w:ascii="Calibri" w:hAnsi="Calibri"/>
          <w:color w:val="2A3730"/>
          <w:sz w:val="21"/>
        </w:rPr>
        <w:t xml:space="preserve"> Each available dimension receives </w:t>
      </w:r>
      <w:r>
        <w:rPr>
          <w:rFonts w:ascii="Calibri" w:hAnsi="Calibri"/>
          <w:b/>
          <w:color w:val="2A3730"/>
          <w:sz w:val="21"/>
        </w:rPr>
        <w:t>0–3 points</w:t>
      </w:r>
      <w:r>
        <w:rPr>
          <w:rFonts w:ascii="Calibri" w:hAnsi="Calibri"/>
          <w:color w:val="2A3730"/>
          <w:sz w:val="21"/>
        </w:rPr>
        <w:t>.</w:t>
      </w:r>
    </w:p>
    <w:p>
      <w:pPr>
        <w:pStyle w:val="ListBullet"/>
      </w:pPr>
      <w:r>
        <w:rPr>
          <w:rFonts w:ascii="Calibri" w:hAnsi="Calibri"/>
          <w:color w:val="2A3730"/>
          <w:sz w:val="21"/>
        </w:rPr>
        <w:t xml:space="preserve"> Total score: </w:t>
      </w:r>
      <w:r>
        <w:rPr>
          <w:rFonts w:ascii="Calibri" w:hAnsi="Calibri"/>
          <w:b/>
          <w:color w:val="2A3730"/>
          <w:sz w:val="21"/>
        </w:rPr>
        <w:t>0–12</w:t>
      </w:r>
      <w:r>
        <w:rPr>
          <w:rFonts w:ascii="Calibri" w:hAnsi="Calibri"/>
          <w:color w:val="2A3730"/>
          <w:sz w:val="21"/>
        </w:rPr>
        <w:t>.</w:t>
      </w:r>
    </w:p>
    <w:p>
      <w:pPr>
        <w:pStyle w:val="ListBullet"/>
      </w:pPr>
      <w:r>
        <w:rPr>
          <w:rFonts w:ascii="Calibri" w:hAnsi="Calibri"/>
          <w:color w:val="2A3730"/>
          <w:sz w:val="21"/>
        </w:rPr>
        <w:t xml:space="preserve"> Missing evidence is labelled </w:t>
      </w:r>
      <w:r>
        <w:rPr>
          <w:rFonts w:ascii="Calibri" w:hAnsi="Calibri"/>
          <w:b/>
          <w:color w:val="2A3730"/>
          <w:sz w:val="21"/>
        </w:rPr>
        <w:t>not scored</w:t>
      </w:r>
      <w:r>
        <w:rPr>
          <w:rFonts w:ascii="Calibri" w:hAnsi="Calibri"/>
          <w:color w:val="2A3730"/>
          <w:sz w:val="21"/>
        </w:rPr>
        <w:t>, not zero.</w:t>
      </w:r>
    </w:p>
    <w:tbl>
      <w:tblPr>
        <w:tblStyle w:val="TableGrid"/>
        <w:tblW w:type="dxa" w:w="9360"/>
        <w:tblLayout w:type="fixed"/>
        <w:tblLook w:firstColumn="1" w:firstRow="1" w:lastColumn="0" w:lastRow="0" w:noHBand="0" w:noVBand="1" w:val="04A0"/>
        <w:tblInd w:w="120" w:type="dxa"/>
      </w:tblPr>
      <w:tblGrid>
        <w:gridCol w:w="3000"/>
        <w:gridCol w:w="6360"/>
      </w:tblGrid>
      <w:tr>
        <w:trPr>
          <w:cantSplit/>
          <w:tblHeader w:val="true"/>
        </w:trPr>
        <w:tc>
          <w:tcPr>
            <w:tcW w:type="dxa" w:w="3000"/>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9"/>
              </w:rPr>
              <w:t>Total</w:t>
            </w:r>
          </w:p>
        </w:tc>
        <w:tc>
          <w:tcPr>
            <w:tcW w:type="dxa" w:w="6360"/>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9"/>
              </w:rPr>
              <w:t>Rating</w:t>
            </w:r>
          </w:p>
        </w:tc>
      </w:tr>
      <w:tr>
        <w:trPr>
          <w:cantSplit/>
        </w:trPr>
        <w:tc>
          <w:tcPr>
            <w:tcW w:type="dxa" w:w="300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9"/>
              </w:rPr>
              <w:t>0–1</w:t>
            </w:r>
          </w:p>
        </w:tc>
        <w:tc>
          <w:tcPr>
            <w:tcW w:type="dxa" w:w="636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9"/>
              </w:rPr>
              <w:t>Low</w:t>
            </w:r>
          </w:p>
        </w:tc>
      </w:tr>
      <w:tr>
        <w:trPr>
          <w:cantSplit/>
        </w:trPr>
        <w:tc>
          <w:tcPr>
            <w:tcW w:type="dxa" w:w="300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9"/>
              </w:rPr>
              <w:t>2–3</w:t>
            </w:r>
          </w:p>
        </w:tc>
        <w:tc>
          <w:tcPr>
            <w:tcW w:type="dxa" w:w="636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9"/>
              </w:rPr>
              <w:t>Medium</w:t>
            </w:r>
          </w:p>
        </w:tc>
      </w:tr>
      <w:tr>
        <w:trPr>
          <w:cantSplit/>
        </w:trPr>
        <w:tc>
          <w:tcPr>
            <w:tcW w:type="dxa" w:w="300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9"/>
              </w:rPr>
              <w:t>4–5</w:t>
            </w:r>
          </w:p>
        </w:tc>
        <w:tc>
          <w:tcPr>
            <w:tcW w:type="dxa" w:w="636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9"/>
              </w:rPr>
              <w:t>High</w:t>
            </w:r>
          </w:p>
        </w:tc>
      </w:tr>
      <w:tr>
        <w:trPr>
          <w:cantSplit/>
        </w:trPr>
        <w:tc>
          <w:tcPr>
            <w:tcW w:type="dxa" w:w="300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9"/>
              </w:rPr>
              <w:t>6–12</w:t>
            </w:r>
          </w:p>
        </w:tc>
        <w:tc>
          <w:tcPr>
            <w:tcW w:type="dxa" w:w="636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9"/>
              </w:rPr>
              <w:t>Critical</w:t>
            </w:r>
          </w:p>
        </w:tc>
      </w:tr>
    </w:tbl>
    <w:p>
      <w:pPr>
        <w:spacing w:after="40"/>
      </w:pPr>
    </w:p>
    <w:p>
      <w:pPr>
        <w:pStyle w:val="Heading3"/>
      </w:pPr>
      <w:r>
        <w:t>Main thresholds</w:t>
      </w:r>
    </w:p>
    <w:p>
      <w:pPr>
        <w:spacing w:before="0" w:after="120" w:line="288" w:lineRule="auto"/>
      </w:pPr>
      <w:r>
        <w:rPr>
          <w:rFonts w:ascii="Calibri" w:hAnsi="Calibri"/>
          <w:b/>
          <w:color w:val="2A3730"/>
          <w:sz w:val="21"/>
        </w:rPr>
        <w:t>Weight shortfall at all ages</w:t>
      </w:r>
    </w:p>
    <w:p>
      <w:pPr>
        <w:pStyle w:val="ListBullet"/>
      </w:pPr>
      <w:r>
        <w:rPr>
          <w:rFonts w:ascii="Calibri" w:hAnsi="Calibri"/>
          <w:color w:val="2A3730"/>
          <w:sz w:val="21"/>
        </w:rPr>
        <w:t xml:space="preserve"> 0 points: up to 5% below target.</w:t>
      </w:r>
    </w:p>
    <w:p>
      <w:pPr>
        <w:pStyle w:val="ListBullet"/>
      </w:pPr>
      <w:r>
        <w:rPr>
          <w:rFonts w:ascii="Calibri" w:hAnsi="Calibri"/>
          <w:color w:val="2A3730"/>
          <w:sz w:val="21"/>
        </w:rPr>
        <w:t xml:space="preserve"> 1 point: over 5% through 15%.</w:t>
      </w:r>
    </w:p>
    <w:p>
      <w:pPr>
        <w:pStyle w:val="ListBullet"/>
      </w:pPr>
      <w:r>
        <w:rPr>
          <w:rFonts w:ascii="Calibri" w:hAnsi="Calibri"/>
          <w:color w:val="2A3730"/>
          <w:sz w:val="21"/>
        </w:rPr>
        <w:t xml:space="preserve"> 2 points: over 15% through 30%.</w:t>
      </w:r>
    </w:p>
    <w:p>
      <w:pPr>
        <w:pStyle w:val="ListBullet"/>
      </w:pPr>
      <w:r>
        <w:rPr>
          <w:rFonts w:ascii="Calibri" w:hAnsi="Calibri"/>
          <w:color w:val="2A3730"/>
          <w:sz w:val="21"/>
        </w:rPr>
        <w:t xml:space="preserve"> 3 points: over 30%.</w:t>
      </w:r>
    </w:p>
    <w:p>
      <w:pPr>
        <w:spacing w:before="0" w:after="120" w:line="288" w:lineRule="auto"/>
      </w:pPr>
      <w:r>
        <w:rPr>
          <w:rFonts w:ascii="Calibri" w:hAnsi="Calibri"/>
          <w:b/>
          <w:color w:val="2A3730"/>
          <w:sz w:val="21"/>
        </w:rPr>
        <w:t>Survival and mortality thresholds</w:t>
      </w:r>
    </w:p>
    <w:p>
      <w:pPr>
        <w:pStyle w:val="ListBullet"/>
      </w:pPr>
      <w:r>
        <w:rPr>
          <w:rFonts w:ascii="Calibri" w:hAnsi="Calibri"/>
          <w:color w:val="2A3730"/>
          <w:sz w:val="21"/>
        </w:rPr>
        <w:t xml:space="preserve"> Become more or less tolerant by production-age band.</w:t>
      </w:r>
    </w:p>
    <w:p>
      <w:pPr>
        <w:pStyle w:val="ListBullet"/>
      </w:pPr>
      <w:r>
        <w:rPr>
          <w:rFonts w:ascii="Calibri" w:hAnsi="Calibri"/>
          <w:color w:val="2A3730"/>
          <w:sz w:val="21"/>
        </w:rPr>
        <w:t xml:space="preserve"> Full threshold tables and editable settings are available in </w:t>
      </w:r>
      <w:r>
        <w:rPr>
          <w:rFonts w:ascii="Calibri" w:hAnsi="Calibri"/>
          <w:b/>
          <w:color w:val="2A3730"/>
          <w:sz w:val="21"/>
        </w:rPr>
        <w:t>Data &amp; Settings</w:t>
      </w:r>
      <w:r>
        <w:rPr>
          <w:rFonts w:ascii="Calibri" w:hAnsi="Calibri"/>
          <w:color w:val="2A3730"/>
          <w:sz w:val="21"/>
        </w:rPr>
        <w:t>.</w:t>
      </w:r>
    </w:p>
    <w:p>
      <w:pPr>
        <w:pStyle w:val="ListBullet"/>
      </w:pPr>
      <w:r>
        <w:rPr>
          <w:rFonts w:ascii="Calibri" w:hAnsi="Calibri"/>
          <w:color w:val="2A3730"/>
          <w:sz w:val="21"/>
        </w:rPr>
        <w:t xml:space="preserve"> Peer scoring requires at least three comparable buildings within two days of age.</w:t>
      </w:r>
    </w:p>
    <w:p>
      <w:pPr>
        <w:spacing w:before="0" w:after="120" w:line="288" w:lineRule="auto"/>
      </w:pPr>
      <w:r>
        <w:rPr>
          <w:rFonts w:ascii="Calibri" w:hAnsi="Calibri"/>
          <w:b/>
          <w:color w:val="2A3730"/>
          <w:sz w:val="21"/>
        </w:rPr>
        <w:t>Survival-reference formula</w:t>
      </w:r>
    </w:p>
    <w:tbl>
      <w:tblPr>
        <w:tblW w:type="dxa" w:w="9360"/>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2F8D9"/>
          </w:tcPr>
          <w:p>
            <w:pPr>
              <w:spacing w:before="0" w:after="0" w:line="300" w:lineRule="auto"/>
            </w:pPr>
            <w:r>
              <w:rPr>
                <w:rFonts w:ascii="Calibri" w:hAnsi="Calibri"/>
                <w:color w:val="173F31"/>
                <w:sz w:val="21"/>
              </w:rPr>
              <w:t>Reference survival on Day d = 100% − (5% × min(d, 35) ÷ 35)</w:t>
            </w:r>
          </w:p>
        </w:tc>
      </w:tr>
    </w:tbl>
    <w:p>
      <w:pPr>
        <w:spacing w:after="40"/>
      </w:pPr>
    </w:p>
    <w:p>
      <w:pPr>
        <w:pStyle w:val="ListBullet"/>
      </w:pPr>
      <w:r>
        <w:rPr>
          <w:rFonts w:ascii="Calibri" w:hAnsi="Calibri"/>
          <w:color w:val="2A3730"/>
          <w:sz w:val="21"/>
        </w:rPr>
        <w:t xml:space="preserve"> Day 22: </w:t>
      </w:r>
      <w:r>
        <w:rPr>
          <w:rFonts w:ascii="Calibri" w:hAnsi="Calibri"/>
          <w:b/>
          <w:color w:val="286245"/>
          <w:sz w:val="20"/>
        </w:rPr>
        <w:t>100% − (5% × 22 ÷ 35) = 96.86%</w:t>
      </w:r>
      <w:r>
        <w:rPr>
          <w:rFonts w:ascii="Calibri" w:hAnsi="Calibri"/>
          <w:color w:val="2A3730"/>
          <w:sz w:val="21"/>
        </w:rPr>
        <w:t>.</w:t>
      </w:r>
    </w:p>
    <w:p>
      <w:pPr>
        <w:pStyle w:val="ListBullet"/>
      </w:pPr>
      <w:r>
        <w:rPr>
          <w:rFonts w:ascii="Calibri" w:hAnsi="Calibri"/>
          <w:color w:val="2A3730"/>
          <w:sz w:val="21"/>
        </w:rPr>
        <w:t xml:space="preserve"> This simply spreads the allowed 5% loss evenly through Day 35.</w:t>
      </w:r>
    </w:p>
    <w:p>
      <w:pPr>
        <w:pStyle w:val="ListBullet"/>
      </w:pPr>
      <w:r>
        <w:rPr>
          <w:rFonts w:ascii="Calibri" w:hAnsi="Calibri"/>
          <w:color w:val="2A3730"/>
          <w:sz w:val="21"/>
        </w:rPr>
        <w:t xml:space="preserve"> It is not learned from the historical data and is not claimed to be a biological mortality curve.</w:t>
      </w:r>
    </w:p>
    <w:p>
      <w:pPr>
        <w:pStyle w:val="Heading3"/>
      </w:pPr>
      <w:r>
        <w:t>How to explain a High/Critical label</w:t>
      </w:r>
    </w:p>
    <w:tbl>
      <w:tblPr>
        <w:tblW w:type="dxa" w:w="9360"/>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2F8D9"/>
          </w:tcPr>
          <w:p>
            <w:pPr>
              <w:spacing w:before="0" w:after="0" w:line="300" w:lineRule="auto"/>
            </w:pPr>
            <w:r>
              <w:rPr>
                <w:rFonts w:ascii="Calibri" w:hAnsi="Calibri"/>
                <w:color w:val="173F31"/>
                <w:sz w:val="21"/>
              </w:rPr>
              <w:t>“The building is High risk because its total operational-attention score is 5/12: weight gap contributed 3 points and worsening mortality contributed 2 points. Survival and peer checks contributed zero.”</w:t>
            </w:r>
          </w:p>
        </w:tc>
      </w:tr>
    </w:tbl>
    <w:p>
      <w:pPr>
        <w:spacing w:after="40"/>
      </w:pPr>
    </w:p>
    <w:p>
      <w:pPr>
        <w:pStyle w:val="Heading3"/>
      </w:pPr>
      <w:r>
        <w:t>Can we trust it?</w:t>
      </w:r>
    </w:p>
    <w:p>
      <w:pPr>
        <w:spacing w:before="0" w:after="120" w:line="288" w:lineRule="auto"/>
      </w:pPr>
      <w:r>
        <w:rPr>
          <w:rFonts w:ascii="Calibri" w:hAnsi="Calibri"/>
          <w:b/>
          <w:color w:val="2A3730"/>
          <w:sz w:val="21"/>
        </w:rPr>
        <w:t>Trust it for:</w:t>
      </w:r>
    </w:p>
    <w:p>
      <w:pPr>
        <w:pStyle w:val="ListBullet"/>
      </w:pPr>
      <w:r>
        <w:rPr>
          <w:rFonts w:ascii="Calibri" w:hAnsi="Calibri"/>
          <w:color w:val="2A3730"/>
          <w:sz w:val="21"/>
        </w:rPr>
        <w:t xml:space="preserve"> Consistent operational prioritization.</w:t>
      </w:r>
    </w:p>
    <w:p>
      <w:pPr>
        <w:pStyle w:val="ListBullet"/>
      </w:pPr>
      <w:r>
        <w:rPr>
          <w:rFonts w:ascii="Calibri" w:hAnsi="Calibri"/>
          <w:color w:val="2A3730"/>
          <w:sz w:val="21"/>
        </w:rPr>
        <w:t xml:space="preserve"> Exact, traceable calculations.</w:t>
      </w:r>
    </w:p>
    <w:p>
      <w:pPr>
        <w:pStyle w:val="ListBullet"/>
      </w:pPr>
      <w:r>
        <w:rPr>
          <w:rFonts w:ascii="Calibri" w:hAnsi="Calibri"/>
          <w:color w:val="2A3730"/>
          <w:sz w:val="21"/>
        </w:rPr>
        <w:t xml:space="preserve"> Showing which measurements and thresholds produced the label.</w:t>
      </w:r>
    </w:p>
    <w:p>
      <w:pPr>
        <w:spacing w:before="0" w:after="120" w:line="288" w:lineRule="auto"/>
      </w:pPr>
      <w:r>
        <w:rPr>
          <w:rFonts w:ascii="Calibri" w:hAnsi="Calibri"/>
          <w:b/>
          <w:color w:val="2A3730"/>
          <w:sz w:val="21"/>
        </w:rPr>
        <w:t>Do not claim:</w:t>
      </w:r>
    </w:p>
    <w:p>
      <w:pPr>
        <w:pStyle w:val="ListBullet"/>
      </w:pPr>
      <w:r>
        <w:rPr>
          <w:rFonts w:ascii="Calibri" w:hAnsi="Calibri"/>
          <w:color w:val="2A3730"/>
          <w:sz w:val="21"/>
        </w:rPr>
        <w:t xml:space="preserve"> It is the statistical probability of missing 2,000 g or 95%.</w:t>
      </w:r>
    </w:p>
    <w:p>
      <w:pPr>
        <w:pStyle w:val="ListBullet"/>
      </w:pPr>
      <w:r>
        <w:rPr>
          <w:rFonts w:ascii="Calibri" w:hAnsi="Calibri"/>
          <w:color w:val="2A3730"/>
          <w:sz w:val="21"/>
        </w:rPr>
        <w:t xml:space="preserve"> Its current thresholds are fully farm-validated.</w:t>
      </w:r>
    </w:p>
    <w:p>
      <w:pPr>
        <w:pStyle w:val="ListBullet"/>
      </w:pPr>
      <w:r>
        <w:rPr>
          <w:rFonts w:ascii="Calibri" w:hAnsi="Calibri"/>
          <w:color w:val="2A3730"/>
          <w:sz w:val="21"/>
        </w:rPr>
        <w:t xml:space="preserve"> A higher score independently proves a worse final outcome.</w:t>
      </w:r>
    </w:p>
    <w:p>
      <w:pPr>
        <w:pStyle w:val="ListBullet"/>
      </w:pPr>
      <w:r>
        <w:rPr>
          <w:rFonts w:ascii="Calibri" w:hAnsi="Calibri"/>
          <w:color w:val="2A3730"/>
          <w:sz w:val="21"/>
        </w:rPr>
        <w:t xml:space="preserve"> A performance-risk dimension identifies the physical root cause by itself.</w:t>
      </w:r>
    </w:p>
    <w:p>
      <w:pPr>
        <w:spacing w:before="0" w:after="120" w:line="288" w:lineRule="auto"/>
      </w:pPr>
      <w:r>
        <w:rPr>
          <w:rFonts w:ascii="Calibri" w:hAnsi="Calibri"/>
          <w:b/>
          <w:color w:val="2A3730"/>
          <w:sz w:val="21"/>
        </w:rPr>
        <w:t>Historical audit</w:t>
      </w:r>
    </w:p>
    <w:p>
      <w:pPr>
        <w:pStyle w:val="ListBullet"/>
      </w:pPr>
      <w:r>
        <w:rPr>
          <w:rFonts w:ascii="Calibri" w:hAnsi="Calibri"/>
          <w:color w:val="2A3730"/>
          <w:sz w:val="21"/>
        </w:rPr>
        <w:t xml:space="preserve"> Day 14 snapshots reviewed: </w:t>
      </w:r>
      <w:r>
        <w:rPr>
          <w:rFonts w:ascii="Calibri" w:hAnsi="Calibri"/>
          <w:b/>
          <w:color w:val="2A3730"/>
          <w:sz w:val="21"/>
        </w:rPr>
        <w:t>31</w:t>
      </w:r>
      <w:r>
        <w:rPr>
          <w:rFonts w:ascii="Calibri" w:hAnsi="Calibri"/>
          <w:color w:val="2A3730"/>
          <w:sz w:val="21"/>
        </w:rPr>
        <w:t>.</w:t>
      </w:r>
    </w:p>
    <w:p>
      <w:pPr>
        <w:pStyle w:val="ListBullet"/>
      </w:pPr>
      <w:r>
        <w:rPr>
          <w:rFonts w:ascii="Calibri" w:hAnsi="Calibri"/>
          <w:color w:val="2A3730"/>
          <w:sz w:val="21"/>
        </w:rPr>
        <w:t xml:space="preserve"> Score correlation with last-recorded recovery: </w:t>
      </w:r>
      <w:r>
        <w:rPr>
          <w:rFonts w:ascii="Calibri" w:hAnsi="Calibri"/>
          <w:b/>
          <w:color w:val="2A3730"/>
          <w:sz w:val="21"/>
        </w:rPr>
        <w:t>+0.19</w:t>
      </w:r>
      <w:r>
        <w:rPr>
          <w:rFonts w:ascii="Calibri" w:hAnsi="Calibri"/>
          <w:color w:val="2A3730"/>
          <w:sz w:val="21"/>
        </w:rPr>
        <w:t>.</w:t>
      </w:r>
    </w:p>
    <w:p>
      <w:pPr>
        <w:pStyle w:val="ListBullet"/>
      </w:pPr>
      <w:r>
        <w:rPr>
          <w:rFonts w:ascii="Calibri" w:hAnsi="Calibri"/>
          <w:color w:val="2A3730"/>
          <w:sz w:val="21"/>
        </w:rPr>
        <w:t xml:space="preserve"> Score correlation with recorded Day 35 weight: </w:t>
      </w:r>
      <w:r>
        <w:rPr>
          <w:rFonts w:ascii="Calibri" w:hAnsi="Calibri"/>
          <w:b/>
          <w:color w:val="2A3730"/>
          <w:sz w:val="21"/>
        </w:rPr>
        <w:t>+0.04</w:t>
      </w:r>
      <w:r>
        <w:rPr>
          <w:rFonts w:ascii="Calibri" w:hAnsi="Calibri"/>
          <w:color w:val="2A3730"/>
          <w:sz w:val="21"/>
        </w:rPr>
        <w:t>.</w:t>
      </w:r>
    </w:p>
    <w:p>
      <w:pPr>
        <w:pStyle w:val="ListBullet"/>
      </w:pPr>
      <w:r>
        <w:rPr>
          <w:rFonts w:ascii="Calibri" w:hAnsi="Calibri"/>
          <w:color w:val="2A3730"/>
          <w:sz w:val="21"/>
        </w:rPr>
        <w:t xml:space="preserve"> Risk bands were not consistently ordered by final outcomes.</w:t>
      </w:r>
    </w:p>
    <w:p>
      <w:pPr>
        <w:pStyle w:val="ListBullet"/>
      </w:pPr>
      <w:r>
        <w:rPr>
          <w:rFonts w:ascii="Calibri" w:hAnsi="Calibri"/>
          <w:color w:val="2A3730"/>
          <w:sz w:val="21"/>
        </w:rPr>
        <w:t xml:space="preserve"> Conclusion: retain the score as an </w:t>
      </w:r>
      <w:r>
        <w:rPr>
          <w:rFonts w:ascii="Calibri" w:hAnsi="Calibri"/>
          <w:b/>
          <w:color w:val="2A3730"/>
          <w:sz w:val="21"/>
        </w:rPr>
        <w:t>operational attention tool</w:t>
      </w:r>
      <w:r>
        <w:rPr>
          <w:rFonts w:ascii="Calibri" w:hAnsi="Calibri"/>
          <w:color w:val="2A3730"/>
          <w:sz w:val="21"/>
        </w:rPr>
        <w:t>, not an outcome-prediction model.</w:t>
      </w:r>
    </w:p>
    <w:p>
      <w:pPr>
        <w:pStyle w:val="Heading1"/>
      </w:pPr>
      <w:r>
        <w:t>5. Component 2A — Harvest-recovery model</w:t>
      </w:r>
    </w:p>
    <w:p>
      <w:pPr>
        <w:pStyle w:val="Heading3"/>
      </w:pPr>
      <w:r>
        <w:t>What it predicts</w:t>
      </w:r>
    </w:p>
    <w:p>
      <w:pPr>
        <w:pStyle w:val="ListBullet"/>
      </w:pPr>
      <w:r>
        <w:rPr>
          <w:rFonts w:ascii="Calibri" w:hAnsi="Calibri"/>
          <w:color w:val="2A3730"/>
          <w:sz w:val="21"/>
        </w:rPr>
        <w:t xml:space="preserve"> Expected recovery at harvest, compared with the </w:t>
      </w:r>
      <w:r>
        <w:rPr>
          <w:rFonts w:ascii="Calibri" w:hAnsi="Calibri"/>
          <w:b/>
          <w:color w:val="2A3730"/>
          <w:sz w:val="21"/>
        </w:rPr>
        <w:t>95% goal</w:t>
      </w:r>
      <w:r>
        <w:rPr>
          <w:rFonts w:ascii="Calibri" w:hAnsi="Calibri"/>
          <w:color w:val="2A3730"/>
          <w:sz w:val="21"/>
        </w:rPr>
        <w:t>.</w:t>
      </w:r>
    </w:p>
    <w:p>
      <w:pPr>
        <w:pStyle w:val="Heading3"/>
      </w:pPr>
      <w:r>
        <w:t>Historical target variable (Y)</w:t>
      </w:r>
    </w:p>
    <w:p>
      <w:pPr>
        <w:pStyle w:val="ListBullet"/>
      </w:pPr>
      <w:r>
        <w:rPr>
          <w:rFonts w:ascii="Calibri" w:hAnsi="Calibri"/>
          <w:color w:val="2A3730"/>
          <w:sz w:val="21"/>
        </w:rPr>
        <w:t xml:space="preserve"> </w:t>
      </w:r>
      <w:r>
        <w:rPr>
          <w:rFonts w:ascii="Calibri" w:hAnsi="Calibri"/>
          <w:b/>
          <w:color w:val="2A3730"/>
          <w:sz w:val="21"/>
        </w:rPr>
        <w:t>Last recorded population ÷ beginning population</w:t>
      </w:r>
      <w:r>
        <w:rPr>
          <w:rFonts w:ascii="Calibri" w:hAnsi="Calibri"/>
          <w:color w:val="2A3730"/>
          <w:sz w:val="21"/>
        </w:rPr>
        <w:t xml:space="preserve"> for each completed building-cycle.</w:t>
      </w:r>
    </w:p>
    <w:p>
      <w:pPr>
        <w:pStyle w:val="ListBullet"/>
      </w:pPr>
      <w:r>
        <w:rPr>
          <w:rFonts w:ascii="Calibri" w:hAnsi="Calibri"/>
          <w:color w:val="2A3730"/>
          <w:sz w:val="21"/>
        </w:rPr>
        <w:t xml:space="preserve"> This is the agreed capstone recovery formula.</w:t>
      </w:r>
    </w:p>
    <w:p>
      <w:pPr>
        <w:pStyle w:val="ListBullet"/>
      </w:pPr>
      <w:r>
        <w:rPr>
          <w:rFonts w:ascii="Calibri" w:hAnsi="Calibri"/>
          <w:color w:val="2A3730"/>
          <w:sz w:val="21"/>
        </w:rPr>
        <w:t xml:space="preserve"> It is a proxy because the source does not contain a verified harvest-event flag.</w:t>
      </w:r>
    </w:p>
    <w:p>
      <w:pPr>
        <w:pStyle w:val="Heading3"/>
      </w:pPr>
      <w:r>
        <w:t>Input features (X)</w:t>
      </w:r>
    </w:p>
    <w:p>
      <w:pPr>
        <w:pStyle w:val="ListBullet"/>
      </w:pPr>
      <w:r>
        <w:rPr>
          <w:rFonts w:ascii="Calibri" w:hAnsi="Calibri"/>
          <w:color w:val="2A3730"/>
          <w:sz w:val="21"/>
        </w:rPr>
        <w:t xml:space="preserve"> Flock age.</w:t>
      </w:r>
    </w:p>
    <w:p>
      <w:pPr>
        <w:pStyle w:val="ListBullet"/>
      </w:pPr>
      <w:r>
        <w:rPr>
          <w:rFonts w:ascii="Calibri" w:hAnsi="Calibri"/>
          <w:color w:val="2A3730"/>
          <w:sz w:val="21"/>
        </w:rPr>
        <w:t xml:space="preserve"> Current percentage alive.</w:t>
      </w:r>
    </w:p>
    <w:p>
      <w:pPr>
        <w:pStyle w:val="ListBullet"/>
      </w:pPr>
      <w:r>
        <w:rPr>
          <w:rFonts w:ascii="Calibri" w:hAnsi="Calibri"/>
          <w:color w:val="2A3730"/>
          <w:sz w:val="21"/>
        </w:rPr>
        <w:t xml:space="preserve"> Latest and recent mortality.</w:t>
      </w:r>
    </w:p>
    <w:p>
      <w:pPr>
        <w:pStyle w:val="ListBullet"/>
      </w:pPr>
      <w:r>
        <w:rPr>
          <w:rFonts w:ascii="Calibri" w:hAnsi="Calibri"/>
          <w:color w:val="2A3730"/>
          <w:sz w:val="21"/>
        </w:rPr>
        <w:t xml:space="preserve"> Mortality trend.</w:t>
      </w:r>
    </w:p>
    <w:p>
      <w:pPr>
        <w:pStyle w:val="ListBullet"/>
      </w:pPr>
      <w:r>
        <w:rPr>
          <w:rFonts w:ascii="Calibri" w:hAnsi="Calibri"/>
          <w:color w:val="2A3730"/>
          <w:sz w:val="21"/>
        </w:rPr>
        <w:t xml:space="preserve"> Daily and cumulative feed per 1,000 birds.</w:t>
      </w:r>
    </w:p>
    <w:p>
      <w:pPr>
        <w:pStyle w:val="ListBullet"/>
      </w:pPr>
      <w:r>
        <w:rPr>
          <w:rFonts w:ascii="Calibri" w:hAnsi="Calibri"/>
          <w:color w:val="2A3730"/>
          <w:sz w:val="21"/>
        </w:rPr>
        <w:t xml:space="preserve"> Recent temperature and humidity when available.</w:t>
      </w:r>
    </w:p>
    <w:p>
      <w:pPr>
        <w:pStyle w:val="ListBullet"/>
      </w:pPr>
      <w:r>
        <w:rPr>
          <w:rFonts w:ascii="Calibri" w:hAnsi="Calibri"/>
          <w:color w:val="2A3730"/>
          <w:sz w:val="21"/>
        </w:rPr>
        <w:t xml:space="preserve"> Missing-data indicators.</w:t>
      </w:r>
    </w:p>
    <w:p>
      <w:pPr>
        <w:spacing w:before="0" w:after="120" w:line="288" w:lineRule="auto"/>
      </w:pPr>
      <w:r>
        <w:rPr>
          <w:rFonts w:ascii="Calibri" w:hAnsi="Calibri"/>
          <w:color w:val="2A3730"/>
          <w:sz w:val="21"/>
        </w:rPr>
        <w:t>Weight inputs were tested but excluded from the winning recovery model because held-out error did not improve.</w:t>
      </w:r>
    </w:p>
    <w:p>
      <w:pPr>
        <w:pStyle w:val="Heading3"/>
      </w:pPr>
      <w:r>
        <w:t>Models compared</w:t>
      </w:r>
    </w:p>
    <w:tbl>
      <w:tblPr>
        <w:tblStyle w:val="TableGrid"/>
        <w:tblW w:type="dxa" w:w="9360"/>
        <w:tblLayout w:type="fixed"/>
        <w:tblLook w:firstColumn="1" w:firstRow="1" w:lastColumn="0" w:lastRow="0" w:noHBand="0" w:noVBand="1" w:val="04A0"/>
        <w:tblInd w:w="120" w:type="dxa"/>
      </w:tblPr>
      <w:tblGrid>
        <w:gridCol w:w="2500"/>
        <w:gridCol w:w="1800"/>
        <w:gridCol w:w="5060"/>
      </w:tblGrid>
      <w:tr>
        <w:trPr>
          <w:cantSplit/>
          <w:tblHeader w:val="true"/>
        </w:trPr>
        <w:tc>
          <w:tcPr>
            <w:tcW w:type="dxa" w:w="2500"/>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8"/>
              </w:rPr>
              <w:t>Candidate</w:t>
            </w:r>
          </w:p>
        </w:tc>
        <w:tc>
          <w:tcPr>
            <w:tcW w:type="dxa" w:w="1800"/>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8"/>
              </w:rPr>
              <w:t>Overall MAE</w:t>
            </w:r>
          </w:p>
        </w:tc>
        <w:tc>
          <w:tcPr>
            <w:tcW w:type="dxa" w:w="5060"/>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8"/>
              </w:rPr>
              <w:t>Result</w:t>
            </w:r>
          </w:p>
        </w:tc>
      </w:tr>
      <w:tr>
        <w:trPr>
          <w:cantSplit/>
        </w:trPr>
        <w:tc>
          <w:tcPr>
            <w:tcW w:type="dxa" w:w="250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Current-survival projection</w:t>
            </w:r>
          </w:p>
        </w:tc>
        <w:tc>
          <w:tcPr>
            <w:tcW w:type="dxa" w:w="180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3.55 pts</w:t>
            </w:r>
          </w:p>
        </w:tc>
        <w:tc>
          <w:tcPr>
            <w:tcW w:type="dxa" w:w="506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Transparent but weak</w:t>
            </w:r>
          </w:p>
        </w:tc>
      </w:tr>
      <w:tr>
        <w:trPr>
          <w:cantSplit/>
        </w:trPr>
        <w:tc>
          <w:tcPr>
            <w:tcW w:type="dxa" w:w="250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Historical mean</w:t>
            </w:r>
          </w:p>
        </w:tc>
        <w:tc>
          <w:tcPr>
            <w:tcW w:type="dxa" w:w="180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1.67 pts</w:t>
            </w:r>
          </w:p>
        </w:tc>
        <w:tc>
          <w:tcPr>
            <w:tcW w:type="dxa" w:w="506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Useful baseline</w:t>
            </w:r>
          </w:p>
        </w:tc>
      </w:tr>
      <w:tr>
        <w:trPr>
          <w:cantSplit/>
        </w:trPr>
        <w:tc>
          <w:tcPr>
            <w:tcW w:type="dxa" w:w="250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Ridge with weight</w:t>
            </w:r>
          </w:p>
        </w:tc>
        <w:tc>
          <w:tcPr>
            <w:tcW w:type="dxa" w:w="180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1.40 pts</w:t>
            </w:r>
          </w:p>
        </w:tc>
        <w:tc>
          <w:tcPr>
            <w:tcW w:type="dxa" w:w="506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Competitive</w:t>
            </w:r>
          </w:p>
        </w:tc>
      </w:tr>
      <w:tr>
        <w:trPr>
          <w:cantSplit/>
        </w:trPr>
        <w:tc>
          <w:tcPr>
            <w:tcW w:type="dxa" w:w="250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Random forest</w:t>
            </w:r>
          </w:p>
        </w:tc>
        <w:tc>
          <w:tcPr>
            <w:tcW w:type="dxa" w:w="180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1.48 pts</w:t>
            </w:r>
          </w:p>
        </w:tc>
        <w:tc>
          <w:tcPr>
            <w:tcW w:type="dxa" w:w="506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Did not justify added complexity</w:t>
            </w:r>
          </w:p>
        </w:tc>
      </w:tr>
      <w:tr>
        <w:trPr>
          <w:cantSplit/>
        </w:trPr>
        <w:tc>
          <w:tcPr>
            <w:tcW w:type="dxa" w:w="250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Ridge without weight</w:t>
            </w:r>
          </w:p>
        </w:tc>
        <w:tc>
          <w:tcPr>
            <w:tcW w:type="dxa" w:w="180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1.34 pts</w:t>
            </w:r>
          </w:p>
        </w:tc>
        <w:tc>
          <w:tcPr>
            <w:tcW w:type="dxa" w:w="506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Competitive</w:t>
            </w:r>
          </w:p>
        </w:tc>
      </w:tr>
      <w:tr>
        <w:trPr>
          <w:cantSplit/>
        </w:trPr>
        <w:tc>
          <w:tcPr>
            <w:tcW w:type="dxa" w:w="2500"/>
            <w:tcMar>
              <w:top w:w="80" w:type="dxa"/>
              <w:start w:w="120" w:type="dxa"/>
              <w:bottom w:w="80" w:type="dxa"/>
              <w:end w:w="120" w:type="dxa"/>
            </w:tcMar>
            <w:vAlign w:val="center"/>
            <w:shd w:fill="F4F8F5"/>
          </w:tcPr>
          <w:p>
            <w:pPr>
              <w:keepLines/>
              <w:spacing w:before="0" w:after="0" w:line="264" w:lineRule="auto"/>
            </w:pPr>
            <w:r/>
            <w:r>
              <w:rPr>
                <w:rFonts w:ascii="Calibri" w:hAnsi="Calibri"/>
                <w:b/>
                <w:color w:val="2A3730"/>
                <w:sz w:val="18"/>
              </w:rPr>
              <w:t>Compact Ridge without weight, inventory, or building identity</w:t>
            </w:r>
          </w:p>
        </w:tc>
        <w:tc>
          <w:tcPr>
            <w:tcW w:type="dxa" w:w="1800"/>
            <w:tcMar>
              <w:top w:w="80" w:type="dxa"/>
              <w:start w:w="120" w:type="dxa"/>
              <w:bottom w:w="80" w:type="dxa"/>
              <w:end w:w="120" w:type="dxa"/>
            </w:tcMar>
            <w:vAlign w:val="center"/>
            <w:shd w:fill="F4F8F5"/>
          </w:tcPr>
          <w:p>
            <w:pPr>
              <w:keepLines/>
              <w:spacing w:before="0" w:after="0" w:line="264" w:lineRule="auto"/>
            </w:pPr>
            <w:r/>
            <w:r>
              <w:rPr>
                <w:rFonts w:ascii="Calibri" w:hAnsi="Calibri"/>
                <w:b/>
                <w:color w:val="2A3730"/>
                <w:sz w:val="18"/>
              </w:rPr>
              <w:t>1.32 pts</w:t>
            </w:r>
          </w:p>
        </w:tc>
        <w:tc>
          <w:tcPr>
            <w:tcW w:type="dxa" w:w="5060"/>
            <w:tcMar>
              <w:top w:w="80" w:type="dxa"/>
              <w:start w:w="120" w:type="dxa"/>
              <w:bottom w:w="80" w:type="dxa"/>
              <w:end w:w="120" w:type="dxa"/>
            </w:tcMar>
            <w:vAlign w:val="center"/>
            <w:shd w:fill="F4F8F5"/>
          </w:tcPr>
          <w:p>
            <w:pPr>
              <w:keepLines/>
              <w:spacing w:before="0" w:after="0" w:line="264" w:lineRule="auto"/>
            </w:pPr>
            <w:r/>
            <w:r>
              <w:rPr>
                <w:rFonts w:ascii="Calibri" w:hAnsi="Calibri"/>
                <w:b/>
                <w:color w:val="2A3730"/>
                <w:sz w:val="18"/>
              </w:rPr>
              <w:t>Selected</w:t>
            </w:r>
          </w:p>
        </w:tc>
      </w:tr>
    </w:tbl>
    <w:p>
      <w:pPr>
        <w:spacing w:after="40"/>
      </w:pPr>
    </w:p>
    <w:p>
      <w:pPr>
        <w:pStyle w:val="Heading3"/>
      </w:pPr>
      <w:r>
        <w:t>Why compact Ridge won</w:t>
      </w:r>
    </w:p>
    <w:p>
      <w:pPr>
        <w:pStyle w:val="ListBullet"/>
      </w:pPr>
      <w:r>
        <w:rPr>
          <w:rFonts w:ascii="Calibri" w:hAnsi="Calibri"/>
          <w:color w:val="2A3730"/>
          <w:sz w:val="21"/>
        </w:rPr>
        <w:t xml:space="preserve"> Lowest overall held-out MAE.</w:t>
      </w:r>
    </w:p>
    <w:p>
      <w:pPr>
        <w:pStyle w:val="ListBullet"/>
      </w:pPr>
      <w:r>
        <w:rPr>
          <w:rFonts w:ascii="Calibri" w:hAnsi="Calibri"/>
          <w:color w:val="2A3730"/>
          <w:sz w:val="21"/>
        </w:rPr>
        <w:t xml:space="preserve"> Within 5% of the best cycle-balanced candidate.</w:t>
      </w:r>
    </w:p>
    <w:p>
      <w:pPr>
        <w:pStyle w:val="ListBullet"/>
      </w:pPr>
      <w:r>
        <w:rPr>
          <w:rFonts w:ascii="Calibri" w:hAnsi="Calibri"/>
          <w:color w:val="2A3730"/>
          <w:sz w:val="21"/>
        </w:rPr>
        <w:t xml:space="preserve"> More compact and explainable than the tree model.</w:t>
      </w:r>
    </w:p>
    <w:p>
      <w:pPr>
        <w:pStyle w:val="ListBullet"/>
      </w:pPr>
      <w:r>
        <w:rPr>
          <w:rFonts w:ascii="Calibri" w:hAnsi="Calibri"/>
          <w:color w:val="2A3730"/>
          <w:sz w:val="21"/>
        </w:rPr>
        <w:t xml:space="preserve"> Removed weight, raw beginning inventory, and Tags/Lagundi identity because those inputs did not strengthen the defensible held-out result.</w:t>
      </w:r>
    </w:p>
    <w:p>
      <w:pPr>
        <w:pStyle w:val="ListBullet"/>
      </w:pPr>
      <w:r>
        <w:rPr>
          <w:rFonts w:ascii="Calibri" w:hAnsi="Calibri"/>
          <w:color w:val="2A3730"/>
          <w:sz w:val="21"/>
        </w:rPr>
        <w:t xml:space="preserve"> Kept current survival because final recovery uses the same beginning-population denominator: final recovery cannot exceed the share still alive today.</w:t>
      </w:r>
    </w:p>
    <w:p>
      <w:pPr>
        <w:pStyle w:val="Heading3"/>
      </w:pPr>
      <w:r>
        <w:t>Validation results</w:t>
      </w:r>
    </w:p>
    <w:p>
      <w:pPr>
        <w:pStyle w:val="ListBullet"/>
      </w:pPr>
      <w:r>
        <w:rPr>
          <w:rFonts w:ascii="Calibri" w:hAnsi="Calibri"/>
          <w:color w:val="2A3730"/>
          <w:sz w:val="21"/>
        </w:rPr>
        <w:t xml:space="preserve"> Complete cycles used: </w:t>
      </w:r>
      <w:r>
        <w:rPr>
          <w:rFonts w:ascii="Calibri" w:hAnsi="Calibri"/>
          <w:b/>
          <w:color w:val="2A3730"/>
          <w:sz w:val="21"/>
        </w:rPr>
        <w:t>5</w:t>
      </w:r>
      <w:r>
        <w:rPr>
          <w:rFonts w:ascii="Calibri" w:hAnsi="Calibri"/>
          <w:color w:val="2A3730"/>
          <w:sz w:val="21"/>
        </w:rPr>
        <w:t>.</w:t>
      </w:r>
    </w:p>
    <w:p>
      <w:pPr>
        <w:pStyle w:val="ListBullet"/>
      </w:pPr>
      <w:r>
        <w:rPr>
          <w:rFonts w:ascii="Calibri" w:hAnsi="Calibri"/>
          <w:color w:val="2A3730"/>
          <w:sz w:val="21"/>
        </w:rPr>
        <w:t xml:space="preserve"> Distinct building outcomes: </w:t>
      </w:r>
      <w:r>
        <w:rPr>
          <w:rFonts w:ascii="Calibri" w:hAnsi="Calibri"/>
          <w:b/>
          <w:color w:val="2A3730"/>
          <w:sz w:val="21"/>
        </w:rPr>
        <w:t>25</w:t>
      </w:r>
      <w:r>
        <w:rPr>
          <w:rFonts w:ascii="Calibri" w:hAnsi="Calibri"/>
          <w:color w:val="2A3730"/>
          <w:sz w:val="21"/>
        </w:rPr>
        <w:t>.</w:t>
      </w:r>
    </w:p>
    <w:p>
      <w:pPr>
        <w:pStyle w:val="ListBullet"/>
      </w:pPr>
      <w:r>
        <w:rPr>
          <w:rFonts w:ascii="Calibri" w:hAnsi="Calibri"/>
          <w:color w:val="2A3730"/>
          <w:sz w:val="21"/>
        </w:rPr>
        <w:t xml:space="preserve"> Balanced decision snapshots: </w:t>
      </w:r>
      <w:r>
        <w:rPr>
          <w:rFonts w:ascii="Calibri" w:hAnsi="Calibri"/>
          <w:b/>
          <w:color w:val="2A3730"/>
          <w:sz w:val="21"/>
        </w:rPr>
        <w:t>122</w:t>
      </w:r>
      <w:r>
        <w:rPr>
          <w:rFonts w:ascii="Calibri" w:hAnsi="Calibri"/>
          <w:color w:val="2A3730"/>
          <w:sz w:val="21"/>
        </w:rPr>
        <w:t>, sampled from 1,122 eligible daily snapshots.</w:t>
      </w:r>
    </w:p>
    <w:p>
      <w:pPr>
        <w:pStyle w:val="ListBullet"/>
      </w:pPr>
      <w:r>
        <w:rPr>
          <w:rFonts w:ascii="Calibri" w:hAnsi="Calibri"/>
          <w:color w:val="2A3730"/>
          <w:sz w:val="21"/>
        </w:rPr>
        <w:t xml:space="preserve"> Overall MAE: </w:t>
      </w:r>
      <w:r>
        <w:rPr>
          <w:rFonts w:ascii="Calibri" w:hAnsi="Calibri"/>
          <w:b/>
          <w:color w:val="2A3730"/>
          <w:sz w:val="21"/>
        </w:rPr>
        <w:t>1.32 recovery points</w:t>
      </w:r>
      <w:r>
        <w:rPr>
          <w:rFonts w:ascii="Calibri" w:hAnsi="Calibri"/>
          <w:color w:val="2A3730"/>
          <w:sz w:val="21"/>
        </w:rPr>
        <w:t>.</w:t>
      </w:r>
    </w:p>
    <w:p>
      <w:pPr>
        <w:pStyle w:val="ListBullet"/>
      </w:pPr>
      <w:r>
        <w:rPr>
          <w:rFonts w:ascii="Calibri" w:hAnsi="Calibri"/>
          <w:color w:val="2A3730"/>
          <w:sz w:val="21"/>
        </w:rPr>
        <w:t xml:space="preserve"> Overall RMSE: </w:t>
      </w:r>
      <w:r>
        <w:rPr>
          <w:rFonts w:ascii="Calibri" w:hAnsi="Calibri"/>
          <w:b/>
          <w:color w:val="2A3730"/>
          <w:sz w:val="21"/>
        </w:rPr>
        <w:t>1.76 recovery points</w:t>
      </w:r>
      <w:r>
        <w:rPr>
          <w:rFonts w:ascii="Calibri" w:hAnsi="Calibri"/>
          <w:color w:val="2A3730"/>
          <w:sz w:val="21"/>
        </w:rPr>
        <w:t>.</w:t>
      </w:r>
    </w:p>
    <w:p>
      <w:pPr>
        <w:pStyle w:val="ListBullet"/>
      </w:pPr>
      <w:r>
        <w:rPr>
          <w:rFonts w:ascii="Calibri" w:hAnsi="Calibri"/>
          <w:color w:val="2A3730"/>
          <w:sz w:val="21"/>
        </w:rPr>
        <w:t xml:space="preserve"> Day 14 MAE: </w:t>
      </w:r>
      <w:r>
        <w:rPr>
          <w:rFonts w:ascii="Calibri" w:hAnsi="Calibri"/>
          <w:b/>
          <w:color w:val="2A3730"/>
          <w:sz w:val="21"/>
        </w:rPr>
        <w:t>1.43 recovery points</w:t>
      </w:r>
      <w:r>
        <w:rPr>
          <w:rFonts w:ascii="Calibri" w:hAnsi="Calibri"/>
          <w:color w:val="2A3730"/>
          <w:sz w:val="21"/>
        </w:rPr>
        <w:t>.</w:t>
      </w:r>
    </w:p>
    <w:p>
      <w:pPr>
        <w:pStyle w:val="ListBullet"/>
      </w:pPr>
      <w:r>
        <w:rPr>
          <w:rFonts w:ascii="Calibri" w:hAnsi="Calibri"/>
          <w:color w:val="2A3730"/>
          <w:sz w:val="21"/>
        </w:rPr>
        <w:t xml:space="preserve"> Prototype likely range: approximately prediction ± the 80th-percentile held-out error.</w:t>
      </w:r>
    </w:p>
    <w:p>
      <w:pPr>
        <w:pStyle w:val="Heading3"/>
      </w:pPr>
      <w:r>
        <w:t>Important classification limitation</w:t>
      </w:r>
    </w:p>
    <w:p>
      <w:pPr>
        <w:pStyle w:val="ListBullet"/>
      </w:pPr>
      <w:r>
        <w:rPr>
          <w:rFonts w:ascii="Calibri" w:hAnsi="Calibri"/>
          <w:color w:val="2A3730"/>
          <w:sz w:val="21"/>
        </w:rPr>
        <w:t xml:space="preserve"> Target-side accuracy: </w:t>
      </w:r>
      <w:r>
        <w:rPr>
          <w:rFonts w:ascii="Calibri" w:hAnsi="Calibri"/>
          <w:b/>
          <w:color w:val="2A3730"/>
          <w:sz w:val="21"/>
        </w:rPr>
        <w:t>84%</w:t>
      </w:r>
      <w:r>
        <w:rPr>
          <w:rFonts w:ascii="Calibri" w:hAnsi="Calibri"/>
          <w:color w:val="2A3730"/>
          <w:sz w:val="21"/>
        </w:rPr>
        <w:t>.</w:t>
      </w:r>
    </w:p>
    <w:p>
      <w:pPr>
        <w:pStyle w:val="ListBullet"/>
      </w:pPr>
      <w:r>
        <w:rPr>
          <w:rFonts w:ascii="Calibri" w:hAnsi="Calibri"/>
          <w:color w:val="2A3730"/>
          <w:sz w:val="21"/>
        </w:rPr>
        <w:t xml:space="preserve"> Always predicting the historically common “below 95%” result also gives </w:t>
      </w:r>
      <w:r>
        <w:rPr>
          <w:rFonts w:ascii="Calibri" w:hAnsi="Calibri"/>
          <w:b/>
          <w:color w:val="2A3730"/>
          <w:sz w:val="21"/>
        </w:rPr>
        <w:t>84%</w:t>
      </w:r>
      <w:r>
        <w:rPr>
          <w:rFonts w:ascii="Calibri" w:hAnsi="Calibri"/>
          <w:color w:val="2A3730"/>
          <w:sz w:val="21"/>
        </w:rPr>
        <w:t>.</w:t>
      </w:r>
    </w:p>
    <w:p>
      <w:pPr>
        <w:pStyle w:val="ListBullet"/>
      </w:pPr>
      <w:r>
        <w:rPr>
          <w:rFonts w:ascii="Calibri" w:hAnsi="Calibri"/>
          <w:color w:val="2A3730"/>
          <w:sz w:val="21"/>
        </w:rPr>
        <w:t xml:space="preserve"> At/above-95% recall: </w:t>
      </w:r>
      <w:r>
        <w:rPr>
          <w:rFonts w:ascii="Calibri" w:hAnsi="Calibri"/>
          <w:b/>
          <w:color w:val="2A3730"/>
          <w:sz w:val="21"/>
        </w:rPr>
        <w:t>0%</w:t>
      </w:r>
      <w:r>
        <w:rPr>
          <w:rFonts w:ascii="Calibri" w:hAnsi="Calibri"/>
          <w:color w:val="2A3730"/>
          <w:sz w:val="21"/>
        </w:rPr>
        <w:t>.</w:t>
      </w:r>
    </w:p>
    <w:p>
      <w:pPr>
        <w:pStyle w:val="ListBullet"/>
      </w:pPr>
      <w:r>
        <w:rPr>
          <w:rFonts w:ascii="Calibri" w:hAnsi="Calibri"/>
          <w:color w:val="2A3730"/>
          <w:sz w:val="21"/>
        </w:rPr>
        <w:t xml:space="preserve"> Use it as a </w:t>
      </w:r>
      <w:r>
        <w:rPr>
          <w:rFonts w:ascii="Calibri" w:hAnsi="Calibri"/>
          <w:b/>
          <w:color w:val="2A3730"/>
          <w:sz w:val="21"/>
        </w:rPr>
        <w:t>directional point estimate and gap estimate</w:t>
      </w:r>
      <w:r>
        <w:rPr>
          <w:rFonts w:ascii="Calibri" w:hAnsi="Calibri"/>
          <w:color w:val="2A3730"/>
          <w:sz w:val="21"/>
        </w:rPr>
        <w:t>, not a proven hit/miss classifier.</w:t>
      </w:r>
    </w:p>
    <w:p>
      <w:pPr>
        <w:pStyle w:val="Heading3"/>
      </w:pPr>
      <w:r>
        <w:t>Top five recorded model inputs</w:t>
      </w:r>
    </w:p>
    <w:p>
      <w:pPr>
        <w:spacing w:before="0" w:after="120" w:line="288" w:lineRule="auto"/>
      </w:pPr>
      <w:r>
        <w:rPr>
          <w:rFonts w:ascii="Calibri" w:hAnsi="Calibri"/>
          <w:color w:val="2A3730"/>
          <w:sz w:val="21"/>
        </w:rPr>
        <w:t>These are model-wide standardized coefficient magnitudes, not causal effects.</w:t>
      </w:r>
    </w:p>
    <w:tbl>
      <w:tblPr>
        <w:tblStyle w:val="TableGrid"/>
        <w:tblW w:type="dxa" w:w="9360"/>
        <w:tblLayout w:type="fixed"/>
        <w:tblLook w:firstColumn="1" w:firstRow="1" w:lastColumn="0" w:lastRow="0" w:noHBand="0" w:noVBand="1" w:val="04A0"/>
        <w:tblInd w:w="120" w:type="dxa"/>
      </w:tblPr>
      <w:tblGrid>
        <w:gridCol w:w="2500"/>
        <w:gridCol w:w="1800"/>
        <w:gridCol w:w="5060"/>
      </w:tblGrid>
      <w:tr>
        <w:trPr>
          <w:cantSplit/>
          <w:tblHeader w:val="true"/>
        </w:trPr>
        <w:tc>
          <w:tcPr>
            <w:tcW w:type="dxa" w:w="2500"/>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8"/>
              </w:rPr>
              <w:t>Recorded input</w:t>
            </w:r>
          </w:p>
        </w:tc>
        <w:tc>
          <w:tcPr>
            <w:tcW w:type="dxa" w:w="1800"/>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8"/>
              </w:rPr>
              <w:t>Relative reliance</w:t>
            </w:r>
          </w:p>
        </w:tc>
        <w:tc>
          <w:tcPr>
            <w:tcW w:type="dxa" w:w="5060"/>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8"/>
              </w:rPr>
              <w:t>Fitted direction</w:t>
            </w:r>
          </w:p>
        </w:tc>
      </w:tr>
      <w:tr>
        <w:trPr>
          <w:cantSplit/>
        </w:trPr>
        <w:tc>
          <w:tcPr>
            <w:tcW w:type="dxa" w:w="250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Current survival</w:t>
            </w:r>
          </w:p>
        </w:tc>
        <w:tc>
          <w:tcPr>
            <w:tcW w:type="dxa" w:w="180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26.9%</w:t>
            </w:r>
          </w:p>
        </w:tc>
        <w:tc>
          <w:tcPr>
            <w:tcW w:type="dxa" w:w="506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Higher raises the estimate</w:t>
            </w:r>
          </w:p>
        </w:tc>
      </w:tr>
      <w:tr>
        <w:trPr>
          <w:cantSplit/>
        </w:trPr>
        <w:tc>
          <w:tcPr>
            <w:tcW w:type="dxa" w:w="250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Recent 3-day mortality</w:t>
            </w:r>
          </w:p>
        </w:tc>
        <w:tc>
          <w:tcPr>
            <w:tcW w:type="dxa" w:w="180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9.8%</w:t>
            </w:r>
          </w:p>
        </w:tc>
        <w:tc>
          <w:tcPr>
            <w:tcW w:type="dxa" w:w="506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Higher lowers the estimate</w:t>
            </w:r>
          </w:p>
        </w:tc>
      </w:tr>
      <w:tr>
        <w:trPr>
          <w:cantSplit/>
        </w:trPr>
        <w:tc>
          <w:tcPr>
            <w:tcW w:type="dxa" w:w="250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Cumulative feed per 1,000 birds</w:t>
            </w:r>
          </w:p>
        </w:tc>
        <w:tc>
          <w:tcPr>
            <w:tcW w:type="dxa" w:w="180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9.4%</w:t>
            </w:r>
          </w:p>
        </w:tc>
        <w:tc>
          <w:tcPr>
            <w:tcW w:type="dxa" w:w="506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Higher raises the estimate</w:t>
            </w:r>
          </w:p>
        </w:tc>
      </w:tr>
      <w:tr>
        <w:trPr>
          <w:cantSplit/>
        </w:trPr>
        <w:tc>
          <w:tcPr>
            <w:tcW w:type="dxa" w:w="250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Flock age</w:t>
            </w:r>
          </w:p>
        </w:tc>
        <w:tc>
          <w:tcPr>
            <w:tcW w:type="dxa" w:w="180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9.4%</w:t>
            </w:r>
          </w:p>
        </w:tc>
        <w:tc>
          <w:tcPr>
            <w:tcW w:type="dxa" w:w="506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Higher raises the fitted estimate</w:t>
            </w:r>
          </w:p>
        </w:tc>
      </w:tr>
      <w:tr>
        <w:trPr>
          <w:cantSplit/>
        </w:trPr>
        <w:tc>
          <w:tcPr>
            <w:tcW w:type="dxa" w:w="2500"/>
            <w:tcMar>
              <w:top w:w="80" w:type="dxa"/>
              <w:start w:w="120" w:type="dxa"/>
              <w:bottom w:w="80" w:type="dxa"/>
              <w:end w:w="120" w:type="dxa"/>
            </w:tcMar>
            <w:vAlign w:val="center"/>
          </w:tcPr>
          <w:p>
            <w:pPr>
              <w:keepLines/>
              <w:spacing w:before="0" w:after="0" w:line="264" w:lineRule="auto"/>
            </w:pPr>
            <w:r/>
            <w:r>
              <w:rPr>
                <w:rFonts w:ascii="Calibri" w:hAnsi="Calibri"/>
                <w:color w:val="2A3730"/>
                <w:sz w:val="18"/>
              </w:rPr>
              <w:t>Mortality-trend feature</w:t>
            </w:r>
          </w:p>
        </w:tc>
        <w:tc>
          <w:tcPr>
            <w:tcW w:type="dxa" w:w="1800"/>
            <w:tcMar>
              <w:top w:w="80" w:type="dxa"/>
              <w:start w:w="120" w:type="dxa"/>
              <w:bottom w:w="80" w:type="dxa"/>
              <w:end w:w="120" w:type="dxa"/>
            </w:tcMar>
            <w:vAlign w:val="center"/>
          </w:tcPr>
          <w:p>
            <w:pPr>
              <w:keepLines/>
              <w:spacing w:before="0" w:after="0" w:line="264" w:lineRule="auto"/>
            </w:pPr>
            <w:r/>
            <w:r>
              <w:rPr>
                <w:rFonts w:ascii="Calibri" w:hAnsi="Calibri"/>
                <w:color w:val="2A3730"/>
                <w:sz w:val="18"/>
              </w:rPr>
              <w:t>9.1%</w:t>
            </w:r>
          </w:p>
        </w:tc>
        <w:tc>
          <w:tcPr>
            <w:tcW w:type="dxa" w:w="5060"/>
            <w:tcMar>
              <w:top w:w="80" w:type="dxa"/>
              <w:start w:w="120" w:type="dxa"/>
              <w:bottom w:w="80" w:type="dxa"/>
              <w:end w:w="120" w:type="dxa"/>
            </w:tcMar>
            <w:vAlign w:val="center"/>
          </w:tcPr>
          <w:p>
            <w:pPr>
              <w:keepLines/>
              <w:spacing w:before="0" w:after="0" w:line="264" w:lineRule="auto"/>
            </w:pPr>
            <w:r/>
            <w:r>
              <w:rPr>
                <w:rFonts w:ascii="Calibri" w:hAnsi="Calibri"/>
                <w:color w:val="2A3730"/>
                <w:sz w:val="18"/>
              </w:rPr>
              <w:t>Fitted positive; interpret cautiously because mortality features overlap</w:t>
            </w:r>
          </w:p>
        </w:tc>
      </w:tr>
    </w:tbl>
    <w:p>
      <w:pPr>
        <w:spacing w:after="40"/>
      </w:pPr>
    </w:p>
    <w:p>
      <w:pPr>
        <w:spacing w:before="0" w:after="120" w:line="288" w:lineRule="auto"/>
      </w:pPr>
      <w:r>
        <w:rPr>
          <w:rFonts w:ascii="Calibri" w:hAnsi="Calibri"/>
          <w:b/>
          <w:color w:val="2A3730"/>
          <w:sz w:val="21"/>
        </w:rPr>
        <w:t>Interpret carefully</w:t>
      </w:r>
    </w:p>
    <w:p>
      <w:pPr>
        <w:pStyle w:val="ListBullet"/>
      </w:pPr>
      <w:r>
        <w:rPr>
          <w:rFonts w:ascii="Calibri" w:hAnsi="Calibri"/>
          <w:color w:val="2A3730"/>
          <w:sz w:val="21"/>
        </w:rPr>
        <w:t xml:space="preserve"> Temperature and humidity values together represent about </w:t>
      </w:r>
      <w:r>
        <w:rPr>
          <w:rFonts w:ascii="Calibri" w:hAnsi="Calibri"/>
          <w:b/>
          <w:color w:val="2A3730"/>
          <w:sz w:val="21"/>
        </w:rPr>
        <w:t>4.6%</w:t>
      </w:r>
      <w:r>
        <w:rPr>
          <w:rFonts w:ascii="Calibri" w:hAnsi="Calibri"/>
          <w:color w:val="2A3730"/>
          <w:sz w:val="21"/>
        </w:rPr>
        <w:t xml:space="preserve"> of coefficient magnitude.</w:t>
      </w:r>
    </w:p>
    <w:p>
      <w:pPr>
        <w:pStyle w:val="ListBullet"/>
      </w:pPr>
      <w:r>
        <w:rPr>
          <w:rFonts w:ascii="Calibri" w:hAnsi="Calibri"/>
          <w:color w:val="2A3730"/>
          <w:sz w:val="21"/>
        </w:rPr>
        <w:t xml:space="preserve"> Missing temperature/humidity flags represent about </w:t>
      </w:r>
      <w:r>
        <w:rPr>
          <w:rFonts w:ascii="Calibri" w:hAnsi="Calibri"/>
          <w:b/>
          <w:color w:val="2A3730"/>
          <w:sz w:val="21"/>
        </w:rPr>
        <w:t>24.4%</w:t>
      </w:r>
      <w:r>
        <w:rPr>
          <w:rFonts w:ascii="Calibri" w:hAnsi="Calibri"/>
          <w:color w:val="2A3730"/>
          <w:sz w:val="21"/>
        </w:rPr>
        <w:t>.</w:t>
      </w:r>
    </w:p>
    <w:p>
      <w:pPr>
        <w:pStyle w:val="ListBullet"/>
      </w:pPr>
      <w:r>
        <w:rPr>
          <w:rFonts w:ascii="Calibri" w:hAnsi="Calibri"/>
          <w:color w:val="2A3730"/>
          <w:sz w:val="21"/>
        </w:rPr>
        <w:t xml:space="preserve"> This means data availability is entangled with historical patterns.</w:t>
      </w:r>
    </w:p>
    <w:p>
      <w:pPr>
        <w:pStyle w:val="ListBullet"/>
      </w:pPr>
      <w:r>
        <w:rPr>
          <w:rFonts w:ascii="Calibri" w:hAnsi="Calibri"/>
          <w:color w:val="2A3730"/>
          <w:sz w:val="21"/>
        </w:rPr>
        <w:t xml:space="preserve"> It does not prove that changing one input will produce the coefficient-sized outcome change.</w:t>
      </w:r>
    </w:p>
    <w:p>
      <w:pPr>
        <w:pStyle w:val="Heading1"/>
      </w:pPr>
      <w:r>
        <w:t>6. Component 2B — Day 35 weight model</w:t>
      </w:r>
    </w:p>
    <w:p>
      <w:pPr>
        <w:pStyle w:val="Heading3"/>
      </w:pPr>
      <w:r>
        <w:t>What it predicts</w:t>
      </w:r>
    </w:p>
    <w:p>
      <w:pPr>
        <w:pStyle w:val="ListBullet"/>
      </w:pPr>
      <w:r>
        <w:rPr>
          <w:rFonts w:ascii="Calibri" w:hAnsi="Calibri"/>
          <w:color w:val="2A3730"/>
          <w:sz w:val="21"/>
        </w:rPr>
        <w:t xml:space="preserve"> Expected average building weight specifically on </w:t>
      </w:r>
      <w:r>
        <w:rPr>
          <w:rFonts w:ascii="Calibri" w:hAnsi="Calibri"/>
          <w:b/>
          <w:color w:val="2A3730"/>
          <w:sz w:val="21"/>
        </w:rPr>
        <w:t>production Day 35</w:t>
      </w:r>
      <w:r>
        <w:rPr>
          <w:rFonts w:ascii="Calibri" w:hAnsi="Calibri"/>
          <w:color w:val="2A3730"/>
          <w:sz w:val="21"/>
        </w:rPr>
        <w:t>.</w:t>
      </w:r>
    </w:p>
    <w:p>
      <w:pPr>
        <w:pStyle w:val="ListBullet"/>
      </w:pPr>
      <w:r>
        <w:rPr>
          <w:rFonts w:ascii="Calibri" w:hAnsi="Calibri"/>
          <w:color w:val="2A3730"/>
          <w:sz w:val="21"/>
        </w:rPr>
        <w:t xml:space="preserve"> It is not final weight at an unknown harvest date.</w:t>
      </w:r>
    </w:p>
    <w:p>
      <w:pPr>
        <w:pStyle w:val="Heading3"/>
      </w:pPr>
      <w:r>
        <w:t>Historical target variable (Y)</w:t>
      </w:r>
    </w:p>
    <w:p>
      <w:pPr>
        <w:pStyle w:val="ListBullet"/>
      </w:pPr>
      <w:r>
        <w:rPr>
          <w:rFonts w:ascii="Calibri" w:hAnsi="Calibri"/>
          <w:color w:val="2A3730"/>
          <w:sz w:val="21"/>
        </w:rPr>
        <w:t xml:space="preserve"> Actual recorded average bodyweight on </w:t>
      </w:r>
      <w:r>
        <w:rPr>
          <w:rFonts w:ascii="Calibri" w:hAnsi="Calibri"/>
          <w:b/>
          <w:color w:val="2A3730"/>
          <w:sz w:val="21"/>
        </w:rPr>
        <w:t>Day 35</w:t>
      </w:r>
      <w:r>
        <w:rPr>
          <w:rFonts w:ascii="Calibri" w:hAnsi="Calibri"/>
          <w:color w:val="2A3730"/>
          <w:sz w:val="21"/>
        </w:rPr>
        <w:t xml:space="preserve"> in FARM HARVEST DATA.xlsx.</w:t>
      </w:r>
    </w:p>
    <w:p>
      <w:pPr>
        <w:pStyle w:val="ListBullet"/>
      </w:pPr>
      <w:r>
        <w:rPr>
          <w:rFonts w:ascii="Calibri" w:hAnsi="Calibri"/>
          <w:color w:val="2A3730"/>
          <w:sz w:val="21"/>
        </w:rPr>
        <w:t xml:space="preserve"> The model does not convert a later final weight by multiplying by 35/49.</w:t>
      </w:r>
    </w:p>
    <w:p>
      <w:pPr>
        <w:pStyle w:val="Heading3"/>
      </w:pPr>
      <w:r>
        <w:t>What was one training example?</w:t>
      </w:r>
    </w:p>
    <w:p>
      <w:pPr>
        <w:pStyle w:val="ListBullet"/>
      </w:pPr>
      <w:r>
        <w:rPr>
          <w:rFonts w:ascii="Calibri" w:hAnsi="Calibri"/>
          <w:color w:val="2A3730"/>
          <w:sz w:val="21"/>
        </w:rPr>
        <w:t xml:space="preserve"> One example represented </w:t>
      </w:r>
      <w:r>
        <w:rPr>
          <w:rFonts w:ascii="Calibri" w:hAnsi="Calibri"/>
          <w:b/>
          <w:color w:val="2A3730"/>
          <w:sz w:val="21"/>
        </w:rPr>
        <w:t>one building at one standard checkpoint</w:t>
      </w:r>
      <w:r>
        <w:rPr>
          <w:rFonts w:ascii="Calibri" w:hAnsi="Calibri"/>
          <w:color w:val="2A3730"/>
          <w:sz w:val="21"/>
        </w:rPr>
        <w:t>: Day 7, 14, 21, or 28.</w:t>
      </w:r>
    </w:p>
    <w:p>
      <w:pPr>
        <w:pStyle w:val="ListBullet"/>
      </w:pPr>
      <w:r>
        <w:rPr>
          <w:rFonts w:ascii="Calibri" w:hAnsi="Calibri"/>
          <w:color w:val="2A3730"/>
          <w:sz w:val="21"/>
        </w:rPr>
        <w:t xml:space="preserve"> Its Y value was that same building's observed Day 35 average weight.</w:t>
      </w:r>
    </w:p>
    <w:p>
      <w:pPr>
        <w:pStyle w:val="ListBullet"/>
      </w:pPr>
      <w:r>
        <w:rPr>
          <w:rFonts w:ascii="Calibri" w:hAnsi="Calibri"/>
          <w:color w:val="2A3730"/>
          <w:sz w:val="21"/>
        </w:rPr>
        <w:t xml:space="preserve"> The data were pooled across every eligible building and historical cycle; Canary did </w:t>
      </w:r>
      <w:r>
        <w:rPr>
          <w:rFonts w:ascii="Calibri" w:hAnsi="Calibri"/>
          <w:b/>
          <w:color w:val="2A3730"/>
          <w:sz w:val="21"/>
        </w:rPr>
        <w:t>not</w:t>
      </w:r>
      <w:r>
        <w:rPr>
          <w:rFonts w:ascii="Calibri" w:hAnsi="Calibri"/>
          <w:color w:val="2A3730"/>
          <w:sz w:val="21"/>
        </w:rPr>
        <w:t xml:space="preserve"> train six separate building-specific models.</w:t>
      </w:r>
    </w:p>
    <w:p>
      <w:pPr>
        <w:pStyle w:val="ListBullet"/>
      </w:pPr>
      <w:r>
        <w:rPr>
          <w:rFonts w:ascii="Calibri" w:hAnsi="Calibri"/>
          <w:color w:val="2A3730"/>
          <w:sz w:val="21"/>
        </w:rPr>
        <w:t xml:space="preserve"> There were </w:t>
      </w:r>
      <w:r>
        <w:rPr>
          <w:rFonts w:ascii="Calibri" w:hAnsi="Calibri"/>
          <w:b/>
          <w:color w:val="2A3730"/>
          <w:sz w:val="21"/>
        </w:rPr>
        <w:t>19 building-cycles across four complete cycles</w:t>
      </w:r>
      <w:r>
        <w:rPr>
          <w:rFonts w:ascii="Calibri" w:hAnsi="Calibri"/>
          <w:color w:val="2A3730"/>
          <w:sz w:val="21"/>
        </w:rPr>
        <w:t>. Pooling was necessary because each building alone had far too few completed outcomes.</w:t>
      </w:r>
    </w:p>
    <w:p>
      <w:pPr>
        <w:pStyle w:val="ListBullet"/>
      </w:pPr>
      <w:r>
        <w:rPr>
          <w:rFonts w:ascii="Calibri" w:hAnsi="Calibri"/>
          <w:color w:val="2A3730"/>
          <w:sz w:val="21"/>
        </w:rPr>
        <w:t xml:space="preserve"> Validation held out an entire cycle at a time, so checkpoints from a cycle under evaluation never appeared in its training data.</w:t>
      </w:r>
    </w:p>
    <w:p>
      <w:pPr>
        <w:pStyle w:val="Heading3"/>
      </w:pPr>
      <w:r>
        <w:t>Were Day 7, 14, 21, and 28 four simultaneous X variables?</w:t>
      </w:r>
    </w:p>
    <w:p>
      <w:pPr>
        <w:pStyle w:val="ListBullet"/>
      </w:pPr>
      <w:r>
        <w:rPr>
          <w:rFonts w:ascii="Calibri" w:hAnsi="Calibri"/>
          <w:color w:val="2A3730"/>
          <w:sz w:val="21"/>
        </w:rPr>
        <w:t xml:space="preserve"> </w:t>
      </w:r>
      <w:r>
        <w:rPr>
          <w:rFonts w:ascii="Calibri" w:hAnsi="Calibri"/>
          <w:b/>
          <w:color w:val="2A3730"/>
          <w:sz w:val="21"/>
        </w:rPr>
        <w:t>No.</w:t>
      </w:r>
      <w:r>
        <w:rPr>
          <w:rFonts w:ascii="Calibri" w:hAnsi="Calibri"/>
          <w:color w:val="2A3730"/>
          <w:sz w:val="21"/>
        </w:rPr>
        <w:t xml:space="preserve"> A Day 14 forecast did not require Day 7, Day 21, and Day 28 weights to be present in one row.</w:t>
      </w:r>
    </w:p>
    <w:p>
      <w:pPr>
        <w:pStyle w:val="ListBullet"/>
      </w:pPr>
      <w:r>
        <w:rPr>
          <w:rFonts w:ascii="Calibri" w:hAnsi="Calibri"/>
          <w:color w:val="2A3730"/>
          <w:sz w:val="21"/>
        </w:rPr>
        <w:t xml:space="preserve"> Each checkpoint was a separate as-of prediction opportunity using only information known by that checkpoint.</w:t>
      </w:r>
    </w:p>
    <w:p>
      <w:pPr>
        <w:pStyle w:val="ListBullet"/>
      </w:pPr>
      <w:r>
        <w:rPr>
          <w:rFonts w:ascii="Calibri" w:hAnsi="Calibri"/>
          <w:color w:val="2A3730"/>
          <w:sz w:val="21"/>
        </w:rPr>
        <w:t xml:space="preserve"> This avoided using a future Day 21 or Day 28 weight to make a supposed Day 14 prediction.</w:t>
      </w:r>
    </w:p>
    <w:p>
      <w:pPr>
        <w:pStyle w:val="ListBullet"/>
      </w:pPr>
      <w:r>
        <w:rPr>
          <w:rFonts w:ascii="Calibri" w:hAnsi="Calibri"/>
          <w:color w:val="2A3730"/>
          <w:sz w:val="21"/>
        </w:rPr>
        <w:t xml:space="preserve"> Standard checkpoints made cycles with weekly weighing comparable with cycles that had daily early weights.</w:t>
      </w:r>
    </w:p>
    <w:p>
      <w:pPr>
        <w:pStyle w:val="ListBullet"/>
      </w:pPr>
      <w:r>
        <w:rPr>
          <w:rFonts w:ascii="Calibri" w:hAnsi="Calibri"/>
          <w:color w:val="2A3730"/>
          <w:sz w:val="21"/>
        </w:rPr>
        <w:t xml:space="preserve"> Daily measurements between checkpoints remain useful for the live latest-weight calculation, target-gap monitoring, and recent-growth features in candidate models.</w:t>
      </w:r>
    </w:p>
    <w:p>
      <w:pPr>
        <w:pStyle w:val="ListBullet"/>
      </w:pPr>
      <w:r>
        <w:rPr>
          <w:rFonts w:ascii="Calibri" w:hAnsi="Calibri"/>
          <w:color w:val="2A3730"/>
          <w:sz w:val="21"/>
        </w:rPr>
        <w:t xml:space="preserve"> They do not create useful supervised training examples unless that building-cycle also has a reliable observed Day 35 outcome.</w:t>
      </w:r>
    </w:p>
    <w:p>
      <w:pPr>
        <w:pStyle w:val="Heading3"/>
      </w:pPr>
      <w:r>
        <w:t>Direct inputs</w:t>
      </w:r>
    </w:p>
    <w:p>
      <w:pPr>
        <w:numPr>
          <w:ilvl w:val="0"/>
          <w:numId w:val="14"/>
        </w:numPr>
        <w:spacing w:before="0" w:after="60" w:line="283" w:lineRule="auto"/>
      </w:pPr>
      <w:r>
        <w:rPr>
          <w:rFonts w:ascii="Calibri" w:hAnsi="Calibri"/>
          <w:color w:val="2A3730"/>
          <w:sz w:val="21"/>
        </w:rPr>
        <w:t>Latest measured building weight.</w:t>
      </w:r>
    </w:p>
    <w:p>
      <w:pPr>
        <w:numPr>
          <w:ilvl w:val="0"/>
          <w:numId w:val="14"/>
        </w:numPr>
        <w:spacing w:before="0" w:after="60" w:line="283" w:lineRule="auto"/>
      </w:pPr>
      <w:r>
        <w:rPr>
          <w:rFonts w:ascii="Calibri" w:hAnsi="Calibri"/>
          <w:color w:val="2A3730"/>
          <w:sz w:val="21"/>
        </w:rPr>
        <w:t>Measurement day, used to select the historical remaining gain to Day 35.</w:t>
      </w:r>
    </w:p>
    <w:p>
      <w:pPr>
        <w:pStyle w:val="Heading3"/>
      </w:pPr>
      <w:r>
        <w:t>What was trained and compared?</w:t>
      </w:r>
    </w:p>
    <w:p>
      <w:pPr>
        <w:pStyle w:val="ListBullet"/>
      </w:pPr>
      <w:r>
        <w:rPr>
          <w:rFonts w:ascii="Calibri" w:hAnsi="Calibri"/>
          <w:color w:val="2A3730"/>
          <w:sz w:val="21"/>
        </w:rPr>
        <w:t xml:space="preserve"> Canary trained or fitted </w:t>
      </w:r>
      <w:r>
        <w:rPr>
          <w:rFonts w:ascii="Calibri" w:hAnsi="Calibri"/>
          <w:b/>
          <w:color w:val="2A3730"/>
          <w:sz w:val="21"/>
        </w:rPr>
        <w:t>seven pooled candidate methods</w:t>
      </w:r>
      <w:r>
        <w:rPr>
          <w:rFonts w:ascii="Calibri" w:hAnsi="Calibri"/>
          <w:color w:val="2A3730"/>
          <w:sz w:val="21"/>
        </w:rPr>
        <w:t xml:space="preserve"> using the historical building-checkpoint rows.</w:t>
      </w:r>
    </w:p>
    <w:p>
      <w:pPr>
        <w:pStyle w:val="ListBullet"/>
      </w:pPr>
      <w:r>
        <w:rPr>
          <w:rFonts w:ascii="Calibri" w:hAnsi="Calibri"/>
          <w:color w:val="2A3730"/>
          <w:sz w:val="21"/>
        </w:rPr>
        <w:t xml:space="preserve"> The candidates included simple baselines, a recent-ADG projection, and a regularized Ridge machine-learning regression.</w:t>
      </w:r>
    </w:p>
    <w:p>
      <w:pPr>
        <w:pStyle w:val="ListBullet"/>
      </w:pPr>
      <w:r>
        <w:rPr>
          <w:rFonts w:ascii="Calibri" w:hAnsi="Calibri"/>
          <w:color w:val="2A3730"/>
          <w:sz w:val="21"/>
        </w:rPr>
        <w:t xml:space="preserve"> The Ridge candidate used measurement day, current weight, current-to-target ratio, recent ADG, and an indicator for whether recent ADG was available.</w:t>
      </w:r>
    </w:p>
    <w:p>
      <w:pPr>
        <w:pStyle w:val="ListBullet"/>
      </w:pPr>
      <w:r>
        <w:rPr>
          <w:rFonts w:ascii="Calibri" w:hAnsi="Calibri"/>
          <w:color w:val="2A3730"/>
          <w:sz w:val="21"/>
        </w:rPr>
        <w:t xml:space="preserve"> Candidate selection used unseen-cycle error, not performance on the same rows used to fit the method.</w:t>
      </w:r>
    </w:p>
    <w:p>
      <w:pPr>
        <w:pStyle w:val="Heading3"/>
      </w:pPr>
      <w:r>
        <w:t>Models compared</w:t>
      </w:r>
    </w:p>
    <w:tbl>
      <w:tblPr>
        <w:tblStyle w:val="TableGrid"/>
        <w:tblW w:type="dxa" w:w="9360"/>
        <w:tblLayout w:type="fixed"/>
        <w:tblLook w:firstColumn="1" w:firstRow="1" w:lastColumn="0" w:lastRow="0" w:noHBand="0" w:noVBand="1" w:val="04A0"/>
        <w:tblInd w:w="120" w:type="dxa"/>
      </w:tblPr>
      <w:tblGrid>
        <w:gridCol w:w="3000"/>
        <w:gridCol w:w="6360"/>
      </w:tblGrid>
      <w:tr>
        <w:trPr>
          <w:cantSplit/>
          <w:tblHeader w:val="true"/>
        </w:trPr>
        <w:tc>
          <w:tcPr>
            <w:tcW w:type="dxa" w:w="3000"/>
            <w:tcMar>
              <w:top w:w="80" w:type="dxa"/>
              <w:start w:w="120" w:type="dxa"/>
              <w:bottom w:w="80" w:type="dxa"/>
              <w:end w:w="120" w:type="dxa"/>
            </w:tcMar>
            <w:vAlign w:val="center"/>
            <w:shd w:fill="286245"/>
          </w:tcPr>
          <w:p>
            <w:pPr>
              <w:keepLines/>
              <w:spacing w:before="0" w:after="0" w:line="264" w:lineRule="auto"/>
            </w:pPr>
            <w:r>
              <w:rPr>
                <w:b/>
              </w:rPr>
            </w:r>
            <w:r>
              <w:rPr>
                <w:rFonts w:ascii="Calibri" w:hAnsi="Calibri"/>
                <w:b/>
                <w:color w:val="FFFFFF"/>
                <w:sz w:val="19"/>
              </w:rPr>
              <w:t>Candidate</w:t>
            </w:r>
          </w:p>
        </w:tc>
        <w:tc>
          <w:tcPr>
            <w:tcW w:type="dxa" w:w="6360"/>
            <w:tcMar>
              <w:top w:w="80" w:type="dxa"/>
              <w:start w:w="120" w:type="dxa"/>
              <w:bottom w:w="80" w:type="dxa"/>
              <w:end w:w="120" w:type="dxa"/>
            </w:tcMar>
            <w:vAlign w:val="center"/>
            <w:shd w:fill="286245"/>
          </w:tcPr>
          <w:p>
            <w:pPr>
              <w:keepLines/>
              <w:spacing w:before="0" w:after="0" w:line="264" w:lineRule="auto"/>
            </w:pPr>
            <w:r>
              <w:rPr>
                <w:b/>
              </w:rPr>
            </w:r>
            <w:r>
              <w:rPr>
                <w:rFonts w:ascii="Calibri" w:hAnsi="Calibri"/>
                <w:b/>
                <w:color w:val="FFFFFF"/>
                <w:sz w:val="19"/>
              </w:rPr>
              <w:t>Overall MAE</w:t>
            </w:r>
          </w:p>
        </w:tc>
      </w:tr>
      <w:tr>
        <w:trPr>
          <w:cantSplit/>
        </w:trPr>
        <w:tc>
          <w:tcPr>
            <w:tcW w:type="dxa" w:w="3000"/>
            <w:tcMar>
              <w:top w:w="80" w:type="dxa"/>
              <w:start w:w="120" w:type="dxa"/>
              <w:bottom w:w="80" w:type="dxa"/>
              <w:end w:w="120" w:type="dxa"/>
            </w:tcMar>
            <w:vAlign w:val="center"/>
          </w:tcPr>
          <w:p>
            <w:pPr>
              <w:keepLines/>
              <w:spacing w:before="0" w:after="0" w:line="264" w:lineRule="auto"/>
            </w:pPr>
            <w:r/>
            <w:r>
              <w:rPr>
                <w:rFonts w:ascii="Calibri" w:hAnsi="Calibri"/>
                <w:color w:val="2A3730"/>
                <w:sz w:val="19"/>
              </w:rPr>
              <w:t>Historical Day 35 mean</w:t>
            </w:r>
          </w:p>
        </w:tc>
        <w:tc>
          <w:tcPr>
            <w:tcW w:type="dxa" w:w="6360"/>
            <w:tcMar>
              <w:top w:w="80" w:type="dxa"/>
              <w:start w:w="120" w:type="dxa"/>
              <w:bottom w:w="80" w:type="dxa"/>
              <w:end w:w="120" w:type="dxa"/>
            </w:tcMar>
            <w:vAlign w:val="center"/>
          </w:tcPr>
          <w:p>
            <w:pPr>
              <w:keepLines/>
              <w:spacing w:before="0" w:after="0" w:line="264" w:lineRule="auto"/>
            </w:pPr>
            <w:r/>
            <w:r>
              <w:rPr>
                <w:rFonts w:ascii="Calibri" w:hAnsi="Calibri"/>
                <w:color w:val="2A3730"/>
                <w:sz w:val="19"/>
              </w:rPr>
              <w:t>211 g</w:t>
            </w:r>
          </w:p>
        </w:tc>
      </w:tr>
      <w:tr>
        <w:trPr>
          <w:cantSplit/>
        </w:trPr>
        <w:tc>
          <w:tcPr>
            <w:tcW w:type="dxa" w:w="300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9"/>
              </w:rPr>
              <w:t>Target-curve ratio</w:t>
            </w:r>
          </w:p>
        </w:tc>
        <w:tc>
          <w:tcPr>
            <w:tcW w:type="dxa" w:w="636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9"/>
              </w:rPr>
              <w:t>317 g</w:t>
            </w:r>
          </w:p>
        </w:tc>
      </w:tr>
      <w:tr>
        <w:trPr>
          <w:cantSplit/>
        </w:trPr>
        <w:tc>
          <w:tcPr>
            <w:tcW w:type="dxa" w:w="3000"/>
            <w:tcMar>
              <w:top w:w="80" w:type="dxa"/>
              <w:start w:w="120" w:type="dxa"/>
              <w:bottom w:w="80" w:type="dxa"/>
              <w:end w:w="120" w:type="dxa"/>
            </w:tcMar>
            <w:vAlign w:val="center"/>
          </w:tcPr>
          <w:p>
            <w:pPr>
              <w:keepLines/>
              <w:spacing w:before="0" w:after="0" w:line="264" w:lineRule="auto"/>
            </w:pPr>
            <w:r/>
            <w:r>
              <w:rPr>
                <w:rFonts w:ascii="Calibri" w:hAnsi="Calibri"/>
                <w:color w:val="2A3730"/>
                <w:sz w:val="19"/>
              </w:rPr>
              <w:t>Recent straight-line ADG</w:t>
            </w:r>
          </w:p>
        </w:tc>
        <w:tc>
          <w:tcPr>
            <w:tcW w:type="dxa" w:w="6360"/>
            <w:tcMar>
              <w:top w:w="80" w:type="dxa"/>
              <w:start w:w="120" w:type="dxa"/>
              <w:bottom w:w="80" w:type="dxa"/>
              <w:end w:w="120" w:type="dxa"/>
            </w:tcMar>
            <w:vAlign w:val="center"/>
          </w:tcPr>
          <w:p>
            <w:pPr>
              <w:keepLines/>
              <w:spacing w:before="0" w:after="0" w:line="264" w:lineRule="auto"/>
            </w:pPr>
            <w:r/>
            <w:r>
              <w:rPr>
                <w:rFonts w:ascii="Calibri" w:hAnsi="Calibri"/>
                <w:color w:val="2A3730"/>
                <w:sz w:val="19"/>
              </w:rPr>
              <w:t>460 g</w:t>
            </w:r>
          </w:p>
        </w:tc>
      </w:tr>
      <w:tr>
        <w:trPr>
          <w:cantSplit/>
        </w:trPr>
        <w:tc>
          <w:tcPr>
            <w:tcW w:type="dxa" w:w="3000"/>
            <w:tcMar>
              <w:top w:w="80" w:type="dxa"/>
              <w:start w:w="120" w:type="dxa"/>
              <w:bottom w:w="80" w:type="dxa"/>
              <w:end w:w="120" w:type="dxa"/>
            </w:tcMar>
            <w:vAlign w:val="center"/>
            <w:shd w:fill="F4F8F5"/>
          </w:tcPr>
          <w:p>
            <w:pPr>
              <w:keepLines/>
              <w:spacing w:before="0" w:after="0" w:line="264" w:lineRule="auto"/>
            </w:pPr>
            <w:r/>
            <w:r>
              <w:rPr>
                <w:rFonts w:ascii="Calibri" w:hAnsi="Calibri"/>
                <w:b/>
                <w:color w:val="2A3730"/>
                <w:sz w:val="19"/>
              </w:rPr>
              <w:t>Historical remaining gain</w:t>
            </w:r>
          </w:p>
        </w:tc>
        <w:tc>
          <w:tcPr>
            <w:tcW w:type="dxa" w:w="6360"/>
            <w:tcMar>
              <w:top w:w="80" w:type="dxa"/>
              <w:start w:w="120" w:type="dxa"/>
              <w:bottom w:w="80" w:type="dxa"/>
              <w:end w:w="120" w:type="dxa"/>
            </w:tcMar>
            <w:vAlign w:val="center"/>
            <w:shd w:fill="F4F8F5"/>
          </w:tcPr>
          <w:p>
            <w:pPr>
              <w:keepLines/>
              <w:spacing w:before="0" w:after="0" w:line="264" w:lineRule="auto"/>
            </w:pPr>
            <w:r/>
            <w:r>
              <w:rPr>
                <w:rFonts w:ascii="Calibri" w:hAnsi="Calibri"/>
                <w:b/>
                <w:color w:val="2A3730"/>
                <w:sz w:val="19"/>
              </w:rPr>
              <w:t>198 g</w:t>
            </w:r>
          </w:p>
        </w:tc>
      </w:tr>
      <w:tr>
        <w:trPr>
          <w:cantSplit/>
        </w:trPr>
        <w:tc>
          <w:tcPr>
            <w:tcW w:type="dxa" w:w="3000"/>
            <w:tcMar>
              <w:top w:w="80" w:type="dxa"/>
              <w:start w:w="120" w:type="dxa"/>
              <w:bottom w:w="80" w:type="dxa"/>
              <w:end w:w="120" w:type="dxa"/>
            </w:tcMar>
            <w:vAlign w:val="center"/>
          </w:tcPr>
          <w:p>
            <w:pPr>
              <w:keepLines/>
              <w:spacing w:before="0" w:after="0" w:line="264" w:lineRule="auto"/>
            </w:pPr>
            <w:r/>
            <w:r>
              <w:rPr>
                <w:rFonts w:ascii="Calibri" w:hAnsi="Calibri"/>
                <w:color w:val="2A3730"/>
                <w:sz w:val="19"/>
              </w:rPr>
              <w:t>Ridge regression</w:t>
            </w:r>
          </w:p>
        </w:tc>
        <w:tc>
          <w:tcPr>
            <w:tcW w:type="dxa" w:w="6360"/>
            <w:tcMar>
              <w:top w:w="80" w:type="dxa"/>
              <w:start w:w="120" w:type="dxa"/>
              <w:bottom w:w="80" w:type="dxa"/>
              <w:end w:w="120" w:type="dxa"/>
            </w:tcMar>
            <w:vAlign w:val="center"/>
          </w:tcPr>
          <w:p>
            <w:pPr>
              <w:keepLines/>
              <w:spacing w:before="0" w:after="0" w:line="264" w:lineRule="auto"/>
            </w:pPr>
            <w:r/>
            <w:r>
              <w:rPr>
                <w:rFonts w:ascii="Calibri" w:hAnsi="Calibri"/>
                <w:color w:val="2A3730"/>
                <w:sz w:val="19"/>
              </w:rPr>
              <w:t>202 g</w:t>
            </w:r>
          </w:p>
        </w:tc>
      </w:tr>
      <w:tr>
        <w:trPr>
          <w:cantSplit/>
        </w:trPr>
        <w:tc>
          <w:tcPr>
            <w:tcW w:type="dxa" w:w="300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9"/>
              </w:rPr>
              <w:t>Random Forest</w:t>
            </w:r>
          </w:p>
        </w:tc>
        <w:tc>
          <w:tcPr>
            <w:tcW w:type="dxa" w:w="636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9"/>
              </w:rPr>
              <w:t>253 g</w:t>
            </w:r>
          </w:p>
        </w:tc>
      </w:tr>
      <w:tr>
        <w:trPr>
          <w:cantSplit/>
        </w:trPr>
        <w:tc>
          <w:tcPr>
            <w:tcW w:type="dxa" w:w="3000"/>
            <w:tcMar>
              <w:top w:w="80" w:type="dxa"/>
              <w:start w:w="120" w:type="dxa"/>
              <w:bottom w:w="80" w:type="dxa"/>
              <w:end w:w="120" w:type="dxa"/>
            </w:tcMar>
            <w:vAlign w:val="center"/>
          </w:tcPr>
          <w:p>
            <w:pPr>
              <w:keepLines/>
              <w:spacing w:before="0" w:after="0" w:line="264" w:lineRule="auto"/>
            </w:pPr>
            <w:r/>
            <w:r>
              <w:rPr>
                <w:rFonts w:ascii="Calibri" w:hAnsi="Calibri"/>
                <w:color w:val="2A3730"/>
                <w:sz w:val="19"/>
              </w:rPr>
              <w:t>Gradient-boosted trees</w:t>
            </w:r>
          </w:p>
        </w:tc>
        <w:tc>
          <w:tcPr>
            <w:tcW w:type="dxa" w:w="6360"/>
            <w:tcMar>
              <w:top w:w="80" w:type="dxa"/>
              <w:start w:w="120" w:type="dxa"/>
              <w:bottom w:w="80" w:type="dxa"/>
              <w:end w:w="120" w:type="dxa"/>
            </w:tcMar>
            <w:vAlign w:val="center"/>
          </w:tcPr>
          <w:p>
            <w:pPr>
              <w:keepLines/>
              <w:spacing w:before="0" w:after="0" w:line="264" w:lineRule="auto"/>
            </w:pPr>
            <w:r/>
            <w:r>
              <w:rPr>
                <w:rFonts w:ascii="Calibri" w:hAnsi="Calibri"/>
                <w:color w:val="2A3730"/>
                <w:sz w:val="19"/>
              </w:rPr>
              <w:t>293 g</w:t>
            </w:r>
          </w:p>
        </w:tc>
      </w:tr>
    </w:tbl>
    <w:p>
      <w:pPr>
        <w:spacing w:after="40"/>
      </w:pPr>
    </w:p>
    <w:p>
      <w:pPr>
        <w:pStyle w:val="Heading3"/>
      </w:pPr>
      <w:r>
        <w:t>Why historical remaining gain won</w:t>
      </w:r>
    </w:p>
    <w:p>
      <w:pPr>
        <w:pStyle w:val="ListBullet"/>
      </w:pPr>
      <w:r>
        <w:rPr>
          <w:rFonts w:ascii="Calibri" w:hAnsi="Calibri"/>
          <w:color w:val="2A3730"/>
          <w:sz w:val="21"/>
        </w:rPr>
        <w:t xml:space="preserve"> Best overall row-level MAE.</w:t>
      </w:r>
    </w:p>
    <w:p>
      <w:pPr>
        <w:pStyle w:val="ListBullet"/>
      </w:pPr>
      <w:r>
        <w:rPr>
          <w:rFonts w:ascii="Calibri" w:hAnsi="Calibri"/>
          <w:color w:val="2A3730"/>
          <w:sz w:val="21"/>
        </w:rPr>
        <w:t xml:space="preserve"> Within 5% of the best cycle-balanced candidate.</w:t>
      </w:r>
    </w:p>
    <w:p>
      <w:pPr>
        <w:pStyle w:val="ListBullet"/>
      </w:pPr>
      <w:r>
        <w:rPr>
          <w:rFonts w:ascii="Calibri" w:hAnsi="Calibri"/>
          <w:color w:val="2A3730"/>
          <w:sz w:val="21"/>
        </w:rPr>
        <w:t xml:space="preserve"> More transparent than Ridge.</w:t>
      </w:r>
    </w:p>
    <w:p>
      <w:pPr>
        <w:pStyle w:val="ListBullet"/>
      </w:pPr>
      <w:r>
        <w:rPr>
          <w:rFonts w:ascii="Calibri" w:hAnsi="Calibri"/>
          <w:color w:val="2A3730"/>
          <w:sz w:val="21"/>
        </w:rPr>
        <w:t xml:space="preserve"> Much more accurate than projecting recent straight-line ADG.</w:t>
      </w:r>
    </w:p>
    <w:p>
      <w:pPr>
        <w:pStyle w:val="ListBullet"/>
      </w:pPr>
      <w:r>
        <w:rPr>
          <w:rFonts w:ascii="Calibri" w:hAnsi="Calibri"/>
          <w:color w:val="2A3730"/>
          <w:sz w:val="21"/>
        </w:rPr>
        <w:t xml:space="preserve"> Responds to each building’s latest measured weight instead of giving every building the same result.</w:t>
      </w:r>
    </w:p>
    <w:p>
      <w:pPr>
        <w:pStyle w:val="Heading3"/>
      </w:pPr>
      <w:r>
        <w:t>Is the deployed weight forecast machine learning?</w:t>
      </w:r>
    </w:p>
    <w:p>
      <w:pPr>
        <w:pStyle w:val="ListBullet"/>
      </w:pPr>
      <w:r>
        <w:rPr>
          <w:rFonts w:ascii="Calibri" w:hAnsi="Calibri"/>
          <w:color w:val="2A3730"/>
          <w:sz w:val="21"/>
        </w:rPr>
        <w:t xml:space="preserve"> </w:t>
      </w:r>
      <w:r>
        <w:rPr>
          <w:rFonts w:ascii="Calibri" w:hAnsi="Calibri"/>
          <w:b/>
          <w:color w:val="2A3730"/>
          <w:sz w:val="21"/>
        </w:rPr>
        <w:t>Not in the strict sense.</w:t>
      </w:r>
      <w:r>
        <w:rPr>
          <w:rFonts w:ascii="Calibri" w:hAnsi="Calibri"/>
          <w:color w:val="2A3730"/>
          <w:sz w:val="21"/>
        </w:rPr>
        <w:t xml:space="preserve"> A Ridge machine-learning model was trained and evaluated, but it did not win.</w:t>
      </w:r>
    </w:p>
    <w:p>
      <w:pPr>
        <w:pStyle w:val="ListBullet"/>
      </w:pPr>
      <w:r>
        <w:rPr>
          <w:rFonts w:ascii="Calibri" w:hAnsi="Calibri"/>
          <w:color w:val="2A3730"/>
          <w:sz w:val="21"/>
        </w:rPr>
        <w:t xml:space="preserve"> The deployed champion is an age-aware historical-growth formula because it had slightly lower validation error and was easier to explain.</w:t>
      </w:r>
    </w:p>
    <w:p>
      <w:pPr>
        <w:pStyle w:val="ListBullet"/>
      </w:pPr>
      <w:r>
        <w:rPr>
          <w:rFonts w:ascii="Calibri" w:hAnsi="Calibri"/>
          <w:color w:val="2A3730"/>
          <w:sz w:val="21"/>
        </w:rPr>
        <w:t xml:space="preserve"> For a live building, Canary uses:</w:t>
      </w:r>
    </w:p>
    <w:tbl>
      <w:tblPr>
        <w:tblW w:type="dxa" w:w="9360"/>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2F8D9"/>
          </w:tcPr>
          <w:p>
            <w:pPr>
              <w:spacing w:before="0" w:after="0" w:line="300" w:lineRule="auto"/>
            </w:pPr>
            <w:r>
              <w:rPr>
                <w:rFonts w:ascii="Calibri" w:hAnsi="Calibri"/>
                <w:color w:val="173F31"/>
                <w:sz w:val="21"/>
              </w:rPr>
              <w:t>Projected Day 35 weight = latest measured weight + historical average remaining gain from that measurement age to Day 35</w:t>
            </w:r>
          </w:p>
        </w:tc>
      </w:tr>
    </w:tbl>
    <w:p>
      <w:pPr>
        <w:spacing w:after="40"/>
      </w:pPr>
    </w:p>
    <w:p>
      <w:pPr>
        <w:pStyle w:val="ListBullet"/>
      </w:pPr>
      <w:r>
        <w:rPr>
          <w:rFonts w:ascii="Calibri" w:hAnsi="Calibri"/>
          <w:color w:val="2A3730"/>
          <w:sz w:val="21"/>
        </w:rPr>
        <w:t xml:space="preserve"> For each eligible historical building, Canary calculates </w:t>
      </w:r>
      <w:r>
        <w:rPr>
          <w:rFonts w:ascii="Calibri" w:hAnsi="Calibri"/>
          <w:b/>
          <w:color w:val="286245"/>
          <w:sz w:val="20"/>
        </w:rPr>
        <w:t>observed Day 35 weight − weight at the checkpoint</w:t>
      </w:r>
      <w:r>
        <w:rPr>
          <w:rFonts w:ascii="Calibri" w:hAnsi="Calibri"/>
          <w:color w:val="2A3730"/>
          <w:sz w:val="21"/>
        </w:rPr>
        <w:t>, then averages those remaining gains across the training buildings.</w:t>
      </w:r>
    </w:p>
    <w:p>
      <w:pPr>
        <w:pStyle w:val="ListBullet"/>
      </w:pPr>
      <w:r>
        <w:rPr>
          <w:rFonts w:ascii="Calibri" w:hAnsi="Calibri"/>
          <w:color w:val="2A3730"/>
          <w:sz w:val="21"/>
        </w:rPr>
        <w:t xml:space="preserve"> With all eligible historical labels fitted for deployment, the mean allowances are approximately </w:t>
      </w:r>
      <w:r>
        <w:rPr>
          <w:rFonts w:ascii="Calibri" w:hAnsi="Calibri"/>
          <w:b/>
          <w:color w:val="2A3730"/>
          <w:sz w:val="21"/>
        </w:rPr>
        <w:t>1,420 g from Day 7</w:t>
      </w:r>
      <w:r>
        <w:rPr>
          <w:rFonts w:ascii="Calibri" w:hAnsi="Calibri"/>
          <w:color w:val="2A3730"/>
          <w:sz w:val="21"/>
        </w:rPr>
        <w:t xml:space="preserve">, </w:t>
      </w:r>
      <w:r>
        <w:rPr>
          <w:rFonts w:ascii="Calibri" w:hAnsi="Calibri"/>
          <w:b/>
          <w:color w:val="2A3730"/>
          <w:sz w:val="21"/>
        </w:rPr>
        <w:t>1,264 g from Day 14</w:t>
      </w:r>
      <w:r>
        <w:rPr>
          <w:rFonts w:ascii="Calibri" w:hAnsi="Calibri"/>
          <w:color w:val="2A3730"/>
          <w:sz w:val="21"/>
        </w:rPr>
        <w:t xml:space="preserve">, </w:t>
      </w:r>
      <w:r>
        <w:rPr>
          <w:rFonts w:ascii="Calibri" w:hAnsi="Calibri"/>
          <w:b/>
          <w:color w:val="2A3730"/>
          <w:sz w:val="21"/>
        </w:rPr>
        <w:t>983 g from Day 21</w:t>
      </w:r>
      <w:r>
        <w:rPr>
          <w:rFonts w:ascii="Calibri" w:hAnsi="Calibri"/>
          <w:color w:val="2A3730"/>
          <w:sz w:val="21"/>
        </w:rPr>
        <w:t xml:space="preserve">, and </w:t>
      </w:r>
      <w:r>
        <w:rPr>
          <w:rFonts w:ascii="Calibri" w:hAnsi="Calibri"/>
          <w:b/>
          <w:color w:val="2A3730"/>
          <w:sz w:val="21"/>
        </w:rPr>
        <w:t>637 g from Day 28</w:t>
      </w:r>
      <w:r>
        <w:rPr>
          <w:rFonts w:ascii="Calibri" w:hAnsi="Calibri"/>
          <w:color w:val="2A3730"/>
          <w:sz w:val="21"/>
        </w:rPr>
        <w:t>.</w:t>
      </w:r>
    </w:p>
    <w:p>
      <w:pPr>
        <w:pStyle w:val="ListBullet"/>
      </w:pPr>
      <w:r>
        <w:rPr>
          <w:rFonts w:ascii="Calibri" w:hAnsi="Calibri"/>
          <w:color w:val="2A3730"/>
          <w:sz w:val="21"/>
        </w:rPr>
        <w:t xml:space="preserve"> Example: if the latest weight is 1,100 g on Day 21, the projection is </w:t>
      </w:r>
      <w:r>
        <w:rPr>
          <w:rFonts w:ascii="Calibri" w:hAnsi="Calibri"/>
          <w:b/>
          <w:color w:val="286245"/>
          <w:sz w:val="20"/>
        </w:rPr>
        <w:t>1,100 + 983 = 2,083 g</w:t>
      </w:r>
      <w:r>
        <w:rPr>
          <w:rFonts w:ascii="Calibri" w:hAnsi="Calibri"/>
          <w:color w:val="2A3730"/>
          <w:sz w:val="21"/>
        </w:rPr>
        <w:t>.</w:t>
      </w:r>
    </w:p>
    <w:p>
      <w:pPr>
        <w:pStyle w:val="ListBullet"/>
      </w:pPr>
      <w:r>
        <w:rPr>
          <w:rFonts w:ascii="Calibri" w:hAnsi="Calibri"/>
          <w:color w:val="2A3730"/>
          <w:sz w:val="21"/>
        </w:rPr>
        <w:t xml:space="preserve"> During validation, the gain allowance is recalculated without the held-out cycle. The 983 g value is the final deployment fit, not a value leaked into its own test cycle.</w:t>
      </w:r>
    </w:p>
    <w:p>
      <w:pPr>
        <w:pStyle w:val="ListBullet"/>
      </w:pPr>
      <w:r>
        <w:rPr>
          <w:rFonts w:ascii="Calibri" w:hAnsi="Calibri"/>
          <w:color w:val="2A3730"/>
          <w:sz w:val="21"/>
        </w:rPr>
        <w:t xml:space="preserve"> For a measurement between checkpoints, Canary interpolates the remaining-growth allowance between the surrounding checkpoint ages.</w:t>
      </w:r>
    </w:p>
    <w:p>
      <w:pPr>
        <w:pStyle w:val="ListBullet"/>
      </w:pPr>
      <w:r>
        <w:rPr>
          <w:rFonts w:ascii="Calibri" w:hAnsi="Calibri"/>
          <w:color w:val="2A3730"/>
          <w:sz w:val="21"/>
        </w:rPr>
        <w:t xml:space="preserve"> Before Day 7, it uses an explicitly labelled target-curve fallback with wider uncertainty.</w:t>
      </w:r>
    </w:p>
    <w:p>
      <w:pPr>
        <w:pStyle w:val="ListBullet"/>
      </w:pPr>
      <w:r>
        <w:rPr>
          <w:rFonts w:ascii="Calibri" w:hAnsi="Calibri"/>
          <w:color w:val="2A3730"/>
          <w:sz w:val="21"/>
        </w:rPr>
        <w:t xml:space="preserve"> If no weight has been measured, Canary says the projection is unavailable.</w:t>
      </w:r>
    </w:p>
    <w:p>
      <w:pPr>
        <w:pStyle w:val="Heading3"/>
      </w:pPr>
      <w:r>
        <w:t>Standard checkpoint versus farm target curve</w:t>
      </w:r>
    </w:p>
    <w:p>
      <w:pPr>
        <w:pStyle w:val="ListBullet"/>
      </w:pPr>
      <w:r>
        <w:rPr>
          <w:rFonts w:ascii="Calibri" w:hAnsi="Calibri"/>
          <w:color w:val="2A3730"/>
          <w:sz w:val="21"/>
        </w:rPr>
        <w:t xml:space="preserve"> The farm target curve answers: </w:t>
      </w:r>
      <w:r>
        <w:rPr>
          <w:rFonts w:ascii="Calibri" w:hAnsi="Calibri"/>
          <w:b/>
          <w:color w:val="2A3730"/>
          <w:sz w:val="21"/>
        </w:rPr>
        <w:t>"What should the bird weigh at this age?"</w:t>
      </w:r>
    </w:p>
    <w:p>
      <w:pPr>
        <w:pStyle w:val="ListBullet"/>
      </w:pPr>
      <w:r>
        <w:rPr>
          <w:rFonts w:ascii="Calibri" w:hAnsi="Calibri"/>
          <w:color w:val="2A3730"/>
          <w:sz w:val="21"/>
        </w:rPr>
        <w:t xml:space="preserve"> The weight-gap risk check answers: </w:t>
      </w:r>
      <w:r>
        <w:rPr>
          <w:rFonts w:ascii="Calibri" w:hAnsi="Calibri"/>
          <w:b/>
          <w:color w:val="2A3730"/>
          <w:sz w:val="21"/>
        </w:rPr>
        <w:t>"How far is the latest measured weight from that age-specific target?"</w:t>
      </w:r>
    </w:p>
    <w:p>
      <w:pPr>
        <w:pStyle w:val="ListBullet"/>
      </w:pPr>
      <w:r>
        <w:rPr>
          <w:rFonts w:ascii="Calibri" w:hAnsi="Calibri"/>
          <w:color w:val="2A3730"/>
          <w:sz w:val="21"/>
        </w:rPr>
        <w:t xml:space="preserve"> The forecast answers: </w:t>
      </w:r>
      <w:r>
        <w:rPr>
          <w:rFonts w:ascii="Calibri" w:hAnsi="Calibri"/>
          <w:b/>
          <w:color w:val="2A3730"/>
          <w:sz w:val="21"/>
        </w:rPr>
        <w:t>"Given the latest measured weight and historical remaining growth, where might this building reach by Day 35?"</w:t>
      </w:r>
    </w:p>
    <w:p>
      <w:pPr>
        <w:pStyle w:val="ListBullet"/>
      </w:pPr>
      <w:r>
        <w:rPr>
          <w:rFonts w:ascii="Calibri" w:hAnsi="Calibri"/>
          <w:color w:val="2A3730"/>
          <w:sz w:val="21"/>
        </w:rPr>
        <w:t xml:space="preserve"> These are related but separate calculations. Being below target creates a present-day warning; the growth projection estimates the future Day 35 outcome.</w:t>
      </w:r>
    </w:p>
    <w:p>
      <w:pPr>
        <w:pStyle w:val="Heading3"/>
      </w:pPr>
      <w:r>
        <w:t>Validation results</w:t>
      </w:r>
    </w:p>
    <w:p>
      <w:pPr>
        <w:pStyle w:val="ListBullet"/>
      </w:pPr>
      <w:r>
        <w:rPr>
          <w:rFonts w:ascii="Calibri" w:hAnsi="Calibri"/>
          <w:color w:val="2A3730"/>
          <w:sz w:val="21"/>
        </w:rPr>
        <w:t xml:space="preserve"> Complete cycles: </w:t>
      </w:r>
      <w:r>
        <w:rPr>
          <w:rFonts w:ascii="Calibri" w:hAnsi="Calibri"/>
          <w:b/>
          <w:color w:val="2A3730"/>
          <w:sz w:val="21"/>
        </w:rPr>
        <w:t>4</w:t>
      </w:r>
      <w:r>
        <w:rPr>
          <w:rFonts w:ascii="Calibri" w:hAnsi="Calibri"/>
          <w:color w:val="2A3730"/>
          <w:sz w:val="21"/>
        </w:rPr>
        <w:t>.</w:t>
      </w:r>
    </w:p>
    <w:p>
      <w:pPr>
        <w:pStyle w:val="ListBullet"/>
      </w:pPr>
      <w:r>
        <w:rPr>
          <w:rFonts w:ascii="Calibri" w:hAnsi="Calibri"/>
          <w:color w:val="2A3730"/>
          <w:sz w:val="21"/>
        </w:rPr>
        <w:t xml:space="preserve"> Day 35 building outcomes: </w:t>
      </w:r>
      <w:r>
        <w:rPr>
          <w:rFonts w:ascii="Calibri" w:hAnsi="Calibri"/>
          <w:b/>
          <w:color w:val="2A3730"/>
          <w:sz w:val="21"/>
        </w:rPr>
        <w:t>19</w:t>
      </w:r>
      <w:r>
        <w:rPr>
          <w:rFonts w:ascii="Calibri" w:hAnsi="Calibri"/>
          <w:color w:val="2A3730"/>
          <w:sz w:val="21"/>
        </w:rPr>
        <w:t>.</w:t>
      </w:r>
    </w:p>
    <w:p>
      <w:pPr>
        <w:pStyle w:val="ListBullet"/>
      </w:pPr>
      <w:r>
        <w:rPr>
          <w:rFonts w:ascii="Calibri" w:hAnsi="Calibri"/>
          <w:color w:val="2A3730"/>
          <w:sz w:val="21"/>
        </w:rPr>
        <w:t xml:space="preserve"> Overall MAE: </w:t>
      </w:r>
      <w:r>
        <w:rPr>
          <w:rFonts w:ascii="Calibri" w:hAnsi="Calibri"/>
          <w:b/>
          <w:color w:val="2A3730"/>
          <w:sz w:val="21"/>
        </w:rPr>
        <w:t>198 g</w:t>
      </w:r>
      <w:r>
        <w:rPr>
          <w:rFonts w:ascii="Calibri" w:hAnsi="Calibri"/>
          <w:color w:val="2A3730"/>
          <w:sz w:val="21"/>
        </w:rPr>
        <w:t>.</w:t>
      </w:r>
    </w:p>
    <w:p>
      <w:pPr>
        <w:pStyle w:val="ListBullet"/>
      </w:pPr>
      <w:r>
        <w:rPr>
          <w:rFonts w:ascii="Calibri" w:hAnsi="Calibri"/>
          <w:color w:val="2A3730"/>
          <w:sz w:val="21"/>
        </w:rPr>
        <w:t xml:space="preserve"> Overall RMSE: </w:t>
      </w:r>
      <w:r>
        <w:rPr>
          <w:rFonts w:ascii="Calibri" w:hAnsi="Calibri"/>
          <w:b/>
          <w:color w:val="2A3730"/>
          <w:sz w:val="21"/>
        </w:rPr>
        <w:t>273 g</w:t>
      </w:r>
      <w:r>
        <w:rPr>
          <w:rFonts w:ascii="Calibri" w:hAnsi="Calibri"/>
          <w:color w:val="2A3730"/>
          <w:sz w:val="21"/>
        </w:rPr>
        <w:t>.</w:t>
      </w:r>
    </w:p>
    <w:p>
      <w:pPr>
        <w:pStyle w:val="ListBullet"/>
      </w:pPr>
      <w:r>
        <w:rPr>
          <w:rFonts w:ascii="Calibri" w:hAnsi="Calibri"/>
          <w:color w:val="2A3730"/>
          <w:sz w:val="21"/>
        </w:rPr>
        <w:t xml:space="preserve"> Within 200 g: </w:t>
      </w:r>
      <w:r>
        <w:rPr>
          <w:rFonts w:ascii="Calibri" w:hAnsi="Calibri"/>
          <w:b/>
          <w:color w:val="2A3730"/>
          <w:sz w:val="21"/>
        </w:rPr>
        <w:t>61.8%</w:t>
      </w:r>
      <w:r>
        <w:rPr>
          <w:rFonts w:ascii="Calibri" w:hAnsi="Calibri"/>
          <w:color w:val="2A3730"/>
          <w:sz w:val="21"/>
        </w:rPr>
        <w:t>.</w:t>
      </w:r>
    </w:p>
    <w:p>
      <w:pPr>
        <w:pStyle w:val="ListBullet"/>
      </w:pPr>
      <w:r>
        <w:rPr>
          <w:rFonts w:ascii="Calibri" w:hAnsi="Calibri"/>
          <w:color w:val="2A3730"/>
          <w:sz w:val="21"/>
        </w:rPr>
        <w:t xml:space="preserve"> Day 14 MAE: </w:t>
      </w:r>
      <w:r>
        <w:rPr>
          <w:rFonts w:ascii="Calibri" w:hAnsi="Calibri"/>
          <w:b/>
          <w:color w:val="2A3730"/>
          <w:sz w:val="21"/>
        </w:rPr>
        <w:t>183 g</w:t>
      </w:r>
      <w:r>
        <w:rPr>
          <w:rFonts w:ascii="Calibri" w:hAnsi="Calibri"/>
          <w:color w:val="2A3730"/>
          <w:sz w:val="21"/>
        </w:rPr>
        <w:t>.</w:t>
      </w:r>
    </w:p>
    <w:p>
      <w:pPr>
        <w:pStyle w:val="ListBullet"/>
      </w:pPr>
      <w:r>
        <w:rPr>
          <w:rFonts w:ascii="Calibri" w:hAnsi="Calibri"/>
          <w:color w:val="2A3730"/>
          <w:sz w:val="21"/>
        </w:rPr>
        <w:t xml:space="preserve"> Day 14 within 200 g: </w:t>
      </w:r>
      <w:r>
        <w:rPr>
          <w:rFonts w:ascii="Calibri" w:hAnsi="Calibri"/>
          <w:b/>
          <w:color w:val="2A3730"/>
          <w:sz w:val="21"/>
        </w:rPr>
        <w:t>57.9%</w:t>
      </w:r>
      <w:r>
        <w:rPr>
          <w:rFonts w:ascii="Calibri" w:hAnsi="Calibri"/>
          <w:color w:val="2A3730"/>
          <w:sz w:val="21"/>
        </w:rPr>
        <w:t>.</w:t>
      </w:r>
    </w:p>
    <w:p>
      <w:pPr>
        <w:pStyle w:val="Heading3"/>
      </w:pPr>
      <w:r>
        <w:t>Important limitation</w:t>
      </w:r>
    </w:p>
    <w:p>
      <w:pPr>
        <w:pStyle w:val="ListBullet"/>
      </w:pPr>
      <w:r>
        <w:rPr>
          <w:rFonts w:ascii="Calibri" w:hAnsi="Calibri"/>
          <w:color w:val="2A3730"/>
          <w:sz w:val="21"/>
        </w:rPr>
        <w:t xml:space="preserve"> All 19 historical Day 35 outcomes were below 2,000 g.</w:t>
      </w:r>
    </w:p>
    <w:p>
      <w:pPr>
        <w:pStyle w:val="ListBullet"/>
      </w:pPr>
      <w:r>
        <w:rPr>
          <w:rFonts w:ascii="Calibri" w:hAnsi="Calibri"/>
          <w:color w:val="2A3730"/>
          <w:sz w:val="21"/>
        </w:rPr>
        <w:t xml:space="preserve"> Error in grams can be evaluated.</w:t>
      </w:r>
    </w:p>
    <w:p>
      <w:pPr>
        <w:pStyle w:val="ListBullet"/>
      </w:pPr>
      <w:r>
        <w:rPr>
          <w:rFonts w:ascii="Calibri" w:hAnsi="Calibri"/>
          <w:color w:val="2A3730"/>
          <w:sz w:val="21"/>
        </w:rPr>
        <w:t xml:space="preserve"> Ability to distinguish target hits from misses cannot yet be evaluated.</w:t>
      </w:r>
    </w:p>
    <w:p>
      <w:pPr>
        <w:pStyle w:val="ListBullet"/>
      </w:pPr>
      <w:r>
        <w:rPr>
          <w:rFonts w:ascii="Calibri" w:hAnsi="Calibri"/>
          <w:color w:val="2A3730"/>
          <w:sz w:val="21"/>
        </w:rPr>
        <w:t xml:space="preserve"> No weight projection is shown when a building has no measured weight.</w:t>
      </w:r>
    </w:p>
    <w:p>
      <w:pPr>
        <w:pStyle w:val="Heading3"/>
      </w:pPr>
      <w:r>
        <w:t>Feature importance</w:t>
      </w:r>
    </w:p>
    <w:p>
      <w:pPr>
        <w:pStyle w:val="ListBullet"/>
      </w:pPr>
      <w:r>
        <w:rPr>
          <w:rFonts w:ascii="Calibri" w:hAnsi="Calibri"/>
          <w:color w:val="2A3730"/>
          <w:sz w:val="21"/>
        </w:rPr>
        <w:t xml:space="preserve"> The selected method is a transparent two-input formula, not a multi-feature fitted model.</w:t>
      </w:r>
    </w:p>
    <w:p>
      <w:pPr>
        <w:pStyle w:val="ListBullet"/>
      </w:pPr>
      <w:r>
        <w:rPr>
          <w:rFonts w:ascii="Calibri" w:hAnsi="Calibri"/>
          <w:color w:val="2A3730"/>
          <w:sz w:val="21"/>
        </w:rPr>
        <w:t xml:space="preserve"> Its drivers are latest measured weight and measurement day.</w:t>
      </w:r>
    </w:p>
    <w:p>
      <w:pPr>
        <w:pStyle w:val="ListBullet"/>
      </w:pPr>
      <w:r>
        <w:rPr>
          <w:rFonts w:ascii="Calibri" w:hAnsi="Calibri"/>
          <w:color w:val="2A3730"/>
          <w:sz w:val="21"/>
        </w:rPr>
        <w:t xml:space="preserve"> Do not invent five feature importances for this method.</w:t>
      </w:r>
    </w:p>
    <w:p>
      <w:pPr>
        <w:pStyle w:val="ListBullet"/>
      </w:pPr>
      <w:r>
        <w:rPr>
          <w:rFonts w:ascii="Calibri" w:hAnsi="Calibri"/>
          <w:color w:val="2A3730"/>
          <w:sz w:val="21"/>
        </w:rPr>
        <w:t xml:space="preserve"> Target progress, recent ADG, and Ridge features were tested in competing methods but were not used by the selected winner.</w:t>
      </w:r>
    </w:p>
    <w:p>
      <w:pPr>
        <w:pStyle w:val="Heading3"/>
      </w:pPr>
      <w:r>
        <w:t>Best defense wording</w:t>
      </w:r>
    </w:p>
    <w:tbl>
      <w:tblPr>
        <w:tblW w:type="dxa" w:w="9360"/>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2F8D9"/>
          </w:tcPr>
          <w:p>
            <w:pPr>
              <w:spacing w:before="0" w:after="0" w:line="300" w:lineRule="auto"/>
            </w:pPr>
            <w:r>
              <w:rPr>
                <w:rFonts w:ascii="Calibri" w:hAnsi="Calibri"/>
                <w:color w:val="173F31"/>
                <w:sz w:val="21"/>
              </w:rPr>
              <w:t>"We did not assume machine learning must win. We compared seven approaches, including Ridge, Random Forest, and gradient-boosted trees, using complete-cycle-held-out validation. The simpler historical remaining-gain method produced the best overall validated error and stayed within 5% of the best cycle-balanced result, so Canary deploys it. The method pools eligible buildings because the sample is too small for reliable building-specific models, while every forecast still starts from that building's own latest measured weight."</w:t>
            </w:r>
          </w:p>
        </w:tc>
      </w:tr>
    </w:tbl>
    <w:p>
      <w:pPr>
        <w:spacing w:after="40"/>
      </w:pPr>
    </w:p>
    <w:p>
      <w:pPr>
        <w:pStyle w:val="Heading1"/>
      </w:pPr>
      <w:r>
        <w:t>7. Component 3 — Recommendation playbook</w:t>
      </w:r>
    </w:p>
    <w:p>
      <w:pPr>
        <w:pStyle w:val="Heading3"/>
      </w:pPr>
      <w:r>
        <w:t>What it answers</w:t>
      </w:r>
    </w:p>
    <w:p>
      <w:pPr>
        <w:pStyle w:val="ListBullet"/>
      </w:pPr>
      <w:r>
        <w:rPr>
          <w:rFonts w:ascii="Calibri" w:hAnsi="Calibri"/>
          <w:color w:val="2A3730"/>
          <w:sz w:val="21"/>
        </w:rPr>
        <w:t xml:space="preserve"> What should management inspect next?</w:t>
      </w:r>
    </w:p>
    <w:p>
      <w:pPr>
        <w:pStyle w:val="ListBullet"/>
      </w:pPr>
      <w:r>
        <w:rPr>
          <w:rFonts w:ascii="Calibri" w:hAnsi="Calibri"/>
          <w:color w:val="2A3730"/>
          <w:sz w:val="21"/>
        </w:rPr>
        <w:t xml:space="preserve"> How urgently should the building be reviewed?</w:t>
      </w:r>
    </w:p>
    <w:p>
      <w:pPr>
        <w:pStyle w:val="ListBullet"/>
      </w:pPr>
      <w:r>
        <w:rPr>
          <w:rFonts w:ascii="Calibri" w:hAnsi="Calibri"/>
          <w:color w:val="2A3730"/>
          <w:sz w:val="21"/>
        </w:rPr>
        <w:t xml:space="preserve"> When should management escalate?</w:t>
      </w:r>
    </w:p>
    <w:p>
      <w:pPr>
        <w:pStyle w:val="Heading3"/>
      </w:pPr>
      <w:r>
        <w:t>How it works</w:t>
      </w:r>
    </w:p>
    <w:p>
      <w:pPr>
        <w:pStyle w:val="ListBullet"/>
      </w:pPr>
      <w:r>
        <w:rPr>
          <w:rFonts w:ascii="Calibri" w:hAnsi="Calibri"/>
          <w:color w:val="2A3730"/>
          <w:sz w:val="21"/>
        </w:rPr>
        <w:t xml:space="preserve"> Deterministic rule lookup, not generative AI.</w:t>
      </w:r>
    </w:p>
    <w:p>
      <w:pPr>
        <w:pStyle w:val="ListBullet"/>
      </w:pPr>
      <w:r>
        <w:rPr>
          <w:rFonts w:ascii="Calibri" w:hAnsi="Calibri"/>
          <w:color w:val="2A3730"/>
          <w:sz w:val="21"/>
        </w:rPr>
        <w:t xml:space="preserve"> Inputs: current operating alert when supported; otherwise identified performance pattern + risk severity.</w:t>
      </w:r>
    </w:p>
    <w:p>
      <w:pPr>
        <w:pStyle w:val="ListBullet"/>
      </w:pPr>
      <w:r>
        <w:rPr>
          <w:rFonts w:ascii="Calibri" w:hAnsi="Calibri"/>
          <w:color w:val="2A3730"/>
          <w:sz w:val="21"/>
        </w:rPr>
        <w:t xml:space="preserve"> Outputs: management focus, inspection checklist, urgency, and escalation condition.</w:t>
      </w:r>
    </w:p>
    <w:p>
      <w:pPr>
        <w:pStyle w:val="ListBullet"/>
      </w:pPr>
      <w:r>
        <w:rPr>
          <w:rFonts w:ascii="Calibri" w:hAnsi="Calibri"/>
          <w:color w:val="2A3730"/>
          <w:sz w:val="21"/>
        </w:rPr>
        <w:t xml:space="preserve"> Every recommendation shows its rule ID, version, and approval status.</w:t>
      </w:r>
    </w:p>
    <w:p>
      <w:pPr>
        <w:pStyle w:val="ListBullet"/>
      </w:pPr>
      <w:r>
        <w:rPr>
          <w:rFonts w:ascii="Calibri" w:hAnsi="Calibri"/>
          <w:color w:val="2A3730"/>
          <w:sz w:val="21"/>
        </w:rPr>
        <w:t xml:space="preserve"> Owner cards prefer a specific recorded alert over a generic peer-performance label.</w:t>
      </w:r>
    </w:p>
    <w:p>
      <w:pPr>
        <w:pStyle w:val="ListBullet"/>
      </w:pPr>
      <w:r>
        <w:rPr>
          <w:rFonts w:ascii="Calibri" w:hAnsi="Calibri"/>
          <w:color w:val="2A3730"/>
          <w:sz w:val="21"/>
        </w:rPr>
        <w:t xml:space="preserve"> When no causal measurement is available, Canary says </w:t>
      </w:r>
      <w:r>
        <w:rPr>
          <w:rFonts w:ascii="Calibri" w:hAnsi="Calibri"/>
          <w:b/>
          <w:color w:val="2A3730"/>
          <w:sz w:val="21"/>
        </w:rPr>
        <w:t>cause not confirmed</w:t>
      </w:r>
      <w:r>
        <w:rPr>
          <w:rFonts w:ascii="Calibri" w:hAnsi="Calibri"/>
          <w:color w:val="2A3730"/>
          <w:sz w:val="21"/>
        </w:rPr>
        <w:t xml:space="preserve"> and names the measurements to collect.</w:t>
      </w:r>
    </w:p>
    <w:p>
      <w:pPr>
        <w:pStyle w:val="Heading3"/>
      </w:pPr>
      <w:r>
        <w:t>Main problem patterns</w:t>
      </w:r>
    </w:p>
    <w:tbl>
      <w:tblPr>
        <w:tblStyle w:val="TableGrid"/>
        <w:tblW w:type="dxa" w:w="9360"/>
        <w:tblLayout w:type="fixed"/>
        <w:tblLook w:firstColumn="1" w:firstRow="1" w:lastColumn="0" w:lastRow="0" w:noHBand="0" w:noVBand="1" w:val="04A0"/>
        <w:tblInd w:w="120" w:type="dxa"/>
      </w:tblPr>
      <w:tblGrid>
        <w:gridCol w:w="3000"/>
        <w:gridCol w:w="6360"/>
      </w:tblGrid>
      <w:tr>
        <w:trPr>
          <w:cantSplit/>
          <w:tblHeader w:val="true"/>
        </w:trPr>
        <w:tc>
          <w:tcPr>
            <w:tcW w:type="dxa" w:w="3000"/>
            <w:tcMar>
              <w:top w:w="80" w:type="dxa"/>
              <w:start w:w="120" w:type="dxa"/>
              <w:bottom w:w="80" w:type="dxa"/>
              <w:end w:w="120" w:type="dxa"/>
            </w:tcMar>
            <w:vAlign w:val="center"/>
            <w:shd w:fill="286245"/>
          </w:tcPr>
          <w:p>
            <w:pPr>
              <w:keepLines/>
              <w:spacing w:before="0" w:after="0" w:line="264" w:lineRule="auto"/>
            </w:pPr>
            <w:r>
              <w:rPr>
                <w:b/>
              </w:rPr>
            </w:r>
            <w:r>
              <w:rPr>
                <w:rFonts w:ascii="Calibri" w:hAnsi="Calibri"/>
                <w:b/>
                <w:color w:val="FFFFFF"/>
                <w:sz w:val="19"/>
              </w:rPr>
              <w:t>Pattern</w:t>
            </w:r>
          </w:p>
        </w:tc>
        <w:tc>
          <w:tcPr>
            <w:tcW w:type="dxa" w:w="6360"/>
            <w:tcMar>
              <w:top w:w="80" w:type="dxa"/>
              <w:start w:w="120" w:type="dxa"/>
              <w:bottom w:w="80" w:type="dxa"/>
              <w:end w:w="120" w:type="dxa"/>
            </w:tcMar>
            <w:vAlign w:val="center"/>
            <w:shd w:fill="286245"/>
          </w:tcPr>
          <w:p>
            <w:pPr>
              <w:keepLines/>
              <w:spacing w:before="0" w:after="0" w:line="264" w:lineRule="auto"/>
            </w:pPr>
            <w:r>
              <w:rPr>
                <w:b/>
              </w:rPr>
            </w:r>
            <w:r>
              <w:rPr>
                <w:rFonts w:ascii="Calibri" w:hAnsi="Calibri"/>
                <w:b/>
                <w:color w:val="FFFFFF"/>
                <w:sz w:val="19"/>
              </w:rPr>
              <w:t>Primary management focus</w:t>
            </w:r>
          </w:p>
        </w:tc>
      </w:tr>
      <w:tr>
        <w:trPr>
          <w:cantSplit/>
        </w:trPr>
        <w:tc>
          <w:tcPr>
            <w:tcW w:type="dxa" w:w="3000"/>
            <w:tcMar>
              <w:top w:w="80" w:type="dxa"/>
              <w:start w:w="120" w:type="dxa"/>
              <w:bottom w:w="80" w:type="dxa"/>
              <w:end w:w="120" w:type="dxa"/>
            </w:tcMar>
            <w:vAlign w:val="center"/>
          </w:tcPr>
          <w:p>
            <w:pPr>
              <w:keepLines/>
              <w:spacing w:before="0" w:after="0" w:line="264" w:lineRule="auto"/>
            </w:pPr>
            <w:r/>
            <w:r>
              <w:rPr>
                <w:rFonts w:ascii="Calibri" w:hAnsi="Calibri"/>
                <w:color w:val="2A3730"/>
                <w:sz w:val="19"/>
              </w:rPr>
              <w:t>No material drift</w:t>
            </w:r>
          </w:p>
        </w:tc>
        <w:tc>
          <w:tcPr>
            <w:tcW w:type="dxa" w:w="6360"/>
            <w:tcMar>
              <w:top w:w="80" w:type="dxa"/>
              <w:start w:w="120" w:type="dxa"/>
              <w:bottom w:w="80" w:type="dxa"/>
              <w:end w:w="120" w:type="dxa"/>
            </w:tcMar>
            <w:vAlign w:val="center"/>
          </w:tcPr>
          <w:p>
            <w:pPr>
              <w:keepLines/>
              <w:spacing w:before="0" w:after="0" w:line="264" w:lineRule="auto"/>
            </w:pPr>
            <w:r/>
            <w:r>
              <w:rPr>
                <w:rFonts w:ascii="Calibri" w:hAnsi="Calibri"/>
                <w:color w:val="2A3730"/>
                <w:sz w:val="19"/>
              </w:rPr>
              <w:t>Continue normal monitoring</w:t>
            </w:r>
          </w:p>
        </w:tc>
      </w:tr>
      <w:tr>
        <w:trPr>
          <w:cantSplit/>
        </w:trPr>
        <w:tc>
          <w:tcPr>
            <w:tcW w:type="dxa" w:w="300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9"/>
              </w:rPr>
              <w:t>Weight lag only</w:t>
            </w:r>
          </w:p>
        </w:tc>
        <w:tc>
          <w:tcPr>
            <w:tcW w:type="dxa" w:w="636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9"/>
              </w:rPr>
              <w:t>Confirm weight; check feed and water access</w:t>
            </w:r>
          </w:p>
        </w:tc>
      </w:tr>
      <w:tr>
        <w:trPr>
          <w:cantSplit/>
        </w:trPr>
        <w:tc>
          <w:tcPr>
            <w:tcW w:type="dxa" w:w="3000"/>
            <w:tcMar>
              <w:top w:w="80" w:type="dxa"/>
              <w:start w:w="120" w:type="dxa"/>
              <w:bottom w:w="80" w:type="dxa"/>
              <w:end w:w="120" w:type="dxa"/>
            </w:tcMar>
            <w:vAlign w:val="center"/>
          </w:tcPr>
          <w:p>
            <w:pPr>
              <w:keepLines/>
              <w:spacing w:before="0" w:after="0" w:line="264" w:lineRule="auto"/>
            </w:pPr>
            <w:r/>
            <w:r>
              <w:rPr>
                <w:rFonts w:ascii="Calibri" w:hAnsi="Calibri"/>
                <w:color w:val="2A3730"/>
                <w:sz w:val="19"/>
              </w:rPr>
              <w:t>Survival concern only</w:t>
            </w:r>
          </w:p>
        </w:tc>
        <w:tc>
          <w:tcPr>
            <w:tcW w:type="dxa" w:w="6360"/>
            <w:tcMar>
              <w:top w:w="80" w:type="dxa"/>
              <w:start w:w="120" w:type="dxa"/>
              <w:bottom w:w="80" w:type="dxa"/>
              <w:end w:w="120" w:type="dxa"/>
            </w:tcMar>
            <w:vAlign w:val="center"/>
          </w:tcPr>
          <w:p>
            <w:pPr>
              <w:keepLines/>
              <w:spacing w:before="0" w:after="0" w:line="264" w:lineRule="auto"/>
            </w:pPr>
            <w:r/>
            <w:r>
              <w:rPr>
                <w:rFonts w:ascii="Calibri" w:hAnsi="Calibri"/>
                <w:color w:val="2A3730"/>
                <w:sz w:val="19"/>
              </w:rPr>
              <w:t>Reconcile counts and investigate mortality/survival</w:t>
            </w:r>
          </w:p>
        </w:tc>
      </w:tr>
      <w:tr>
        <w:trPr>
          <w:cantSplit/>
        </w:trPr>
        <w:tc>
          <w:tcPr>
            <w:tcW w:type="dxa" w:w="300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9"/>
              </w:rPr>
              <w:t>Growth + survival drift</w:t>
            </w:r>
          </w:p>
        </w:tc>
        <w:tc>
          <w:tcPr>
            <w:tcW w:type="dxa" w:w="636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9"/>
              </w:rPr>
              <w:t>Complete a focused combined flock assessment</w:t>
            </w:r>
          </w:p>
        </w:tc>
      </w:tr>
      <w:tr>
        <w:trPr>
          <w:cantSplit/>
        </w:trPr>
        <w:tc>
          <w:tcPr>
            <w:tcW w:type="dxa" w:w="3000"/>
            <w:tcMar>
              <w:top w:w="80" w:type="dxa"/>
              <w:start w:w="120" w:type="dxa"/>
              <w:bottom w:w="80" w:type="dxa"/>
              <w:end w:w="120" w:type="dxa"/>
            </w:tcMar>
            <w:vAlign w:val="center"/>
          </w:tcPr>
          <w:p>
            <w:pPr>
              <w:keepLines/>
              <w:spacing w:before="0" w:after="0" w:line="264" w:lineRule="auto"/>
            </w:pPr>
            <w:r/>
            <w:r>
              <w:rPr>
                <w:rFonts w:ascii="Calibri" w:hAnsi="Calibri"/>
                <w:color w:val="2A3730"/>
                <w:sz w:val="19"/>
              </w:rPr>
              <w:t>Localized building drift</w:t>
            </w:r>
          </w:p>
        </w:tc>
        <w:tc>
          <w:tcPr>
            <w:tcW w:type="dxa" w:w="6360"/>
            <w:tcMar>
              <w:top w:w="80" w:type="dxa"/>
              <w:start w:w="120" w:type="dxa"/>
              <w:bottom w:w="80" w:type="dxa"/>
              <w:end w:w="120" w:type="dxa"/>
            </w:tcMar>
            <w:vAlign w:val="center"/>
          </w:tcPr>
          <w:p>
            <w:pPr>
              <w:keepLines/>
              <w:spacing w:before="0" w:after="0" w:line="264" w:lineRule="auto"/>
            </w:pPr>
            <w:r/>
            <w:r>
              <w:rPr>
                <w:rFonts w:ascii="Calibri" w:hAnsi="Calibri"/>
                <w:color w:val="2A3730"/>
                <w:sz w:val="19"/>
              </w:rPr>
              <w:t>Compare with better peers; inspect building-specific equipment and conditions</w:t>
            </w:r>
          </w:p>
        </w:tc>
      </w:tr>
      <w:tr>
        <w:trPr>
          <w:cantSplit/>
        </w:trPr>
        <w:tc>
          <w:tcPr>
            <w:tcW w:type="dxa" w:w="300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9"/>
              </w:rPr>
              <w:t>Farm-wide drift</w:t>
            </w:r>
          </w:p>
        </w:tc>
        <w:tc>
          <w:tcPr>
            <w:tcW w:type="dxa" w:w="636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9"/>
              </w:rPr>
              <w:t>Investigate shared feed, water, controller, weather, source, or management factors</w:t>
            </w:r>
          </w:p>
        </w:tc>
      </w:tr>
      <w:tr>
        <w:trPr>
          <w:cantSplit/>
        </w:trPr>
        <w:tc>
          <w:tcPr>
            <w:tcW w:type="dxa" w:w="3000"/>
            <w:tcMar>
              <w:top w:w="80" w:type="dxa"/>
              <w:start w:w="120" w:type="dxa"/>
              <w:bottom w:w="80" w:type="dxa"/>
              <w:end w:w="120" w:type="dxa"/>
            </w:tcMar>
            <w:vAlign w:val="center"/>
          </w:tcPr>
          <w:p>
            <w:pPr>
              <w:keepLines/>
              <w:spacing w:before="0" w:after="0" w:line="264" w:lineRule="auto"/>
            </w:pPr>
            <w:r/>
            <w:r>
              <w:rPr>
                <w:rFonts w:ascii="Calibri" w:hAnsi="Calibri"/>
                <w:color w:val="2A3730"/>
                <w:sz w:val="19"/>
              </w:rPr>
              <w:t>Missing or stale evidence</w:t>
            </w:r>
          </w:p>
        </w:tc>
        <w:tc>
          <w:tcPr>
            <w:tcW w:type="dxa" w:w="6360"/>
            <w:tcMar>
              <w:top w:w="80" w:type="dxa"/>
              <w:start w:w="120" w:type="dxa"/>
              <w:bottom w:w="80" w:type="dxa"/>
              <w:end w:w="120" w:type="dxa"/>
            </w:tcMar>
            <w:vAlign w:val="center"/>
          </w:tcPr>
          <w:p>
            <w:pPr>
              <w:keepLines/>
              <w:spacing w:before="0" w:after="0" w:line="264" w:lineRule="auto"/>
            </w:pPr>
            <w:r/>
            <w:r>
              <w:rPr>
                <w:rFonts w:ascii="Calibri" w:hAnsi="Calibri"/>
                <w:color w:val="2A3730"/>
                <w:sz w:val="19"/>
              </w:rPr>
              <w:t>Obtain current measurements before major decisions</w:t>
            </w:r>
          </w:p>
        </w:tc>
      </w:tr>
    </w:tbl>
    <w:p>
      <w:pPr>
        <w:spacing w:after="40"/>
      </w:pPr>
    </w:p>
    <w:p>
      <w:pPr>
        <w:pStyle w:val="Heading3"/>
      </w:pPr>
      <w:r>
        <w:t>Urgency</w:t>
      </w:r>
    </w:p>
    <w:p>
      <w:pPr>
        <w:pStyle w:val="ListBullet"/>
      </w:pPr>
      <w:r>
        <w:rPr>
          <w:rFonts w:ascii="Calibri" w:hAnsi="Calibri"/>
          <w:color w:val="2A3730"/>
          <w:sz w:val="21"/>
        </w:rPr>
        <w:t xml:space="preserve"> Low: routine monitoring.</w:t>
      </w:r>
    </w:p>
    <w:p>
      <w:pPr>
        <w:pStyle w:val="ListBullet"/>
      </w:pPr>
      <w:r>
        <w:rPr>
          <w:rFonts w:ascii="Calibri" w:hAnsi="Calibri"/>
          <w:color w:val="2A3730"/>
          <w:sz w:val="21"/>
        </w:rPr>
        <w:t xml:space="preserve"> Medium: within 24 hours.</w:t>
      </w:r>
    </w:p>
    <w:p>
      <w:pPr>
        <w:pStyle w:val="ListBullet"/>
      </w:pPr>
      <w:r>
        <w:rPr>
          <w:rFonts w:ascii="Calibri" w:hAnsi="Calibri"/>
          <w:color w:val="2A3730"/>
          <w:sz w:val="21"/>
        </w:rPr>
        <w:t xml:space="preserve"> High: current shift.</w:t>
      </w:r>
    </w:p>
    <w:p>
      <w:pPr>
        <w:pStyle w:val="ListBullet"/>
      </w:pPr>
      <w:r>
        <w:rPr>
          <w:rFonts w:ascii="Calibri" w:hAnsi="Calibri"/>
          <w:color w:val="2A3730"/>
          <w:sz w:val="21"/>
        </w:rPr>
        <w:t xml:space="preserve"> Critical: immediate inspection and appropriate escalation.</w:t>
      </w:r>
    </w:p>
    <w:p>
      <w:pPr>
        <w:pStyle w:val="Heading3"/>
      </w:pPr>
      <w:r>
        <w:t>Can we trust it?</w:t>
      </w:r>
    </w:p>
    <w:p>
      <w:pPr>
        <w:spacing w:before="0" w:after="120" w:line="288" w:lineRule="auto"/>
      </w:pPr>
      <w:r>
        <w:rPr>
          <w:rFonts w:ascii="Calibri" w:hAnsi="Calibri"/>
          <w:b/>
          <w:color w:val="2A3730"/>
          <w:sz w:val="21"/>
        </w:rPr>
        <w:t>Strengths</w:t>
      </w:r>
    </w:p>
    <w:p>
      <w:pPr>
        <w:pStyle w:val="ListBullet"/>
      </w:pPr>
      <w:r>
        <w:rPr>
          <w:rFonts w:ascii="Calibri" w:hAnsi="Calibri"/>
          <w:color w:val="2A3730"/>
          <w:sz w:val="21"/>
        </w:rPr>
        <w:t xml:space="preserve"> Simple, deterministic, editable, and traceable.</w:t>
      </w:r>
    </w:p>
    <w:p>
      <w:pPr>
        <w:pStyle w:val="ListBullet"/>
      </w:pPr>
      <w:r>
        <w:rPr>
          <w:rFonts w:ascii="Calibri" w:hAnsi="Calibri"/>
          <w:color w:val="2A3730"/>
          <w:sz w:val="21"/>
        </w:rPr>
        <w:t xml:space="preserve"> Based on industry-management references and farm-provided intervention mappings.</w:t>
      </w:r>
    </w:p>
    <w:p>
      <w:pPr>
        <w:pStyle w:val="ListBullet"/>
      </w:pPr>
      <w:r>
        <w:rPr>
          <w:rFonts w:ascii="Calibri" w:hAnsi="Calibri"/>
          <w:color w:val="2A3730"/>
          <w:sz w:val="21"/>
        </w:rPr>
        <w:t xml:space="preserve"> Does not invent medication or diagnose disease.</w:t>
      </w:r>
    </w:p>
    <w:p>
      <w:pPr>
        <w:spacing w:before="0" w:after="120" w:line="288" w:lineRule="auto"/>
      </w:pPr>
      <w:r>
        <w:rPr>
          <w:rFonts w:ascii="Calibri" w:hAnsi="Calibri"/>
          <w:b/>
          <w:color w:val="2A3730"/>
          <w:sz w:val="21"/>
        </w:rPr>
        <w:t>Limitations</w:t>
      </w:r>
    </w:p>
    <w:p>
      <w:pPr>
        <w:pStyle w:val="ListBullet"/>
      </w:pPr>
      <w:r>
        <w:rPr>
          <w:rFonts w:ascii="Calibri" w:hAnsi="Calibri"/>
          <w:color w:val="2A3730"/>
          <w:sz w:val="21"/>
        </w:rPr>
        <w:t xml:space="preserve"> Wording and thresholds still require Doc Raymond’s approval.</w:t>
      </w:r>
    </w:p>
    <w:p>
      <w:pPr>
        <w:pStyle w:val="ListBullet"/>
      </w:pPr>
      <w:r>
        <w:rPr>
          <w:rFonts w:ascii="Calibri" w:hAnsi="Calibri"/>
          <w:color w:val="2A3730"/>
          <w:sz w:val="21"/>
        </w:rPr>
        <w:t xml:space="preserve"> Canary has not measured the causal effect of each intervention.</w:t>
      </w:r>
    </w:p>
    <w:p>
      <w:pPr>
        <w:pStyle w:val="ListBullet"/>
      </w:pPr>
      <w:r>
        <w:rPr>
          <w:rFonts w:ascii="Calibri" w:hAnsi="Calibri"/>
          <w:color w:val="2A3730"/>
          <w:sz w:val="21"/>
        </w:rPr>
        <w:t xml:space="preserve"> Recommendations are inspection guidance, not guaranteed solutions.</w:t>
      </w:r>
    </w:p>
    <w:p>
      <w:pPr>
        <w:pStyle w:val="Heading1"/>
      </w:pPr>
      <w:r>
        <w:t>8. Temperature, humidity, feed, water, and THI</w:t>
      </w:r>
    </w:p>
    <w:p>
      <w:pPr>
        <w:pStyle w:val="Heading3"/>
      </w:pPr>
      <w:r>
        <w:t>What Canary can responsibly do now</w:t>
      </w:r>
    </w:p>
    <w:p>
      <w:pPr>
        <w:pStyle w:val="ListBullet"/>
      </w:pPr>
      <w:r>
        <w:rPr>
          <w:rFonts w:ascii="Calibri" w:hAnsi="Calibri"/>
          <w:color w:val="2A3730"/>
          <w:sz w:val="21"/>
        </w:rPr>
        <w:t xml:space="preserve"> Compare recorded temperature and humidity with provisional age-specific ranges.</w:t>
      </w:r>
    </w:p>
    <w:p>
      <w:pPr>
        <w:pStyle w:val="ListBullet"/>
      </w:pPr>
      <w:r>
        <w:rPr>
          <w:rFonts w:ascii="Calibri" w:hAnsi="Calibri"/>
          <w:color w:val="2A3730"/>
          <w:sz w:val="21"/>
        </w:rPr>
        <w:t xml:space="preserve"> Flag daily mortality against provisional limits.</w:t>
      </w:r>
    </w:p>
    <w:p>
      <w:pPr>
        <w:pStyle w:val="ListBullet"/>
      </w:pPr>
      <w:r>
        <w:rPr>
          <w:rFonts w:ascii="Calibri" w:hAnsi="Calibri"/>
          <w:color w:val="2A3730"/>
          <w:sz w:val="21"/>
        </w:rPr>
        <w:t xml:space="preserve"> Compare recorded daily feed per bird with provisional age-specific targets, pending unit confirmation.</w:t>
      </w:r>
    </w:p>
    <w:p>
      <w:pPr>
        <w:pStyle w:val="ListBullet"/>
      </w:pPr>
      <w:r>
        <w:rPr>
          <w:rFonts w:ascii="Calibri" w:hAnsi="Calibri"/>
          <w:color w:val="2A3730"/>
          <w:sz w:val="21"/>
        </w:rPr>
        <w:t xml:space="preserve"> State the current value, target, acceptable range, and size of the gap.</w:t>
      </w:r>
    </w:p>
    <w:p>
      <w:pPr>
        <w:pStyle w:val="ListBullet"/>
      </w:pPr>
      <w:r>
        <w:rPr>
          <w:rFonts w:ascii="Calibri" w:hAnsi="Calibri"/>
          <w:color w:val="2A3730"/>
          <w:sz w:val="21"/>
        </w:rPr>
        <w:t xml:space="preserve"> Recommend practical checks such as sensors, fans, inlets, curtains, cooling pads, heaters, litter, feed access, and water availability.</w:t>
      </w:r>
    </w:p>
    <w:p>
      <w:pPr>
        <w:pStyle w:val="ListBullet"/>
      </w:pPr>
      <w:r>
        <w:rPr>
          <w:rFonts w:ascii="Calibri" w:hAnsi="Calibri"/>
          <w:color w:val="2A3730"/>
          <w:sz w:val="21"/>
        </w:rPr>
        <w:t xml:space="preserve"> Direct management toward the target range without prescribing an unapproved equipment setting.</w:t>
      </w:r>
    </w:p>
    <w:p>
      <w:pPr>
        <w:pStyle w:val="Heading3"/>
      </w:pPr>
      <w:r>
        <w:t>Example owner explanation</w:t>
      </w:r>
    </w:p>
    <w:tbl>
      <w:tblPr>
        <w:tblW w:type="dxa" w:w="9360"/>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2F8D9"/>
          </w:tcPr>
          <w:p>
            <w:pPr>
              <w:spacing w:before="0" w:after="0" w:line="300" w:lineRule="auto"/>
            </w:pPr>
            <w:r>
              <w:rPr>
                <w:rFonts w:ascii="Calibri" w:hAnsi="Calibri"/>
                <w:color w:val="173F31"/>
                <w:sz w:val="21"/>
              </w:rPr>
              <w:t>“Temperature is above the approved age-based range. Verify the reading at bird height, then check fans, inlets or curtains, cooling pads, airflow, and water availability. Bring conditions toward the approved range. Canary does not claim heat caused the performance result.”</w:t>
            </w:r>
          </w:p>
        </w:tc>
      </w:tr>
    </w:tbl>
    <w:p>
      <w:pPr>
        <w:spacing w:after="40"/>
      </w:pPr>
    </w:p>
    <w:p>
      <w:pPr>
        <w:pStyle w:val="Heading3"/>
      </w:pPr>
      <w:r>
        <w:t>What Canary cannot claim yet</w:t>
      </w:r>
    </w:p>
    <w:p>
      <w:pPr>
        <w:pStyle w:val="ListBullet"/>
      </w:pPr>
      <w:r>
        <w:rPr>
          <w:rFonts w:ascii="Calibri" w:hAnsi="Calibri"/>
          <w:color w:val="2A3730"/>
          <w:sz w:val="21"/>
        </w:rPr>
        <w:t xml:space="preserve"> “Heat caused the mortality.”</w:t>
      </w:r>
    </w:p>
    <w:p>
      <w:pPr>
        <w:pStyle w:val="ListBullet"/>
      </w:pPr>
      <w:r>
        <w:rPr>
          <w:rFonts w:ascii="Calibri" w:hAnsi="Calibri"/>
          <w:color w:val="2A3730"/>
          <w:sz w:val="21"/>
        </w:rPr>
        <w:t xml:space="preserve"> “Reducing temperature by 1°C will improve recovery by X points.”</w:t>
      </w:r>
    </w:p>
    <w:p>
      <w:pPr>
        <w:pStyle w:val="ListBullet"/>
      </w:pPr>
      <w:r>
        <w:rPr>
          <w:rFonts w:ascii="Calibri" w:hAnsi="Calibri"/>
          <w:color w:val="2A3730"/>
          <w:sz w:val="21"/>
        </w:rPr>
        <w:t xml:space="preserve"> Water-intake risk when water data is absent.</w:t>
      </w:r>
    </w:p>
    <w:p>
      <w:pPr>
        <w:pStyle w:val="ListBullet"/>
      </w:pPr>
      <w:r>
        <w:rPr>
          <w:rFonts w:ascii="Calibri" w:hAnsi="Calibri"/>
          <w:color w:val="2A3730"/>
          <w:sz w:val="21"/>
        </w:rPr>
        <w:t xml:space="preserve"> THI risk until one formula and age-specific bands are approved.</w:t>
      </w:r>
    </w:p>
    <w:p>
      <w:pPr>
        <w:pStyle w:val="ListBullet"/>
      </w:pPr>
      <w:r>
        <w:rPr>
          <w:rFonts w:ascii="Calibri" w:hAnsi="Calibri"/>
          <w:color w:val="2A3730"/>
          <w:sz w:val="21"/>
        </w:rPr>
        <w:t xml:space="preserve"> A direct command such as “lower the controller by 3°C” unless the sensor, housing response, bird behavior, and farm SOP have been verified.</w:t>
      </w:r>
    </w:p>
    <w:p>
      <w:pPr>
        <w:pStyle w:val="Heading3"/>
      </w:pPr>
      <w:r>
        <w:t>Why environment is not a fifth risk dimension yet</w:t>
      </w:r>
    </w:p>
    <w:p>
      <w:pPr>
        <w:pStyle w:val="ListBullet"/>
      </w:pPr>
      <w:r>
        <w:rPr>
          <w:rFonts w:ascii="Calibri" w:hAnsi="Calibri"/>
          <w:color w:val="2A3730"/>
          <w:sz w:val="21"/>
        </w:rPr>
        <w:t xml:space="preserve"> It may double-count the result of the same problem.</w:t>
      </w:r>
    </w:p>
    <w:p>
      <w:pPr>
        <w:pStyle w:val="ListBullet"/>
      </w:pPr>
      <w:r>
        <w:rPr>
          <w:rFonts w:ascii="Calibri" w:hAnsi="Calibri"/>
          <w:color w:val="2A3730"/>
          <w:sz w:val="21"/>
        </w:rPr>
        <w:t xml:space="preserve"> Environmental coverage is incomplete.</w:t>
      </w:r>
    </w:p>
    <w:p>
      <w:pPr>
        <w:pStyle w:val="ListBullet"/>
      </w:pPr>
      <w:r>
        <w:rPr>
          <w:rFonts w:ascii="Calibri" w:hAnsi="Calibri"/>
          <w:color w:val="2A3730"/>
          <w:sz w:val="21"/>
        </w:rPr>
        <w:t xml:space="preserve"> Water is unavailable and the daily feed-per-bird unit needs confirmation.</w:t>
      </w:r>
    </w:p>
    <w:p>
      <w:pPr>
        <w:pStyle w:val="ListBullet"/>
      </w:pPr>
      <w:r>
        <w:rPr>
          <w:rFonts w:ascii="Calibri" w:hAnsi="Calibri"/>
          <w:color w:val="2A3730"/>
          <w:sz w:val="21"/>
        </w:rPr>
        <w:t xml:space="preserve"> Farm-approved thresholds are incomplete.</w:t>
      </w:r>
    </w:p>
    <w:p>
      <w:pPr>
        <w:pStyle w:val="ListBullet"/>
      </w:pPr>
      <w:r>
        <w:rPr>
          <w:rFonts w:ascii="Calibri" w:hAnsi="Calibri"/>
          <w:color w:val="2A3730"/>
          <w:sz w:val="21"/>
        </w:rPr>
        <w:t xml:space="preserve"> Current model importance does not establish causation.</w:t>
      </w:r>
    </w:p>
    <w:p>
      <w:pPr>
        <w:spacing w:before="0" w:after="120" w:line="288" w:lineRule="auto"/>
      </w:pPr>
      <w:r>
        <w:rPr>
          <w:rFonts w:ascii="Calibri" w:hAnsi="Calibri"/>
          <w:b/>
          <w:color w:val="2A3730"/>
          <w:sz w:val="21"/>
        </w:rPr>
        <w:t>Current architecture verdict:</w:t>
      </w:r>
      <w:r>
        <w:rPr>
          <w:rFonts w:ascii="Calibri" w:hAnsi="Calibri"/>
          <w:color w:val="2A3730"/>
          <w:sz w:val="21"/>
        </w:rPr>
        <w:t xml:space="preserve"> keep environment out of the 0–12 outcome-warning score for this capstone, but use supported operating alerts as the owner-facing reason and action. This is more actionable without double-counting the same outcome or pretending that an association is a proven cause.</w:t>
      </w:r>
    </w:p>
    <w:p>
      <w:pPr>
        <w:pStyle w:val="Heading1"/>
      </w:pPr>
      <w:r>
        <w:t>9. Business-value estimator</w:t>
      </w:r>
    </w:p>
    <w:p>
      <w:pPr>
        <w:pStyle w:val="Heading3"/>
      </w:pPr>
      <w:r>
        <w:t>What it estimates</w:t>
      </w:r>
    </w:p>
    <w:p>
      <w:pPr>
        <w:pStyle w:val="ListBullet"/>
      </w:pPr>
      <w:r>
        <w:rPr>
          <w:rFonts w:ascii="Calibri" w:hAnsi="Calibri"/>
          <w:color w:val="2A3730"/>
          <w:sz w:val="21"/>
        </w:rPr>
        <w:t xml:space="preserve"> Birds represented by a recovery-rate improvement.</w:t>
      </w:r>
    </w:p>
    <w:p>
      <w:pPr>
        <w:pStyle w:val="ListBullet"/>
      </w:pPr>
      <w:r>
        <w:rPr>
          <w:rFonts w:ascii="Calibri" w:hAnsi="Calibri"/>
          <w:color w:val="2A3730"/>
          <w:sz w:val="21"/>
        </w:rPr>
        <w:t xml:space="preserve"> Estimated gross revenue represented by those birds.</w:t>
      </w:r>
    </w:p>
    <w:p>
      <w:pPr>
        <w:pStyle w:val="Heading3"/>
      </w:pPr>
      <w:r>
        <w:t>Formula</w:t>
      </w:r>
    </w:p>
    <w:p>
      <w:pPr>
        <w:pStyle w:val="ListBullet"/>
      </w:pPr>
      <w:r>
        <w:rPr>
          <w:rFonts w:ascii="Calibri" w:hAnsi="Calibri"/>
          <w:color w:val="2A3730"/>
          <w:sz w:val="21"/>
        </w:rPr>
        <w:t xml:space="preserve"> Birds represented = beginning population × recovery improvement.</w:t>
      </w:r>
    </w:p>
    <w:p>
      <w:pPr>
        <w:pStyle w:val="ListBullet"/>
      </w:pPr>
      <w:r>
        <w:rPr>
          <w:rFonts w:ascii="Calibri" w:hAnsi="Calibri"/>
          <w:color w:val="2A3730"/>
          <w:sz w:val="21"/>
        </w:rPr>
        <w:t xml:space="preserve"> Gross revenue per bird = assumed sale weight × assumed price per kg.</w:t>
      </w:r>
    </w:p>
    <w:p>
      <w:pPr>
        <w:pStyle w:val="ListBullet"/>
      </w:pPr>
      <w:r>
        <w:rPr>
          <w:rFonts w:ascii="Calibri" w:hAnsi="Calibri"/>
          <w:color w:val="2A3730"/>
          <w:sz w:val="21"/>
        </w:rPr>
        <w:t xml:space="preserve"> Estimated gross revenue = birds represented × gross revenue per bird.</w:t>
      </w:r>
    </w:p>
    <w:p>
      <w:pPr>
        <w:pStyle w:val="Heading3"/>
      </w:pPr>
      <w:r>
        <w:t>Required defense wording</w:t>
      </w:r>
    </w:p>
    <w:p>
      <w:pPr>
        <w:pStyle w:val="ListBullet"/>
      </w:pPr>
      <w:r>
        <w:rPr>
          <w:rFonts w:ascii="Calibri" w:hAnsi="Calibri"/>
          <w:color w:val="2A3730"/>
          <w:sz w:val="21"/>
        </w:rPr>
        <w:t xml:space="preserve"> This is a scenario estimate, not proven incremental profit.</w:t>
      </w:r>
    </w:p>
    <w:p>
      <w:pPr>
        <w:pStyle w:val="ListBullet"/>
      </w:pPr>
      <w:r>
        <w:rPr>
          <w:rFonts w:ascii="Calibri" w:hAnsi="Calibri"/>
          <w:color w:val="2A3730"/>
          <w:sz w:val="21"/>
        </w:rPr>
        <w:t xml:space="preserve"> It excludes intervention cost, feed, labor, electricity, treatment, mortality timing, and price changes.</w:t>
      </w:r>
    </w:p>
    <w:p>
      <w:pPr>
        <w:pStyle w:val="ListBullet"/>
      </w:pPr>
      <w:r>
        <w:rPr>
          <w:rFonts w:ascii="Calibri" w:hAnsi="Calibri"/>
          <w:color w:val="2A3730"/>
          <w:sz w:val="21"/>
        </w:rPr>
        <w:t xml:space="preserve"> It does not prove Canary caused the improvement.</w:t>
      </w:r>
    </w:p>
    <w:p>
      <w:pPr>
        <w:pStyle w:val="Heading1"/>
      </w:pPr>
      <w:r>
        <w:t>10. Actual versus predicted</w:t>
      </w:r>
    </w:p>
    <w:p>
      <w:pPr>
        <w:pStyle w:val="Heading3"/>
      </w:pPr>
      <w:r>
        <w:t>Current/latest cycle</w:t>
      </w:r>
    </w:p>
    <w:p>
      <w:pPr>
        <w:pStyle w:val="ListBullet"/>
      </w:pPr>
      <w:r>
        <w:rPr>
          <w:rFonts w:ascii="Calibri" w:hAnsi="Calibri"/>
          <w:color w:val="2A3730"/>
          <w:sz w:val="21"/>
        </w:rPr>
        <w:t xml:space="preserve"> Shows current risk rating, predicted recovery, projected Day 35 weight when weight is available, and recommended next check.</w:t>
      </w:r>
    </w:p>
    <w:p>
      <w:pPr>
        <w:pStyle w:val="Heading3"/>
      </w:pPr>
      <w:r>
        <w:t>Previous cycles</w:t>
      </w:r>
    </w:p>
    <w:p>
      <w:pPr>
        <w:pStyle w:val="ListBullet"/>
      </w:pPr>
      <w:r>
        <w:rPr>
          <w:rFonts w:ascii="Calibri" w:hAnsi="Calibri"/>
          <w:color w:val="2A3730"/>
          <w:sz w:val="21"/>
        </w:rPr>
        <w:t xml:space="preserve"> Shown as completed under the capstone convention.</w:t>
      </w:r>
    </w:p>
    <w:p>
      <w:pPr>
        <w:pStyle w:val="ListBullet"/>
      </w:pPr>
      <w:r>
        <w:rPr>
          <w:rFonts w:ascii="Calibri" w:hAnsi="Calibri"/>
          <w:color w:val="2A3730"/>
          <w:sz w:val="21"/>
        </w:rPr>
        <w:t xml:space="preserve"> Completion date = each building’s last recorded daily date.</w:t>
      </w:r>
    </w:p>
    <w:p>
      <w:pPr>
        <w:pStyle w:val="ListBullet"/>
      </w:pPr>
      <w:r>
        <w:rPr>
          <w:rFonts w:ascii="Calibri" w:hAnsi="Calibri"/>
          <w:color w:val="2A3730"/>
          <w:sz w:val="21"/>
        </w:rPr>
        <w:t xml:space="preserve"> Actual recovery = ending recorded population ÷ beginning population.</w:t>
      </w:r>
    </w:p>
    <w:p>
      <w:pPr>
        <w:pStyle w:val="ListBullet"/>
      </w:pPr>
      <w:r>
        <w:rPr>
          <w:rFonts w:ascii="Calibri" w:hAnsi="Calibri"/>
          <w:color w:val="2A3730"/>
          <w:sz w:val="21"/>
        </w:rPr>
        <w:t xml:space="preserve"> Actual final average weight = matched Farm Performance Summary value when available.</w:t>
      </w:r>
    </w:p>
    <w:p>
      <w:pPr>
        <w:pStyle w:val="ListBullet"/>
      </w:pPr>
      <w:r>
        <w:rPr>
          <w:rFonts w:ascii="Calibri" w:hAnsi="Calibri"/>
          <w:color w:val="2A3730"/>
          <w:sz w:val="21"/>
        </w:rPr>
        <w:t xml:space="preserve"> Historical Day 14 backtest compares what Canary would have predicted using only Day 14 data with what was later observed.</w:t>
      </w:r>
    </w:p>
    <w:p>
      <w:pPr>
        <w:pStyle w:val="Heading3"/>
      </w:pPr>
      <w:r>
        <w:t>Why backtesting matters</w:t>
      </w:r>
    </w:p>
    <w:p>
      <w:pPr>
        <w:pStyle w:val="ListBullet"/>
      </w:pPr>
      <w:r>
        <w:rPr>
          <w:rFonts w:ascii="Calibri" w:hAnsi="Calibri"/>
          <w:color w:val="2A3730"/>
          <w:sz w:val="21"/>
        </w:rPr>
        <w:t xml:space="preserve"> Demonstrates performance on unseen cycles.</w:t>
      </w:r>
    </w:p>
    <w:p>
      <w:pPr>
        <w:pStyle w:val="ListBullet"/>
      </w:pPr>
      <w:r>
        <w:rPr>
          <w:rFonts w:ascii="Calibri" w:hAnsi="Calibri"/>
          <w:color w:val="2A3730"/>
          <w:sz w:val="21"/>
        </w:rPr>
        <w:t xml:space="preserve"> Makes errors visible instead of showing only successful examples.</w:t>
      </w:r>
    </w:p>
    <w:p>
      <w:pPr>
        <w:pStyle w:val="ListBullet"/>
      </w:pPr>
      <w:r>
        <w:rPr>
          <w:rFonts w:ascii="Calibri" w:hAnsi="Calibri"/>
          <w:color w:val="2A3730"/>
          <w:sz w:val="21"/>
        </w:rPr>
        <w:t xml:space="preserve"> Supports discussion of when the model performs well or poorly.</w:t>
      </w:r>
    </w:p>
    <w:p>
      <w:pPr>
        <w:pStyle w:val="Heading1"/>
      </w:pPr>
      <w:r>
        <w:t>11. Expected panel questions</w:t>
      </w:r>
    </w:p>
    <w:p>
      <w:pPr>
        <w:pStyle w:val="Heading3"/>
      </w:pPr>
      <w:r>
        <w:t>“Why are there two targets?”</w:t>
      </w:r>
    </w:p>
    <w:p>
      <w:pPr>
        <w:pStyle w:val="ListBullet"/>
      </w:pPr>
      <w:r>
        <w:rPr>
          <w:rFonts w:ascii="Calibri" w:hAnsi="Calibri"/>
          <w:color w:val="2A3730"/>
          <w:sz w:val="21"/>
        </w:rPr>
        <w:t xml:space="preserve"> Weight measures growth performance.</w:t>
      </w:r>
    </w:p>
    <w:p>
      <w:pPr>
        <w:pStyle w:val="ListBullet"/>
      </w:pPr>
      <w:r>
        <w:rPr>
          <w:rFonts w:ascii="Calibri" w:hAnsi="Calibri"/>
          <w:color w:val="2A3730"/>
          <w:sz w:val="21"/>
        </w:rPr>
        <w:t xml:space="preserve"> Recovery measures birds remaining.</w:t>
      </w:r>
    </w:p>
    <w:p>
      <w:pPr>
        <w:pStyle w:val="ListBullet"/>
      </w:pPr>
      <w:r>
        <w:rPr>
          <w:rFonts w:ascii="Calibri" w:hAnsi="Calibri"/>
          <w:color w:val="2A3730"/>
          <w:sz w:val="21"/>
        </w:rPr>
        <w:t xml:space="preserve"> Both affect farm output and require different forecasts.</w:t>
      </w:r>
    </w:p>
    <w:p>
      <w:pPr>
        <w:pStyle w:val="Heading3"/>
      </w:pPr>
      <w:r>
        <w:t>“Why is Day 14 important?”</w:t>
      </w:r>
    </w:p>
    <w:p>
      <w:pPr>
        <w:pStyle w:val="ListBullet"/>
      </w:pPr>
      <w:r>
        <w:rPr>
          <w:rFonts w:ascii="Calibri" w:hAnsi="Calibri"/>
          <w:color w:val="2A3730"/>
          <w:sz w:val="21"/>
        </w:rPr>
        <w:t xml:space="preserve"> It is the agreed early-warning checkpoint while management still has time to investigate.</w:t>
      </w:r>
    </w:p>
    <w:p>
      <w:pPr>
        <w:pStyle w:val="ListBullet"/>
      </w:pPr>
      <w:r>
        <w:rPr>
          <w:rFonts w:ascii="Calibri" w:hAnsi="Calibri"/>
          <w:color w:val="2A3730"/>
          <w:sz w:val="21"/>
        </w:rPr>
        <w:t xml:space="preserve"> Canary continues updating after Day 14.</w:t>
      </w:r>
    </w:p>
    <w:p>
      <w:pPr>
        <w:pStyle w:val="ListBullet"/>
      </w:pPr>
      <w:r>
        <w:rPr>
          <w:rFonts w:ascii="Calibri" w:hAnsi="Calibri"/>
          <w:color w:val="2A3730"/>
          <w:sz w:val="21"/>
        </w:rPr>
        <w:t xml:space="preserve"> Association between Day 14 and later results is exploratory, not causal proof.</w:t>
      </w:r>
    </w:p>
    <w:p>
      <w:pPr>
        <w:pStyle w:val="Heading3"/>
      </w:pPr>
      <w:r>
        <w:t>“Why Day 35?”</w:t>
      </w:r>
    </w:p>
    <w:p>
      <w:pPr>
        <w:pStyle w:val="ListBullet"/>
      </w:pPr>
      <w:r>
        <w:rPr>
          <w:rFonts w:ascii="Calibri" w:hAnsi="Calibri"/>
          <w:color w:val="2A3730"/>
          <w:sz w:val="21"/>
        </w:rPr>
        <w:t xml:space="preserve"> The farm’s key management milestone is at least 2,000 g on Day 35.</w:t>
      </w:r>
    </w:p>
    <w:p>
      <w:pPr>
        <w:pStyle w:val="ListBullet"/>
      </w:pPr>
      <w:r>
        <w:rPr>
          <w:rFonts w:ascii="Calibri" w:hAnsi="Calibri"/>
          <w:color w:val="2A3730"/>
          <w:sz w:val="21"/>
        </w:rPr>
        <w:t xml:space="preserve"> Day 35 is not automatically the harvest date.</w:t>
      </w:r>
    </w:p>
    <w:p>
      <w:pPr>
        <w:pStyle w:val="Heading3"/>
      </w:pPr>
      <w:r>
        <w:t>“Why not scale final weight by 35/49?”</w:t>
      </w:r>
    </w:p>
    <w:p>
      <w:pPr>
        <w:pStyle w:val="ListBullet"/>
      </w:pPr>
      <w:r>
        <w:rPr>
          <w:rFonts w:ascii="Calibri" w:hAnsi="Calibri"/>
          <w:color w:val="2A3730"/>
          <w:sz w:val="21"/>
        </w:rPr>
        <w:t xml:space="preserve"> Broiler growth is not linear.</w:t>
      </w:r>
    </w:p>
    <w:p>
      <w:pPr>
        <w:pStyle w:val="ListBullet"/>
      </w:pPr>
      <w:r>
        <w:rPr>
          <w:rFonts w:ascii="Calibri" w:hAnsi="Calibri"/>
          <w:color w:val="2A3730"/>
          <w:sz w:val="21"/>
        </w:rPr>
        <w:t xml:space="preserve"> That conversion would create an artificial label.</w:t>
      </w:r>
    </w:p>
    <w:p>
      <w:pPr>
        <w:pStyle w:val="ListBullet"/>
      </w:pPr>
      <w:r>
        <w:rPr>
          <w:rFonts w:ascii="Calibri" w:hAnsi="Calibri"/>
          <w:color w:val="2A3730"/>
          <w:sz w:val="21"/>
        </w:rPr>
        <w:t xml:space="preserve"> Canary uses actual recorded Day 35 weights instead.</w:t>
      </w:r>
    </w:p>
    <w:p>
      <w:pPr>
        <w:pStyle w:val="Heading3"/>
      </w:pPr>
      <w:r>
        <w:t>“Why split validation by cycle?”</w:t>
      </w:r>
    </w:p>
    <w:p>
      <w:pPr>
        <w:pStyle w:val="ListBullet"/>
      </w:pPr>
      <w:r>
        <w:rPr>
          <w:rFonts w:ascii="Calibri" w:hAnsi="Calibri"/>
          <w:color w:val="2A3730"/>
          <w:sz w:val="21"/>
        </w:rPr>
        <w:t xml:space="preserve"> Daily rows from one flock are highly related.</w:t>
      </w:r>
    </w:p>
    <w:p>
      <w:pPr>
        <w:pStyle w:val="ListBullet"/>
      </w:pPr>
      <w:r>
        <w:rPr>
          <w:rFonts w:ascii="Calibri" w:hAnsi="Calibri"/>
          <w:color w:val="2A3730"/>
          <w:sz w:val="21"/>
        </w:rPr>
        <w:t xml:space="preserve"> Randomly splitting daily rows would leak flock information and exaggerate accuracy.</w:t>
      </w:r>
    </w:p>
    <w:p>
      <w:pPr>
        <w:pStyle w:val="ListBullet"/>
      </w:pPr>
      <w:r>
        <w:rPr>
          <w:rFonts w:ascii="Calibri" w:hAnsi="Calibri"/>
          <w:color w:val="2A3730"/>
          <w:sz w:val="21"/>
        </w:rPr>
        <w:t xml:space="preserve"> Holding out complete cycles better represents future use.</w:t>
      </w:r>
    </w:p>
    <w:p>
      <w:pPr>
        <w:pStyle w:val="Heading3"/>
      </w:pPr>
      <w:r>
        <w:t>“Why choose a simple model?”</w:t>
      </w:r>
    </w:p>
    <w:p>
      <w:pPr>
        <w:pStyle w:val="ListBullet"/>
      </w:pPr>
      <w:r>
        <w:rPr>
          <w:rFonts w:ascii="Calibri" w:hAnsi="Calibri"/>
          <w:color w:val="2A3730"/>
          <w:sz w:val="21"/>
        </w:rPr>
        <w:t xml:space="preserve"> The dataset is small.</w:t>
      </w:r>
    </w:p>
    <w:p>
      <w:pPr>
        <w:pStyle w:val="ListBullet"/>
      </w:pPr>
      <w:r>
        <w:rPr>
          <w:rFonts w:ascii="Calibri" w:hAnsi="Calibri"/>
          <w:color w:val="2A3730"/>
          <w:sz w:val="21"/>
        </w:rPr>
        <w:t xml:space="preserve"> Complex models can overfit.</w:t>
      </w:r>
    </w:p>
    <w:p>
      <w:pPr>
        <w:pStyle w:val="ListBullet"/>
      </w:pPr>
      <w:r>
        <w:rPr>
          <w:rFonts w:ascii="Calibri" w:hAnsi="Calibri"/>
          <w:color w:val="2A3730"/>
          <w:sz w:val="21"/>
        </w:rPr>
        <w:t xml:space="preserve"> Canary selects the simplest candidate within 5% of the best cycle-balanced error.</w:t>
      </w:r>
    </w:p>
    <w:p>
      <w:pPr>
        <w:pStyle w:val="Heading3"/>
      </w:pPr>
      <w:r>
        <w:t>“Is feature importance causal?”</w:t>
      </w:r>
    </w:p>
    <w:p>
      <w:pPr>
        <w:pStyle w:val="ListBullet"/>
      </w:pPr>
      <w:r>
        <w:rPr>
          <w:rFonts w:ascii="Calibri" w:hAnsi="Calibri"/>
          <w:color w:val="2A3730"/>
          <w:sz w:val="21"/>
        </w:rPr>
        <w:t xml:space="preserve"> No. It shows what the fitted model relied on.</w:t>
      </w:r>
    </w:p>
    <w:p>
      <w:pPr>
        <w:pStyle w:val="ListBullet"/>
      </w:pPr>
      <w:r>
        <w:rPr>
          <w:rFonts w:ascii="Calibri" w:hAnsi="Calibri"/>
          <w:color w:val="2A3730"/>
          <w:sz w:val="21"/>
        </w:rPr>
        <w:t xml:space="preserve"> A farm intervention still requires operational verification and expert judgment.</w:t>
      </w:r>
    </w:p>
    <w:p>
      <w:pPr>
        <w:pStyle w:val="Heading3"/>
      </w:pPr>
      <w:r>
        <w:t>“Can Canary diagnose disease or prescribe treatment?”</w:t>
      </w:r>
    </w:p>
    <w:p>
      <w:pPr>
        <w:pStyle w:val="ListBullet"/>
      </w:pPr>
      <w:r>
        <w:rPr>
          <w:rFonts w:ascii="Calibri" w:hAnsi="Calibri"/>
          <w:color w:val="2A3730"/>
          <w:sz w:val="21"/>
        </w:rPr>
        <w:t xml:space="preserve"> No. It supports inspection, escalation, and management decisions.</w:t>
      </w:r>
    </w:p>
    <w:p>
      <w:pPr>
        <w:pStyle w:val="ListBullet"/>
      </w:pPr>
      <w:r>
        <w:rPr>
          <w:rFonts w:ascii="Calibri" w:hAnsi="Calibri"/>
          <w:color w:val="2A3730"/>
          <w:sz w:val="21"/>
        </w:rPr>
        <w:t xml:space="preserve"> Veterinary diagnosis and treatment remain outside scope.</w:t>
      </w:r>
    </w:p>
    <w:p>
      <w:pPr>
        <w:pStyle w:val="Heading3"/>
      </w:pPr>
      <w:r>
        <w:t>“What is the biggest model limitation?”</w:t>
      </w:r>
    </w:p>
    <w:p>
      <w:pPr>
        <w:pStyle w:val="ListBullet"/>
      </w:pPr>
      <w:r>
        <w:rPr>
          <w:rFonts w:ascii="Calibri" w:hAnsi="Calibri"/>
          <w:color w:val="2A3730"/>
          <w:sz w:val="21"/>
        </w:rPr>
        <w:t xml:space="preserve"> Recovery uses only 25 distinct building outcomes and a last-recorded recovery proxy.</w:t>
      </w:r>
    </w:p>
    <w:p>
      <w:pPr>
        <w:pStyle w:val="ListBullet"/>
      </w:pPr>
      <w:r>
        <w:rPr>
          <w:rFonts w:ascii="Calibri" w:hAnsi="Calibri"/>
          <w:color w:val="2A3730"/>
          <w:sz w:val="21"/>
        </w:rPr>
        <w:t xml:space="preserve"> Weight uses 19 Day 35 outcomes, all below 2,000 g.</w:t>
      </w:r>
    </w:p>
    <w:p>
      <w:pPr>
        <w:pStyle w:val="ListBullet"/>
      </w:pPr>
      <w:r>
        <w:rPr>
          <w:rFonts w:ascii="Calibri" w:hAnsi="Calibri"/>
          <w:color w:val="2A3730"/>
          <w:sz w:val="21"/>
        </w:rPr>
        <w:t xml:space="preserve"> More standardized completed cycles are needed.</w:t>
      </w:r>
    </w:p>
    <w:p>
      <w:pPr>
        <w:pStyle w:val="Heading3"/>
      </w:pPr>
      <w:r>
        <w:t>“Is Canary production-ready?”</w:t>
      </w:r>
    </w:p>
    <w:p>
      <w:pPr>
        <w:pStyle w:val="ListBullet"/>
      </w:pPr>
      <w:r>
        <w:rPr>
          <w:rFonts w:ascii="Calibri" w:hAnsi="Calibri"/>
          <w:color w:val="2A3730"/>
          <w:sz w:val="21"/>
        </w:rPr>
        <w:t xml:space="preserve"> It is capstone-ready as a local prototype with transparent limitations.</w:t>
      </w:r>
    </w:p>
    <w:p>
      <w:pPr>
        <w:pStyle w:val="ListBullet"/>
      </w:pPr>
      <w:r>
        <w:rPr>
          <w:rFonts w:ascii="Calibri" w:hAnsi="Calibri"/>
          <w:color w:val="2A3730"/>
          <w:sz w:val="21"/>
        </w:rPr>
        <w:t xml:space="preserve"> It is not yet a validated production control system.</w:t>
      </w:r>
    </w:p>
    <w:p>
      <w:pPr>
        <w:pStyle w:val="Heading1"/>
      </w:pPr>
      <w:r>
        <w:t>12. Three-minute demo path</w:t>
      </w:r>
    </w:p>
    <w:p>
      <w:pPr>
        <w:numPr>
          <w:ilvl w:val="0"/>
          <w:numId w:val="15"/>
        </w:numPr>
        <w:spacing w:before="0" w:after="60" w:line="283" w:lineRule="auto"/>
      </w:pPr>
      <w:r>
        <w:rPr>
          <w:rFonts w:ascii="Calibri" w:hAnsi="Calibri"/>
          <w:b/>
          <w:color w:val="2A3730"/>
          <w:sz w:val="21"/>
        </w:rPr>
        <w:t>Home:</w:t>
      </w:r>
      <w:r>
        <w:rPr>
          <w:rFonts w:ascii="Calibri" w:hAnsi="Calibri"/>
          <w:color w:val="2A3730"/>
          <w:sz w:val="21"/>
        </w:rPr>
        <w:t xml:space="preserve"> explain the two targets and show all six buildings.</w:t>
      </w:r>
    </w:p>
    <w:p>
      <w:pPr>
        <w:numPr>
          <w:ilvl w:val="0"/>
          <w:numId w:val="15"/>
        </w:numPr>
        <w:spacing w:before="0" w:after="60" w:line="283" w:lineRule="auto"/>
      </w:pPr>
      <w:r>
        <w:rPr>
          <w:rFonts w:ascii="Calibri" w:hAnsi="Calibri"/>
          <w:b/>
          <w:color w:val="2A3730"/>
          <w:sz w:val="21"/>
        </w:rPr>
        <w:t>Review first:</w:t>
      </w:r>
      <w:r>
        <w:rPr>
          <w:rFonts w:ascii="Calibri" w:hAnsi="Calibri"/>
          <w:color w:val="2A3730"/>
          <w:sz w:val="21"/>
        </w:rPr>
        <w:t xml:space="preserve"> identify the highest-priority current building.</w:t>
      </w:r>
    </w:p>
    <w:p>
      <w:pPr>
        <w:numPr>
          <w:ilvl w:val="0"/>
          <w:numId w:val="15"/>
        </w:numPr>
        <w:spacing w:before="0" w:after="60" w:line="283" w:lineRule="auto"/>
      </w:pPr>
      <w:r>
        <w:rPr>
          <w:rFonts w:ascii="Calibri" w:hAnsi="Calibri"/>
          <w:b/>
          <w:color w:val="2A3730"/>
          <w:sz w:val="21"/>
        </w:rPr>
        <w:t>Building View:</w:t>
      </w:r>
      <w:r>
        <w:rPr>
          <w:rFonts w:ascii="Calibri" w:hAnsi="Calibri"/>
          <w:color w:val="2A3730"/>
          <w:sz w:val="21"/>
        </w:rPr>
        <w:t xml:space="preserve"> show total risk score and the scored reasons.</w:t>
      </w:r>
    </w:p>
    <w:p>
      <w:pPr>
        <w:numPr>
          <w:ilvl w:val="0"/>
          <w:numId w:val="15"/>
        </w:numPr>
        <w:spacing w:before="0" w:after="60" w:line="283" w:lineRule="auto"/>
      </w:pPr>
      <w:r>
        <w:rPr>
          <w:rFonts w:ascii="Calibri" w:hAnsi="Calibri"/>
          <w:b/>
          <w:color w:val="2A3730"/>
          <w:sz w:val="21"/>
        </w:rPr>
        <w:t>Most actionable signal:</w:t>
      </w:r>
      <w:r>
        <w:rPr>
          <w:rFonts w:ascii="Calibri" w:hAnsi="Calibri"/>
          <w:color w:val="2A3730"/>
          <w:sz w:val="21"/>
        </w:rPr>
        <w:t xml:space="preserve"> show the current temperature, humidity, feed, or mortality gap and the target-based next check.</w:t>
      </w:r>
    </w:p>
    <w:p>
      <w:pPr>
        <w:numPr>
          <w:ilvl w:val="0"/>
          <w:numId w:val="15"/>
        </w:numPr>
        <w:spacing w:before="0" w:after="60" w:line="283" w:lineRule="auto"/>
      </w:pPr>
      <w:r>
        <w:rPr>
          <w:rFonts w:ascii="Calibri" w:hAnsi="Calibri"/>
          <w:b/>
          <w:color w:val="2A3730"/>
          <w:sz w:val="21"/>
        </w:rPr>
        <w:t>Forecasts:</w:t>
      </w:r>
      <w:r>
        <w:rPr>
          <w:rFonts w:ascii="Calibri" w:hAnsi="Calibri"/>
          <w:color w:val="2A3730"/>
          <w:sz w:val="21"/>
        </w:rPr>
        <w:t xml:space="preserve"> compare current recorded state with predicted recovery and projected Day 35 weight.</w:t>
      </w:r>
    </w:p>
    <w:p>
      <w:pPr>
        <w:numPr>
          <w:ilvl w:val="0"/>
          <w:numId w:val="15"/>
        </w:numPr>
        <w:spacing w:before="0" w:after="60" w:line="283" w:lineRule="auto"/>
      </w:pPr>
      <w:r>
        <w:rPr>
          <w:rFonts w:ascii="Calibri" w:hAnsi="Calibri"/>
          <w:b/>
          <w:color w:val="2A3730"/>
          <w:sz w:val="21"/>
        </w:rPr>
        <w:t>Drivers:</w:t>
      </w:r>
      <w:r>
        <w:rPr>
          <w:rFonts w:ascii="Calibri" w:hAnsi="Calibri"/>
          <w:color w:val="2A3730"/>
          <w:sz w:val="21"/>
        </w:rPr>
        <w:t xml:space="preserve"> show the five strongest recovery-model contributions and the two direct weight drivers.</w:t>
      </w:r>
    </w:p>
    <w:p>
      <w:pPr>
        <w:numPr>
          <w:ilvl w:val="0"/>
          <w:numId w:val="15"/>
        </w:numPr>
        <w:spacing w:before="0" w:after="60" w:line="283" w:lineRule="auto"/>
      </w:pPr>
      <w:r>
        <w:rPr>
          <w:rFonts w:ascii="Calibri" w:hAnsi="Calibri"/>
          <w:b/>
          <w:color w:val="2A3730"/>
          <w:sz w:val="21"/>
        </w:rPr>
        <w:t>Recommendation:</w:t>
      </w:r>
      <w:r>
        <w:rPr>
          <w:rFonts w:ascii="Calibri" w:hAnsi="Calibri"/>
          <w:color w:val="2A3730"/>
          <w:sz w:val="21"/>
        </w:rPr>
        <w:t xml:space="preserve"> show urgency, inspection focus, escalation trigger, and rule ID.</w:t>
      </w:r>
    </w:p>
    <w:p>
      <w:pPr>
        <w:numPr>
          <w:ilvl w:val="0"/>
          <w:numId w:val="15"/>
        </w:numPr>
        <w:spacing w:before="0" w:after="60" w:line="283" w:lineRule="auto"/>
      </w:pPr>
      <w:r>
        <w:rPr>
          <w:rFonts w:ascii="Calibri" w:hAnsi="Calibri"/>
          <w:b/>
          <w:color w:val="2A3730"/>
          <w:sz w:val="21"/>
        </w:rPr>
        <w:t>Completed cycle:</w:t>
      </w:r>
      <w:r>
        <w:rPr>
          <w:rFonts w:ascii="Calibri" w:hAnsi="Calibri"/>
          <w:color w:val="2A3730"/>
          <w:sz w:val="21"/>
        </w:rPr>
        <w:t xml:space="preserve"> show a Day 14 prediction-versus-actual backtest.</w:t>
      </w:r>
    </w:p>
    <w:p>
      <w:pPr>
        <w:numPr>
          <w:ilvl w:val="0"/>
          <w:numId w:val="15"/>
        </w:numPr>
        <w:spacing w:before="0" w:after="60" w:line="283" w:lineRule="auto"/>
      </w:pPr>
      <w:r>
        <w:rPr>
          <w:rFonts w:ascii="Calibri" w:hAnsi="Calibri"/>
          <w:b/>
          <w:color w:val="2A3730"/>
          <w:sz w:val="21"/>
        </w:rPr>
        <w:t>Methodology:</w:t>
      </w:r>
      <w:r>
        <w:rPr>
          <w:rFonts w:ascii="Calibri" w:hAnsi="Calibri"/>
          <w:color w:val="2A3730"/>
          <w:sz w:val="21"/>
        </w:rPr>
        <w:t xml:space="preserve"> show candidate-model comparison, held-out performance, and limitations.</w:t>
      </w:r>
    </w:p>
    <w:p>
      <w:pPr>
        <w:pStyle w:val="Heading1"/>
      </w:pPr>
      <w:r>
        <w:t>13. What is capstone-ready versus future work?</w:t>
      </w:r>
    </w:p>
    <w:p>
      <w:pPr>
        <w:pStyle w:val="Heading3"/>
      </w:pPr>
      <w:r>
        <w:t>Capstone-ready</w:t>
      </w:r>
    </w:p>
    <w:p>
      <w:pPr>
        <w:pStyle w:val="ListBullet"/>
      </w:pPr>
      <w:r>
        <w:rPr>
          <w:rFonts w:ascii="Calibri" w:hAnsi="Calibri"/>
          <w:color w:val="2A3730"/>
          <w:sz w:val="21"/>
        </w:rPr>
        <w:t xml:space="preserve"> Standardized building-day dataset.</w:t>
      </w:r>
    </w:p>
    <w:p>
      <w:pPr>
        <w:pStyle w:val="ListBullet"/>
      </w:pPr>
      <w:r>
        <w:rPr>
          <w:rFonts w:ascii="Calibri" w:hAnsi="Calibri"/>
          <w:color w:val="2A3730"/>
          <w:sz w:val="21"/>
        </w:rPr>
        <w:t xml:space="preserve"> Six-building decision dashboard.</w:t>
      </w:r>
    </w:p>
    <w:p>
      <w:pPr>
        <w:pStyle w:val="ListBullet"/>
      </w:pPr>
      <w:r>
        <w:rPr>
          <w:rFonts w:ascii="Calibri" w:hAnsi="Calibri"/>
          <w:color w:val="2A3730"/>
          <w:sz w:val="21"/>
        </w:rPr>
        <w:t xml:space="preserve"> Explainable 0–12 risk score.</w:t>
      </w:r>
    </w:p>
    <w:p>
      <w:pPr>
        <w:pStyle w:val="ListBullet"/>
      </w:pPr>
      <w:r>
        <w:rPr>
          <w:rFonts w:ascii="Calibri" w:hAnsi="Calibri"/>
          <w:color w:val="2A3730"/>
          <w:sz w:val="21"/>
        </w:rPr>
        <w:t xml:space="preserve"> Separate recovery and Day 35 weight outlooks.</w:t>
      </w:r>
    </w:p>
    <w:p>
      <w:pPr>
        <w:pStyle w:val="ListBullet"/>
      </w:pPr>
      <w:r>
        <w:rPr>
          <w:rFonts w:ascii="Calibri" w:hAnsi="Calibri"/>
          <w:color w:val="2A3730"/>
          <w:sz w:val="21"/>
        </w:rPr>
        <w:t xml:space="preserve"> Cycle-held-out model evaluation.</w:t>
      </w:r>
    </w:p>
    <w:p>
      <w:pPr>
        <w:pStyle w:val="ListBullet"/>
      </w:pPr>
      <w:r>
        <w:rPr>
          <w:rFonts w:ascii="Calibri" w:hAnsi="Calibri"/>
          <w:color w:val="2A3730"/>
          <w:sz w:val="21"/>
        </w:rPr>
        <w:t xml:space="preserve"> Global and building-specific model-driver explanations.</w:t>
      </w:r>
    </w:p>
    <w:p>
      <w:pPr>
        <w:pStyle w:val="ListBullet"/>
      </w:pPr>
      <w:r>
        <w:rPr>
          <w:rFonts w:ascii="Calibri" w:hAnsi="Calibri"/>
          <w:color w:val="2A3730"/>
          <w:sz w:val="21"/>
        </w:rPr>
        <w:t xml:space="preserve"> Deterministic recommendation playbook.</w:t>
      </w:r>
    </w:p>
    <w:p>
      <w:pPr>
        <w:pStyle w:val="ListBullet"/>
      </w:pPr>
      <w:r>
        <w:rPr>
          <w:rFonts w:ascii="Calibri" w:hAnsi="Calibri"/>
          <w:color w:val="2A3730"/>
          <w:sz w:val="21"/>
        </w:rPr>
        <w:t xml:space="preserve"> Historical Day 14 backtests.</w:t>
      </w:r>
    </w:p>
    <w:p>
      <w:pPr>
        <w:pStyle w:val="ListBullet"/>
      </w:pPr>
      <w:r>
        <w:rPr>
          <w:rFonts w:ascii="Calibri" w:hAnsi="Calibri"/>
          <w:color w:val="2A3730"/>
          <w:sz w:val="21"/>
        </w:rPr>
        <w:t xml:space="preserve"> Business-value scenario estimator.</w:t>
      </w:r>
    </w:p>
    <w:p>
      <w:pPr>
        <w:pStyle w:val="Heading3"/>
      </w:pPr>
      <w:r>
        <w:t>Future improvements</w:t>
      </w:r>
    </w:p>
    <w:p>
      <w:pPr>
        <w:pStyle w:val="ListBullet"/>
      </w:pPr>
      <w:r>
        <w:rPr>
          <w:rFonts w:ascii="Calibri" w:hAnsi="Calibri"/>
          <w:color w:val="2A3730"/>
          <w:sz w:val="21"/>
        </w:rPr>
        <w:t xml:space="preserve"> Verified harvest-event flag.</w:t>
      </w:r>
    </w:p>
    <w:p>
      <w:pPr>
        <w:pStyle w:val="ListBullet"/>
      </w:pPr>
      <w:r>
        <w:rPr>
          <w:rFonts w:ascii="Calibri" w:hAnsi="Calibri"/>
          <w:color w:val="2A3730"/>
          <w:sz w:val="21"/>
        </w:rPr>
        <w:t xml:space="preserve"> More Day 14 and Day 35 weights across cycles.</w:t>
      </w:r>
    </w:p>
    <w:p>
      <w:pPr>
        <w:pStyle w:val="ListBullet"/>
      </w:pPr>
      <w:r>
        <w:rPr>
          <w:rFonts w:ascii="Calibri" w:hAnsi="Calibri"/>
          <w:color w:val="2A3730"/>
          <w:sz w:val="21"/>
        </w:rPr>
        <w:t xml:space="preserve"> More examples that achieve 2,000 g and 95%.</w:t>
      </w:r>
    </w:p>
    <w:p>
      <w:pPr>
        <w:pStyle w:val="ListBullet"/>
      </w:pPr>
      <w:r>
        <w:rPr>
          <w:rFonts w:ascii="Calibri" w:hAnsi="Calibri"/>
          <w:color w:val="2A3730"/>
          <w:sz w:val="21"/>
        </w:rPr>
        <w:t xml:space="preserve"> Reliable daily water intake.</w:t>
      </w:r>
    </w:p>
    <w:p>
      <w:pPr>
        <w:pStyle w:val="ListBullet"/>
      </w:pPr>
      <w:r>
        <w:rPr>
          <w:rFonts w:ascii="Calibri" w:hAnsi="Calibri"/>
          <w:color w:val="2A3730"/>
          <w:sz w:val="21"/>
        </w:rPr>
        <w:t xml:space="preserve"> Farm-approved environmental and THI thresholds.</w:t>
      </w:r>
    </w:p>
    <w:p>
      <w:pPr>
        <w:pStyle w:val="ListBullet"/>
      </w:pPr>
      <w:r>
        <w:rPr>
          <w:rFonts w:ascii="Calibri" w:hAnsi="Calibri"/>
          <w:color w:val="2A3730"/>
          <w:sz w:val="21"/>
        </w:rPr>
        <w:t xml:space="preserve"> Prospective validation on new cycles.</w:t>
      </w:r>
    </w:p>
    <w:p>
      <w:pPr>
        <w:pStyle w:val="ListBullet"/>
      </w:pPr>
      <w:r>
        <w:rPr>
          <w:rFonts w:ascii="Calibri" w:hAnsi="Calibri"/>
          <w:color w:val="2A3730"/>
          <w:sz w:val="21"/>
        </w:rPr>
        <w:t xml:space="preserve"> Measurement of intervention effectiveness and net profit.</w:t>
      </w:r>
    </w:p>
    <w:p>
      <w:pPr>
        <w:pStyle w:val="ListBullet"/>
      </w:pPr>
      <w:r>
        <w:rPr>
          <w:rFonts w:ascii="Calibri" w:hAnsi="Calibri"/>
          <w:color w:val="2A3730"/>
          <w:sz w:val="21"/>
        </w:rPr>
        <w:t xml:space="preserve"> Live integrations, authentication, and production deployment.</w:t>
      </w:r>
    </w:p>
    <w:p>
      <w:pPr>
        <w:pStyle w:val="Heading1"/>
      </w:pPr>
      <w:r>
        <w:t>14. Final defense posture</w:t>
      </w:r>
    </w:p>
    <w:p>
      <w:pPr>
        <w:spacing w:before="0" w:after="120" w:line="288" w:lineRule="auto"/>
      </w:pPr>
      <w:r>
        <w:rPr>
          <w:rFonts w:ascii="Calibri" w:hAnsi="Calibri"/>
          <w:b/>
          <w:color w:val="2A3730"/>
          <w:sz w:val="21"/>
        </w:rPr>
        <w:t>Strongest claim</w:t>
      </w:r>
    </w:p>
    <w:tbl>
      <w:tblPr>
        <w:tblW w:type="dxa" w:w="9360"/>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2F8D9"/>
          </w:tcPr>
          <w:p>
            <w:pPr>
              <w:spacing w:before="0" w:after="0" w:line="300" w:lineRule="auto"/>
            </w:pPr>
            <w:r>
              <w:rPr>
                <w:rFonts w:ascii="Calibri" w:hAnsi="Calibri"/>
                <w:color w:val="173F31"/>
                <w:sz w:val="21"/>
              </w:rPr>
              <w:t>Canary turns daily farm records into a consistent, explainable workflow for prioritizing buildings, estimating two important outcomes, and deciding what management should inspect next.</w:t>
            </w:r>
          </w:p>
        </w:tc>
      </w:tr>
    </w:tbl>
    <w:p>
      <w:pPr>
        <w:spacing w:after="40"/>
      </w:pPr>
    </w:p>
    <w:p>
      <w:pPr>
        <w:spacing w:before="0" w:after="120" w:line="288" w:lineRule="auto"/>
      </w:pPr>
      <w:r>
        <w:rPr>
          <w:rFonts w:ascii="Calibri" w:hAnsi="Calibri"/>
          <w:b/>
          <w:color w:val="2A3730"/>
          <w:sz w:val="21"/>
        </w:rPr>
        <w:t>Claims to avoid</w:t>
      </w:r>
    </w:p>
    <w:p>
      <w:pPr>
        <w:pStyle w:val="ListBullet"/>
      </w:pPr>
      <w:r>
        <w:rPr>
          <w:rFonts w:ascii="Calibri" w:hAnsi="Calibri"/>
          <w:color w:val="2A3730"/>
          <w:sz w:val="21"/>
        </w:rPr>
        <w:t xml:space="preserve"> “Canary proves what caused the problem.”</w:t>
      </w:r>
    </w:p>
    <w:p>
      <w:pPr>
        <w:pStyle w:val="ListBullet"/>
      </w:pPr>
      <w:r>
        <w:rPr>
          <w:rFonts w:ascii="Calibri" w:hAnsi="Calibri"/>
          <w:color w:val="2A3730"/>
          <w:sz w:val="21"/>
        </w:rPr>
        <w:t xml:space="preserve"> “Canary guarantees the flock will hit or miss the target.”</w:t>
      </w:r>
    </w:p>
    <w:p>
      <w:pPr>
        <w:pStyle w:val="ListBullet"/>
      </w:pPr>
      <w:r>
        <w:rPr>
          <w:rFonts w:ascii="Calibri" w:hAnsi="Calibri"/>
          <w:color w:val="2A3730"/>
          <w:sz w:val="21"/>
        </w:rPr>
        <w:t xml:space="preserve"> “The risk score is the probability of missing the target.”</w:t>
      </w:r>
    </w:p>
    <w:p>
      <w:pPr>
        <w:pStyle w:val="ListBullet"/>
      </w:pPr>
      <w:r>
        <w:rPr>
          <w:rFonts w:ascii="Calibri" w:hAnsi="Calibri"/>
          <w:color w:val="2A3730"/>
          <w:sz w:val="21"/>
        </w:rPr>
        <w:t xml:space="preserve"> “The recommendations have proven causal financial impact.”</w:t>
      </w:r>
    </w:p>
    <w:p>
      <w:pPr>
        <w:spacing w:before="0" w:after="120" w:line="288" w:lineRule="auto"/>
      </w:pPr>
      <w:r>
        <w:rPr>
          <w:rFonts w:ascii="Calibri" w:hAnsi="Calibri"/>
          <w:b/>
          <w:color w:val="2A3730"/>
          <w:sz w:val="21"/>
        </w:rPr>
        <w:t>Best closing line</w:t>
      </w:r>
    </w:p>
    <w:tbl>
      <w:tblPr>
        <w:tblW w:type="dxa" w:w="9360"/>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2F8D9"/>
          </w:tcPr>
          <w:p>
            <w:pPr>
              <w:spacing w:before="0" w:after="0" w:line="300" w:lineRule="auto"/>
            </w:pPr>
            <w:r>
              <w:rPr>
                <w:rFonts w:ascii="Calibri" w:hAnsi="Calibri"/>
                <w:color w:val="173F31"/>
                <w:sz w:val="21"/>
              </w:rPr>
              <w:t>The capstone demonstrates a defensible decision-support prototype: transparent where the rules are expert-defined, quantitative where historical validation is possible, and explicit where more farm data or expert approval is still needed.</w:t>
            </w:r>
          </w:p>
        </w:tc>
      </w:tr>
    </w:tbl>
    <w:p>
      <w:pPr>
        <w:spacing w:after="40"/>
      </w:pPr>
    </w:p>
    <w:sectPr w:rsidR="00FC693F" w:rsidRPr="0006063C" w:rsidSect="00034616">
      <w:headerReference w:type="default" r:id="rId9"/>
      <w:footerReference w:type="default" r:id="rId10"/>
      <w:pgSz w:w="12240" w:h="15840"/>
      <w:pgMar w:top="1037" w:right="1181" w:bottom="1037" w:left="1181"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07069"/>
        <w:sz w:val="17"/>
      </w:rPr>
      <w:t xml:space="preserve">Project Canary · Defense Cheat Sheet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173F31"/>
        <w:sz w:val="17"/>
      </w:rPr>
      <w:t>PROJECT CANARY  ·  CAPSTONE DEFENSE REFERENCE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lvlJc w:val="left"/>
      <w:suff w:val="space"/>
      <w:pPr>
        <w:ind w:left="540" w:hanging="270"/>
      </w:pPr>
    </w:lvl>
  </w:abstractNum>
  <w:num w:numId="10">
    <w:abstractNumId w:val="9"/>
  </w:num>
  <w:abstractNum w:abstractNumId="10">
    <w:multiLevelType w:val="singleLevel"/>
    <w:lvl w:ilvl="0">
      <w:start w:val="1"/>
      <w:numFmt w:val="decimal"/>
      <w:lvlText w:val="%1."/>
      <w:lvlJc w:val="left"/>
      <w:suff w:val="space"/>
      <w:pPr>
        <w:ind w:left="540" w:hanging="270"/>
      </w:pPr>
    </w:lvl>
  </w:abstractNum>
  <w:num w:numId="11">
    <w:abstractNumId w:val="10"/>
  </w:num>
  <w:abstractNum w:abstractNumId="11">
    <w:multiLevelType w:val="singleLevel"/>
    <w:lvl w:ilvl="0">
      <w:start w:val="1"/>
      <w:numFmt w:val="decimal"/>
      <w:lvlText w:val="%1."/>
      <w:lvlJc w:val="left"/>
      <w:suff w:val="space"/>
      <w:pPr>
        <w:ind w:left="540" w:hanging="270"/>
      </w:pPr>
    </w:lvl>
  </w:abstractNum>
  <w:num w:numId="12">
    <w:abstractNumId w:val="11"/>
  </w:num>
  <w:abstractNum w:abstractNumId="12">
    <w:multiLevelType w:val="singleLevel"/>
    <w:lvl w:ilvl="0">
      <w:start w:val="1"/>
      <w:numFmt w:val="decimal"/>
      <w:lvlText w:val="%1."/>
      <w:lvlJc w:val="left"/>
      <w:suff w:val="space"/>
      <w:pPr>
        <w:ind w:left="540" w:hanging="270"/>
      </w:pPr>
    </w:lvl>
  </w:abstractNum>
  <w:num w:numId="13">
    <w:abstractNumId w:val="12"/>
  </w:num>
  <w:abstractNum w:abstractNumId="13">
    <w:multiLevelType w:val="singleLevel"/>
    <w:lvl w:ilvl="0">
      <w:start w:val="1"/>
      <w:numFmt w:val="decimal"/>
      <w:lvlText w:val="%1."/>
      <w:lvlJc w:val="left"/>
      <w:suff w:val="space"/>
      <w:pPr>
        <w:ind w:left="540" w:hanging="270"/>
      </w:pPr>
    </w:lvl>
  </w:abstractNum>
  <w:num w:numId="14">
    <w:abstractNumId w:val="13"/>
  </w:num>
  <w:abstractNum w:abstractNumId="14">
    <w:multiLevelType w:val="singleLevel"/>
    <w:lvl w:ilvl="0">
      <w:start w:val="1"/>
      <w:numFmt w:val="decimal"/>
      <w:lvlText w:val="%1."/>
      <w:lvlJc w:val="left"/>
      <w:suff w:val="space"/>
      <w:pPr>
        <w:ind w:left="540" w:hanging="270"/>
      </w:pPr>
    </w:lvl>
  </w:abstract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Calibri" w:hAnsi="Calibri"/>
      <w:color w:val="2A37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Calibri" w:hAnsi="Calibri"/>
      <w:b/>
      <w:bCs/>
      <w:color w:val="173F31"/>
      <w:sz w:val="32"/>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286245"/>
      <w:sz w:val="26"/>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libri" w:hAnsi="Calibri"/>
      <w:b/>
      <w:bCs/>
      <w:color w:val="173F3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83" w:lineRule="auto"/>
      <w:ind w:left="540" w:hanging="271"/>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83" w:lineRule="auto"/>
      <w:ind w:left="540" w:hanging="271"/>
      <w:contextualSpacing/>
    </w:pPr>
    <w:rPr>
      <w:rFonts w:ascii="Calibri" w:hAnsi="Calibr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