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200" w:line="264" w:lineRule="auto"/>
      </w:pPr>
    </w:p>
    <w:p>
      <w:pPr>
        <w:keepNext w:val="0"/>
        <w:keepLines w:val="0"/>
        <w:spacing w:before="0" w:after="200" w:line="264" w:lineRule="auto"/>
      </w:pPr>
    </w:p>
    <w:p>
      <w:pPr>
        <w:keepNext w:val="0"/>
        <w:keepLines w:val="0"/>
        <w:spacing w:before="0" w:after="200" w:line="264" w:lineRule="auto"/>
      </w:pPr>
    </w:p>
    <w:p>
      <w:pPr>
        <w:keepNext w:val="0"/>
        <w:keepLines w:val="0"/>
        <w:spacing w:before="0" w:after="280" w:line="264" w:lineRule="auto"/>
        <w:jc w:val="center"/>
      </w:pPr>
      <w:r>
        <w:rPr>
          <w:rFonts w:ascii="Calibri" w:hAnsi="Calibri"/>
          <w:b/>
          <w:i w:val="0"/>
          <w:color w:val="96BE2B"/>
          <w:sz w:val="19"/>
        </w:rPr>
        <w:t>CAPSTONE MODEL EXPLAINER</w:t>
      </w:r>
    </w:p>
    <w:p>
      <w:pPr>
        <w:keepNext w:val="0"/>
        <w:keepLines w:val="0"/>
        <w:spacing w:before="0" w:after="160" w:line="240" w:lineRule="auto"/>
        <w:jc w:val="center"/>
      </w:pPr>
      <w:r>
        <w:rPr>
          <w:rFonts w:ascii="Calibri" w:hAnsi="Calibri"/>
          <w:b/>
          <w:i w:val="0"/>
          <w:color w:val="173F31"/>
          <w:sz w:val="62"/>
        </w:rPr>
        <w:t>Project Canary</w:t>
      </w:r>
    </w:p>
    <w:p>
      <w:pPr>
        <w:keepNext w:val="0"/>
        <w:keepLines w:val="0"/>
        <w:spacing w:before="0" w:after="120" w:line="264" w:lineRule="auto"/>
        <w:jc w:val="center"/>
      </w:pPr>
      <w:r>
        <w:rPr>
          <w:rFonts w:ascii="Calibri" w:hAnsi="Calibri"/>
          <w:b/>
          <w:i w:val="0"/>
          <w:color w:val="286245"/>
          <w:sz w:val="38"/>
        </w:rPr>
        <w:t>Three-Model Explainer</w:t>
      </w:r>
    </w:p>
    <w:p>
      <w:pPr>
        <w:keepNext w:val="0"/>
        <w:keepLines w:val="0"/>
        <w:spacing w:before="0" w:after="600" w:line="264" w:lineRule="auto"/>
        <w:jc w:val="center"/>
      </w:pPr>
      <w:r>
        <w:rPr>
          <w:rFonts w:ascii="Calibri" w:hAnsi="Calibri"/>
          <w:b w:val="0"/>
          <w:i/>
          <w:color w:val="5C6963"/>
          <w:sz w:val="25"/>
        </w:rPr>
        <w:t>Two business outcomes. Three model engines. One traceable decision-support story.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F6F9E8"/>
          </w:tcPr>
          <w:p>
            <w:pPr>
              <w:keepNext w:val="0"/>
              <w:keepLines w:val="0"/>
              <w:spacing w:before="0" w:after="20" w:line="264" w:lineRule="auto"/>
            </w:pPr>
            <w:r>
              <w:rPr>
                <w:rFonts w:ascii="Calibri" w:hAnsi="Calibri"/>
                <w:b/>
                <w:i w:val="0"/>
                <w:color w:val="173F31"/>
                <w:sz w:val="21"/>
              </w:rPr>
              <w:t xml:space="preserve">In one sentence: </w:t>
            </w:r>
            <w:r>
              <w:rPr>
                <w:rFonts w:ascii="Calibri" w:hAnsi="Calibri"/>
                <w:b w:val="0"/>
                <w:i w:val="0"/>
                <w:color w:val="26302B"/>
                <w:sz w:val="21"/>
              </w:rPr>
              <w:t>Canary estimates the end-of-cycle recovery proxy and Day 35 bodyweight so farm management can see developing risk earlier, investigate sooner, and keep every forecast separate from the rules-based risk score.</w:t>
            </w:r>
          </w:p>
        </w:tc>
      </w:tr>
    </w:tbl>
    <w:p>
      <w:pPr>
        <w:keepNext w:val="0"/>
        <w:keepLines w:val="0"/>
        <w:spacing w:before="0" w:after="40" w:line="264" w:lineRule="auto"/>
      </w:pPr>
    </w:p>
    <w:p>
      <w:pPr>
        <w:keepNext w:val="0"/>
        <w:keepLines w:val="0"/>
        <w:spacing w:before="440" w:after="60" w:line="264" w:lineRule="auto"/>
        <w:jc w:val="center"/>
      </w:pPr>
      <w:r>
        <w:rPr>
          <w:rFonts w:ascii="Calibri" w:hAnsi="Calibri"/>
          <w:b/>
          <w:i w:val="0"/>
          <w:color w:val="173F31"/>
          <w:sz w:val="21"/>
        </w:rPr>
        <w:t>Prepared for JJ Agriventures</w:t>
      </w:r>
    </w:p>
    <w:p>
      <w:pPr>
        <w:keepNext w:val="0"/>
        <w:keepLines w:val="0"/>
        <w:spacing w:before="0" w:after="0" w:line="264" w:lineRule="auto"/>
        <w:jc w:val="center"/>
      </w:pPr>
      <w:r>
        <w:rPr>
          <w:rFonts w:ascii="Calibri" w:hAnsi="Calibri"/>
          <w:b w:val="0"/>
          <w:i w:val="0"/>
          <w:color w:val="5C6963"/>
          <w:sz w:val="19"/>
        </w:rPr>
        <w:t>Pilot-stage model reference · August 2026</w:t>
      </w:r>
    </w:p>
    <w:p>
      <w:pPr>
        <w:sectPr>
          <w:pgSz w:w="12240" w:h="15840"/>
          <w:pgMar w:top="1440" w:right="1440" w:bottom="1440" w:left="1440" w:header="708" w:footer="708" w:gutter="0"/>
          <w:cols w:space="720"/>
          <w:docGrid w:linePitch="360"/>
        </w:sectPr>
      </w:pPr>
    </w:p>
    <w:p>
      <w:pPr>
        <w:keepNext/>
        <w:keepLines w:val="0"/>
        <w:pageBreakBefore w:val="0"/>
        <w:spacing w:before="0" w:after="60" w:line="264" w:lineRule="auto"/>
      </w:pPr>
      <w:r>
        <w:rPr>
          <w:rFonts w:ascii="Calibri" w:hAnsi="Calibri"/>
          <w:b/>
          <w:i w:val="0"/>
          <w:color w:val="96BE2B"/>
          <w:sz w:val="18"/>
        </w:rPr>
        <w:t>EXECUTIVE OVERVIEW</w:t>
      </w:r>
    </w:p>
    <w:p>
      <w:pPr>
        <w:pStyle w:val="Heading1"/>
        <w:keepNext/>
      </w:pPr>
      <w:r>
        <w:t>What Project Canary is trying to do</w:t>
      </w:r>
    </w:p>
    <w:p>
      <w:pPr>
        <w:keepNext w:val="0"/>
        <w:keepLines w:val="0"/>
        <w:spacing w:before="0" w:after="120" w:line="264" w:lineRule="auto"/>
      </w:pPr>
      <w:r>
        <w:rPr>
          <w:rFonts w:ascii="Calibri" w:hAnsi="Calibri"/>
          <w:b w:val="0"/>
          <w:i w:val="0"/>
          <w:color w:val="26302B"/>
          <w:sz w:val="22"/>
        </w:rPr>
        <w:t>Project Canary gives farm management an earlier view of two possible end-of-cycle outcomes: the end-of-cycle recovery proxy and average bodyweight on Day 35. Earlier visibility creates more time to investigate a developing concern. It does not guarantee that production results will improve.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F6F9E8"/>
          </w:tcPr>
          <w:p>
            <w:pPr>
              <w:keepNext w:val="0"/>
              <w:keepLines w:val="0"/>
              <w:spacing w:before="0" w:after="20" w:line="264" w:lineRule="auto"/>
            </w:pPr>
            <w:r>
              <w:rPr>
                <w:rFonts w:ascii="Calibri" w:hAnsi="Calibri"/>
                <w:b/>
                <w:i w:val="0"/>
                <w:color w:val="173F31"/>
                <w:sz w:val="21"/>
              </w:rPr>
              <w:t xml:space="preserve">The key distinction: </w:t>
            </w:r>
            <w:r>
              <w:rPr>
                <w:rFonts w:ascii="Calibri" w:hAnsi="Calibri"/>
                <w:b w:val="0"/>
                <w:i w:val="0"/>
                <w:color w:val="26302B"/>
                <w:sz w:val="21"/>
              </w:rPr>
              <w:t>There are two forecast outcomes, not three. Model 1 handles recovery. Model 3 and the checkpoint model are alternative engines for the same Day 35 bodyweight outcome.</w:t>
            </w:r>
          </w:p>
        </w:tc>
      </w:tr>
    </w:tbl>
    <w:p>
      <w:pPr>
        <w:keepNext w:val="0"/>
        <w:keepLines w:val="0"/>
        <w:spacing w:before="0" w:after="40" w:line="264" w:lineRule="auto"/>
      </w:pPr>
    </w:p>
    <w:p>
      <w:pPr>
        <w:pStyle w:val="Heading2"/>
        <w:keepNext/>
      </w:pPr>
      <w:r>
        <w:t>The three model engines at a glance</w:t>
      </w:r>
    </w:p>
    <w:tbl>
      <w:tblPr>
        <w:tblW w:type="dxa" w:w="9360"/>
        <w:jc w:val="left"/>
        <w:tblLayout w:type="fixed"/>
        <w:tblLook w:firstColumn="1" w:firstRow="1" w:lastColumn="0" w:lastRow="0" w:noHBand="0" w:noVBand="1" w:val="04A0"/>
        <w:tblInd w:w="120" w:type="dxa"/>
      </w:tblPr>
      <w:tblGrid>
        <w:gridCol w:w="1920"/>
        <w:gridCol w:w="2360"/>
        <w:gridCol w:w="1900"/>
        <w:gridCol w:w="3180"/>
      </w:tblGrid>
      <w:tr>
        <w:trPr>
          <w:tblHeader w:val="true"/>
        </w:trPr>
        <w:tc>
          <w:tcPr>
            <w:tcW w:type="dxa" w:w="192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173F31"/>
          </w:tcPr>
          <w:p>
            <w:pPr>
              <w:keepNext w:val="0"/>
              <w:keepLines w:val="0"/>
              <w:spacing w:before="0" w:after="0" w:line="240" w:lineRule="auto"/>
              <w:jc w:val="left"/>
            </w:pPr>
            <w:r>
              <w:rPr>
                <w:rFonts w:ascii="Calibri" w:hAnsi="Calibri"/>
                <w:b/>
                <w:i w:val="0"/>
                <w:color w:val="FFFFFF"/>
                <w:sz w:val="18"/>
              </w:rPr>
              <w:t>Engine</w:t>
            </w:r>
          </w:p>
        </w:tc>
        <w:tc>
          <w:tcPr>
            <w:tcW w:type="dxa" w:w="23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173F31"/>
          </w:tcPr>
          <w:p>
            <w:pPr>
              <w:keepNext w:val="0"/>
              <w:keepLines w:val="0"/>
              <w:spacing w:before="0" w:after="0" w:line="240" w:lineRule="auto"/>
              <w:jc w:val="left"/>
            </w:pPr>
            <w:r>
              <w:rPr>
                <w:rFonts w:ascii="Calibri" w:hAnsi="Calibri"/>
                <w:b/>
                <w:i w:val="0"/>
                <w:color w:val="FFFFFF"/>
                <w:sz w:val="18"/>
              </w:rPr>
              <w:t>Outcome</w:t>
            </w:r>
          </w:p>
        </w:tc>
        <w:tc>
          <w:tcPr>
            <w:tcW w:type="dxa" w:w="190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173F31"/>
          </w:tcPr>
          <w:p>
            <w:pPr>
              <w:keepNext w:val="0"/>
              <w:keepLines w:val="0"/>
              <w:spacing w:before="0" w:after="0" w:line="240" w:lineRule="auto"/>
              <w:jc w:val="left"/>
            </w:pPr>
            <w:r>
              <w:rPr>
                <w:rFonts w:ascii="Calibri" w:hAnsi="Calibri"/>
                <w:b/>
                <w:i w:val="0"/>
                <w:color w:val="FFFFFF"/>
                <w:sz w:val="18"/>
              </w:rPr>
              <w:t>Forecast point</w:t>
            </w:r>
          </w:p>
        </w:tc>
        <w:tc>
          <w:tcPr>
            <w:tcW w:type="dxa" w:w="318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173F31"/>
          </w:tcPr>
          <w:p>
            <w:pPr>
              <w:keepNext w:val="0"/>
              <w:keepLines w:val="0"/>
              <w:spacing w:before="0" w:after="0" w:line="240" w:lineRule="auto"/>
              <w:jc w:val="left"/>
            </w:pPr>
            <w:r>
              <w:rPr>
                <w:rFonts w:ascii="Calibri" w:hAnsi="Calibri"/>
                <w:b/>
                <w:i w:val="0"/>
                <w:color w:val="FFFFFF"/>
                <w:sz w:val="18"/>
              </w:rPr>
              <w:t>Plain-language method</w:t>
            </w:r>
          </w:p>
        </w:tc>
      </w:tr>
      <w:tr>
        <w:trPr>
          <w:cantSplit/>
        </w:trPr>
        <w:tc>
          <w:tcPr>
            <w:tcW w:type="dxa" w:w="1920"/>
            <w:shd w:fill="EDF5F0"/>
          </w:tcPr>
          <w:p>
            <w:pPr>
              <w:keepNext w:val="0"/>
              <w:keepLines w:val="0"/>
              <w:spacing w:before="0" w:after="0" w:line="252" w:lineRule="auto"/>
            </w:pPr>
            <w:r>
              <w:rPr>
                <w:rFonts w:ascii="Calibri" w:hAnsi="Calibri"/>
                <w:b/>
                <w:i w:val="0"/>
                <w:color w:val="173F31"/>
                <w:sz w:val="18"/>
              </w:rPr>
              <w:t>Model 1</w:t>
            </w:r>
            <w:r>
              <w:br/>
            </w:r>
            <w:r>
              <w:rPr>
                <w:rFonts w:ascii="Calibri" w:hAnsi="Calibri"/>
                <w:b w:val="0"/>
                <w:i w:val="0"/>
                <w:color w:val="173F31"/>
                <w:sz w:val="18"/>
              </w:rPr>
              <w:t>Extra Trees</w:t>
            </w:r>
          </w:p>
        </w:tc>
        <w:tc>
          <w:tcPr>
            <w:tcW w:type="dxa" w:w="2360"/>
            <w:shd w:fill="EDF5F0"/>
          </w:tcPr>
          <w:p>
            <w:pPr>
              <w:keepNext w:val="0"/>
              <w:keepLines w:val="0"/>
              <w:spacing w:before="0" w:after="0" w:line="252" w:lineRule="auto"/>
            </w:pPr>
            <w:r>
              <w:rPr>
                <w:rFonts w:ascii="Calibri" w:hAnsi="Calibri"/>
                <w:b w:val="0"/>
                <w:i w:val="0"/>
                <w:color w:val="26302B"/>
                <w:sz w:val="18"/>
              </w:rPr>
              <w:t>End-of-cycle recovery proxy</w:t>
            </w:r>
          </w:p>
        </w:tc>
        <w:tc>
          <w:tcPr>
            <w:tcW w:type="dxa" w:w="1900"/>
            <w:shd w:fill="EDF5F0"/>
          </w:tcPr>
          <w:p>
            <w:pPr>
              <w:keepNext w:val="0"/>
              <w:keepLines w:val="0"/>
              <w:spacing w:before="0" w:after="0" w:line="252" w:lineRule="auto"/>
            </w:pPr>
            <w:r>
              <w:rPr>
                <w:rFonts w:ascii="Calibri" w:hAnsi="Calibri"/>
                <w:b w:val="0"/>
                <w:i w:val="0"/>
                <w:color w:val="26302B"/>
                <w:sz w:val="18"/>
              </w:rPr>
              <w:t>Day 7 and Day 14</w:t>
            </w:r>
          </w:p>
        </w:tc>
        <w:tc>
          <w:tcPr>
            <w:tcW w:type="dxa" w:w="3180"/>
            <w:shd w:fill="EDF5F0"/>
          </w:tcPr>
          <w:p>
            <w:pPr>
              <w:keepNext w:val="0"/>
              <w:keepLines w:val="0"/>
              <w:spacing w:before="0" w:after="0" w:line="252" w:lineRule="auto"/>
            </w:pPr>
            <w:r>
              <w:rPr>
                <w:rFonts w:ascii="Calibri" w:hAnsi="Calibri"/>
                <w:b w:val="0"/>
                <w:i w:val="0"/>
                <w:color w:val="26302B"/>
                <w:sz w:val="18"/>
              </w:rPr>
              <w:t>Averages forecasts from 500 decision trees using 85 engineered inputs.</w:t>
            </w:r>
          </w:p>
        </w:tc>
      </w:tr>
      <w:tr>
        <w:trPr>
          <w:cantSplit/>
        </w:trPr>
        <w:tc>
          <w:tcPr>
            <w:tcW w:type="dxa" w:w="1920"/>
          </w:tcPr>
          <w:p>
            <w:pPr>
              <w:keepNext w:val="0"/>
              <w:keepLines w:val="0"/>
              <w:spacing w:before="0" w:after="0" w:line="252" w:lineRule="auto"/>
            </w:pPr>
            <w:r>
              <w:rPr>
                <w:rFonts w:ascii="Calibri" w:hAnsi="Calibri"/>
                <w:b/>
                <w:i w:val="0"/>
                <w:color w:val="173F31"/>
                <w:sz w:val="18"/>
              </w:rPr>
              <w:t>Model 3</w:t>
            </w:r>
            <w:r>
              <w:br/>
            </w:r>
            <w:r>
              <w:rPr>
                <w:rFonts w:ascii="Calibri" w:hAnsi="Calibri"/>
                <w:b w:val="0"/>
                <w:i w:val="0"/>
                <w:color w:val="173F31"/>
                <w:sz w:val="18"/>
              </w:rPr>
              <w:t>XGBoost</w:t>
            </w:r>
          </w:p>
        </w:tc>
        <w:tc>
          <w:tcPr>
            <w:tcW w:type="dxa" w:w="2360"/>
          </w:tcPr>
          <w:p>
            <w:pPr>
              <w:keepNext w:val="0"/>
              <w:keepLines w:val="0"/>
              <w:spacing w:before="0" w:after="0" w:line="252" w:lineRule="auto"/>
            </w:pPr>
            <w:r>
              <w:rPr>
                <w:rFonts w:ascii="Calibri" w:hAnsi="Calibri"/>
                <w:b w:val="0"/>
                <w:i w:val="0"/>
                <w:color w:val="26302B"/>
                <w:sz w:val="18"/>
              </w:rPr>
              <w:t>Day 35 bodyweight</w:t>
            </w:r>
          </w:p>
        </w:tc>
        <w:tc>
          <w:tcPr>
            <w:tcW w:type="dxa" w:w="1900"/>
          </w:tcPr>
          <w:p>
            <w:pPr>
              <w:keepNext w:val="0"/>
              <w:keepLines w:val="0"/>
              <w:spacing w:before="0" w:after="0" w:line="252" w:lineRule="auto"/>
            </w:pPr>
            <w:r>
              <w:rPr>
                <w:rFonts w:ascii="Calibri" w:hAnsi="Calibri"/>
                <w:b w:val="0"/>
                <w:i w:val="0"/>
                <w:color w:val="26302B"/>
                <w:sz w:val="18"/>
              </w:rPr>
              <w:t>Day 21</w:t>
            </w:r>
          </w:p>
        </w:tc>
        <w:tc>
          <w:tcPr>
            <w:tcW w:type="dxa" w:w="3180"/>
          </w:tcPr>
          <w:p>
            <w:pPr>
              <w:keepNext w:val="0"/>
              <w:keepLines w:val="0"/>
              <w:spacing w:before="0" w:after="0" w:line="252" w:lineRule="auto"/>
            </w:pPr>
            <w:r>
              <w:rPr>
                <w:rFonts w:ascii="Calibri" w:hAnsi="Calibri"/>
                <w:b w:val="0"/>
                <w:i w:val="0"/>
                <w:color w:val="26302B"/>
                <w:sz w:val="18"/>
              </w:rPr>
              <w:t>Uses 250 boosted trees and 88 engineered inputs available through Day 21.</w:t>
            </w:r>
          </w:p>
        </w:tc>
      </w:tr>
      <w:tr>
        <w:trPr>
          <w:cantSplit/>
        </w:trPr>
        <w:tc>
          <w:tcPr>
            <w:tcW w:type="dxa" w:w="1920"/>
            <w:shd w:fill="EDF5F0"/>
          </w:tcPr>
          <w:p>
            <w:pPr>
              <w:keepNext w:val="0"/>
              <w:keepLines w:val="0"/>
              <w:spacing w:before="0" w:after="0" w:line="252" w:lineRule="auto"/>
            </w:pPr>
            <w:r>
              <w:rPr>
                <w:rFonts w:ascii="Calibri" w:hAnsi="Calibri"/>
                <w:b/>
                <w:i w:val="0"/>
                <w:color w:val="173F31"/>
                <w:sz w:val="18"/>
              </w:rPr>
              <w:t>Checkpoint model</w:t>
            </w:r>
            <w:r>
              <w:br/>
            </w:r>
            <w:r>
              <w:rPr>
                <w:rFonts w:ascii="Calibri" w:hAnsi="Calibri"/>
                <w:b w:val="0"/>
                <w:i w:val="0"/>
                <w:color w:val="173F31"/>
                <w:sz w:val="18"/>
              </w:rPr>
              <w:t>Remaining gain</w:t>
            </w:r>
          </w:p>
        </w:tc>
        <w:tc>
          <w:tcPr>
            <w:tcW w:type="dxa" w:w="2360"/>
            <w:shd w:fill="EDF5F0"/>
          </w:tcPr>
          <w:p>
            <w:pPr>
              <w:keepNext w:val="0"/>
              <w:keepLines w:val="0"/>
              <w:spacing w:before="0" w:after="0" w:line="252" w:lineRule="auto"/>
            </w:pPr>
            <w:r>
              <w:rPr>
                <w:rFonts w:ascii="Calibri" w:hAnsi="Calibri"/>
                <w:b w:val="0"/>
                <w:i w:val="0"/>
                <w:color w:val="26302B"/>
                <w:sz w:val="18"/>
              </w:rPr>
              <w:t>Day 35 bodyweight</w:t>
            </w:r>
          </w:p>
        </w:tc>
        <w:tc>
          <w:tcPr>
            <w:tcW w:type="dxa" w:w="1900"/>
            <w:shd w:fill="EDF5F0"/>
          </w:tcPr>
          <w:p>
            <w:pPr>
              <w:keepNext w:val="0"/>
              <w:keepLines w:val="0"/>
              <w:spacing w:before="0" w:after="0" w:line="252" w:lineRule="auto"/>
            </w:pPr>
            <w:r>
              <w:rPr>
                <w:rFonts w:ascii="Calibri" w:hAnsi="Calibri"/>
                <w:b w:val="0"/>
                <w:i w:val="0"/>
                <w:color w:val="26302B"/>
                <w:sz w:val="18"/>
              </w:rPr>
              <w:t>Days 7, 14, 21, and 28</w:t>
            </w:r>
          </w:p>
        </w:tc>
        <w:tc>
          <w:tcPr>
            <w:tcW w:type="dxa" w:w="3180"/>
            <w:shd w:fill="EDF5F0"/>
          </w:tcPr>
          <w:p>
            <w:pPr>
              <w:keepNext w:val="0"/>
              <w:keepLines w:val="0"/>
              <w:spacing w:before="0" w:after="0" w:line="252" w:lineRule="auto"/>
            </w:pPr>
            <w:r>
              <w:rPr>
                <w:rFonts w:ascii="Calibri" w:hAnsi="Calibri"/>
                <w:b w:val="0"/>
                <w:i w:val="0"/>
                <w:color w:val="26302B"/>
                <w:sz w:val="18"/>
              </w:rPr>
              <w:t>Adds the historical average remaining growth to the latest actual checkpoint weight.</w:t>
            </w:r>
          </w:p>
        </w:tc>
      </w:tr>
    </w:tbl>
    <w:p>
      <w:pPr>
        <w:keepNext w:val="0"/>
        <w:keepLines w:val="0"/>
        <w:spacing w:before="0" w:after="60" w:line="264" w:lineRule="auto"/>
      </w:pPr>
    </w:p>
    <w:p>
      <w:pPr>
        <w:pStyle w:val="Heading2"/>
        <w:keepNext/>
      </w:pPr>
      <w:r>
        <w:t>What the app should show</w:t>
      </w:r>
    </w:p>
    <w:p>
      <w:pPr>
        <w:keepNext w:val="0"/>
        <w:keepLines w:val="0"/>
        <w:numPr>
          <w:ilvl w:val="0"/>
          <w:numId w:val="10"/>
        </w:numPr>
        <w:spacing w:before="0" w:after="80" w:line="264" w:lineRule="auto"/>
      </w:pPr>
      <w:r>
        <w:rPr>
          <w:rFonts w:ascii="Calibri" w:hAnsi="Calibri"/>
          <w:b/>
          <w:i w:val="0"/>
          <w:color w:val="26302B"/>
          <w:sz w:val="22"/>
        </w:rPr>
        <w:t>Recovery outlook:</w:t>
      </w:r>
      <w:r>
        <w:rPr>
          <w:rFonts w:ascii="Calibri" w:hAnsi="Calibri"/>
          <w:b w:val="0"/>
          <w:i w:val="0"/>
          <w:color w:val="26302B"/>
          <w:sz w:val="22"/>
        </w:rPr>
        <w:t xml:space="preserve"> explicitly labelled “Model 1 · Extra Trees.”</w:t>
      </w:r>
    </w:p>
    <w:p>
      <w:pPr>
        <w:keepNext w:val="0"/>
        <w:keepLines w:val="0"/>
        <w:numPr>
          <w:ilvl w:val="0"/>
          <w:numId w:val="10"/>
        </w:numPr>
        <w:spacing w:before="0" w:after="80" w:line="264" w:lineRule="auto"/>
      </w:pPr>
      <w:r>
        <w:rPr>
          <w:rFonts w:ascii="Calibri" w:hAnsi="Calibri"/>
          <w:b/>
          <w:i w:val="0"/>
          <w:color w:val="26302B"/>
          <w:sz w:val="22"/>
        </w:rPr>
        <w:t>Bodyweight outlook:</w:t>
      </w:r>
      <w:r>
        <w:rPr>
          <w:rFonts w:ascii="Calibri" w:hAnsi="Calibri"/>
          <w:b w:val="0"/>
          <w:i w:val="0"/>
          <w:color w:val="26302B"/>
          <w:sz w:val="22"/>
        </w:rPr>
        <w:t xml:space="preserve"> a toggle between “Checkpoint model” and “Model 3 · XGBoost.”</w:t>
      </w:r>
    </w:p>
    <w:p>
      <w:pPr>
        <w:keepNext w:val="0"/>
        <w:keepLines w:val="0"/>
        <w:numPr>
          <w:ilvl w:val="0"/>
          <w:numId w:val="10"/>
        </w:numPr>
        <w:spacing w:before="0" w:after="80" w:line="264" w:lineRule="auto"/>
      </w:pPr>
      <w:r>
        <w:rPr>
          <w:rFonts w:ascii="Calibri" w:hAnsi="Calibri"/>
          <w:b/>
          <w:i w:val="0"/>
          <w:color w:val="26302B"/>
          <w:sz w:val="22"/>
        </w:rPr>
        <w:t>Model details:</w:t>
      </w:r>
      <w:r>
        <w:rPr>
          <w:rFonts w:ascii="Calibri" w:hAnsi="Calibri"/>
          <w:b w:val="0"/>
          <w:i w:val="0"/>
          <w:color w:val="26302B"/>
          <w:sz w:val="22"/>
        </w:rPr>
        <w:t xml:space="preserve"> evidence date, input freshness, forecast interval, validation error, method version, and pilot status.</w:t>
      </w:r>
    </w:p>
    <w:p>
      <w:pPr>
        <w:keepNext w:val="0"/>
        <w:keepLines w:val="0"/>
        <w:numPr>
          <w:ilvl w:val="0"/>
          <w:numId w:val="10"/>
        </w:numPr>
        <w:spacing w:before="0" w:after="80" w:line="264" w:lineRule="auto"/>
      </w:pPr>
      <w:r>
        <w:rPr>
          <w:rFonts w:ascii="Calibri" w:hAnsi="Calibri"/>
          <w:b/>
          <w:i w:val="0"/>
          <w:color w:val="26302B"/>
          <w:sz w:val="22"/>
        </w:rPr>
        <w:t>Risk-score separation:</w:t>
      </w:r>
      <w:r>
        <w:rPr>
          <w:rFonts w:ascii="Calibri" w:hAnsi="Calibri"/>
          <w:b w:val="0"/>
          <w:i w:val="0"/>
          <w:color w:val="26302B"/>
          <w:sz w:val="22"/>
        </w:rPr>
        <w:t xml:space="preserve"> changing the forecast model must never change the observed-condition risk score.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F2F4F7"/>
          </w:tcPr>
          <w:p>
            <w:pPr>
              <w:keepNext w:val="0"/>
              <w:keepLines w:val="0"/>
              <w:spacing w:before="0" w:after="20" w:line="264" w:lineRule="auto"/>
            </w:pPr>
            <w:r>
              <w:rPr>
                <w:rFonts w:ascii="Calibri" w:hAnsi="Calibri"/>
                <w:b/>
                <w:i w:val="0"/>
                <w:color w:val="9B1C1C"/>
                <w:sz w:val="21"/>
              </w:rPr>
              <w:t xml:space="preserve">Trust boundary: </w:t>
            </w:r>
            <w:r>
              <w:rPr>
                <w:rFonts w:ascii="Calibri" w:hAnsi="Calibri"/>
                <w:b w:val="0"/>
                <w:i w:val="0"/>
                <w:color w:val="26302B"/>
                <w:sz w:val="21"/>
              </w:rPr>
              <w:t>These are planning outlooks. They do not diagnose disease, prescribe treatment, trigger automatic action, or guarantee the final result.</w:t>
            </w:r>
          </w:p>
        </w:tc>
      </w:tr>
    </w:tbl>
    <w:p>
      <w:pPr>
        <w:keepNext w:val="0"/>
        <w:keepLines w:val="0"/>
        <w:spacing w:before="0" w:after="40" w:line="264" w:lineRule="auto"/>
      </w:pPr>
    </w:p>
    <w:p>
      <w:pPr>
        <w:keepNext/>
        <w:keepLines w:val="0"/>
        <w:pageBreakBefore/>
        <w:spacing w:before="0" w:after="60" w:line="264" w:lineRule="auto"/>
      </w:pPr>
      <w:r>
        <w:rPr>
          <w:rFonts w:ascii="Calibri" w:hAnsi="Calibri"/>
          <w:b/>
          <w:i w:val="0"/>
          <w:color w:val="96BE2B"/>
          <w:sz w:val="18"/>
        </w:rPr>
        <w:t>SHARED FOUNDATION</w:t>
      </w:r>
    </w:p>
    <w:p>
      <w:pPr>
        <w:pStyle w:val="Heading1"/>
        <w:keepNext/>
      </w:pPr>
      <w:r>
        <w:t>From raw farm records to a defensible forecast</w:t>
      </w:r>
    </w:p>
    <w:p>
      <w:pPr>
        <w:keepNext w:val="0"/>
        <w:keepLines w:val="0"/>
        <w:spacing w:before="0" w:after="120" w:line="264" w:lineRule="auto"/>
      </w:pPr>
      <w:r>
        <w:rPr>
          <w:rFonts w:ascii="Calibri" w:hAnsi="Calibri"/>
          <w:b w:val="0"/>
          <w:i w:val="0"/>
          <w:color w:val="26302B"/>
          <w:sz w:val="22"/>
        </w:rPr>
        <w:t>All three engines begin with the same cleaned building-day dataset and the same leakage-safe validation principle.</w:t>
      </w:r>
    </w:p>
    <w:p>
      <w:pPr>
        <w:pStyle w:val="Heading2"/>
        <w:keepNext/>
      </w:pPr>
      <w:r>
        <w:t>Data preparation</w:t>
      </w:r>
    </w:p>
    <w:p>
      <w:pPr>
        <w:keepNext w:val="0"/>
        <w:keepLines w:val="0"/>
        <w:numPr>
          <w:ilvl w:val="0"/>
          <w:numId w:val="11"/>
        </w:numPr>
        <w:spacing w:before="0" w:after="80" w:line="264" w:lineRule="auto"/>
      </w:pPr>
      <w:r>
        <w:rPr>
          <w:rFonts w:ascii="Calibri" w:hAnsi="Calibri"/>
          <w:b/>
          <w:i w:val="0"/>
          <w:color w:val="26302B"/>
          <w:sz w:val="22"/>
        </w:rPr>
        <w:t xml:space="preserve">Consolidate the records. </w:t>
      </w:r>
      <w:r>
        <w:rPr>
          <w:rFonts w:ascii="Calibri" w:hAnsi="Calibri"/>
          <w:b w:val="0"/>
          <w:i w:val="0"/>
          <w:color w:val="26302B"/>
          <w:sz w:val="22"/>
        </w:rPr>
        <w:t>Combine electronic and recovered physical records into one building-day dataset.</w:t>
      </w:r>
    </w:p>
    <w:p>
      <w:pPr>
        <w:keepNext w:val="0"/>
        <w:keepLines w:val="0"/>
        <w:numPr>
          <w:ilvl w:val="0"/>
          <w:numId w:val="11"/>
        </w:numPr>
        <w:spacing w:before="0" w:after="80" w:line="264" w:lineRule="auto"/>
      </w:pPr>
      <w:r>
        <w:rPr>
          <w:rFonts w:ascii="Calibri" w:hAnsi="Calibri"/>
          <w:b/>
          <w:i w:val="0"/>
          <w:color w:val="26302B"/>
          <w:sz w:val="22"/>
        </w:rPr>
        <w:t xml:space="preserve">Standardize the fields. </w:t>
      </w:r>
      <w:r>
        <w:rPr>
          <w:rFonts w:ascii="Calibri" w:hAnsi="Calibri"/>
          <w:b w:val="0"/>
          <w:i w:val="0"/>
          <w:color w:val="26302B"/>
          <w:sz w:val="22"/>
        </w:rPr>
        <w:t>Harmonize names, dates, age, population, mortality, feed, bodyweight, temperature, humidity, units, and percentages.</w:t>
      </w:r>
    </w:p>
    <w:p>
      <w:pPr>
        <w:keepNext w:val="0"/>
        <w:keepLines w:val="0"/>
        <w:numPr>
          <w:ilvl w:val="0"/>
          <w:numId w:val="11"/>
        </w:numPr>
        <w:spacing w:before="0" w:after="80" w:line="264" w:lineRule="auto"/>
      </w:pPr>
      <w:r>
        <w:rPr>
          <w:rFonts w:ascii="Calibri" w:hAnsi="Calibri"/>
          <w:b/>
          <w:i w:val="0"/>
          <w:color w:val="26302B"/>
          <w:sz w:val="22"/>
        </w:rPr>
        <w:t xml:space="preserve">Protect data meaning. </w:t>
      </w:r>
      <w:r>
        <w:rPr>
          <w:rFonts w:ascii="Calibri" w:hAnsi="Calibri"/>
          <w:b w:val="0"/>
          <w:i w:val="0"/>
          <w:color w:val="26302B"/>
          <w:sz w:val="22"/>
        </w:rPr>
        <w:t>Remove duplicate building-day rows and keep missing observations missing.</w:t>
      </w:r>
    </w:p>
    <w:p>
      <w:pPr>
        <w:keepNext w:val="0"/>
        <w:keepLines w:val="0"/>
        <w:numPr>
          <w:ilvl w:val="0"/>
          <w:numId w:val="11"/>
        </w:numPr>
        <w:spacing w:before="0" w:after="80" w:line="264" w:lineRule="auto"/>
      </w:pPr>
      <w:r>
        <w:rPr>
          <w:rFonts w:ascii="Calibri" w:hAnsi="Calibri"/>
          <w:b/>
          <w:i w:val="0"/>
          <w:color w:val="26302B"/>
          <w:sz w:val="22"/>
        </w:rPr>
        <w:t xml:space="preserve">Define the outcomes. </w:t>
      </w:r>
      <w:r>
        <w:rPr>
          <w:rFonts w:ascii="Calibri" w:hAnsi="Calibri"/>
          <w:b w:val="0"/>
          <w:i w:val="0"/>
          <w:color w:val="26302B"/>
          <w:sz w:val="22"/>
        </w:rPr>
        <w:t>Use last recorded population divided by beginning population as the recovery proxy and the recorded average Day 35 bodyweight as the growth outcome.</w:t>
      </w:r>
    </w:p>
    <w:p>
      <w:pPr>
        <w:keepNext w:val="0"/>
        <w:keepLines w:val="0"/>
        <w:numPr>
          <w:ilvl w:val="0"/>
          <w:numId w:val="11"/>
        </w:numPr>
        <w:spacing w:before="0" w:after="80" w:line="264" w:lineRule="auto"/>
      </w:pPr>
      <w:r>
        <w:rPr>
          <w:rFonts w:ascii="Calibri" w:hAnsi="Calibri"/>
          <w:b/>
          <w:i w:val="0"/>
          <w:color w:val="26302B"/>
          <w:sz w:val="22"/>
        </w:rPr>
        <w:t xml:space="preserve">Freeze the cohorts. </w:t>
      </w:r>
      <w:r>
        <w:rPr>
          <w:rFonts w:ascii="Calibri" w:hAnsi="Calibri"/>
          <w:b w:val="0"/>
          <w:i w:val="0"/>
          <w:color w:val="26302B"/>
          <w:sz w:val="22"/>
        </w:rPr>
        <w:t>Develop on 31 building-cycles from 2025-2 through 2026-2; reserve the three 2026-3 buildings for a later audit.</w:t>
      </w:r>
    </w:p>
    <w:p>
      <w:pPr>
        <w:pStyle w:val="Heading2"/>
        <w:keepNext/>
      </w:pPr>
      <w:r>
        <w:t>Validation design</w:t>
      </w:r>
    </w:p>
    <w:p>
      <w:pPr>
        <w:keepNext w:val="0"/>
        <w:keepLines w:val="0"/>
        <w:spacing w:before="0" w:after="120" w:line="264" w:lineRule="auto"/>
      </w:pPr>
      <w:r>
        <w:rPr>
          <w:rFonts w:ascii="Calibri" w:hAnsi="Calibri"/>
          <w:b w:val="0"/>
          <w:i w:val="0"/>
          <w:color w:val="26302B"/>
          <w:sz w:val="22"/>
        </w:rPr>
        <w:t>One complete production cycle was held out at a time. Its buildings and daily observations stayed outside preprocessing, feature calculations, and fitting. This prevents related flock records from leaking into both training and testing.</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EDF5F0"/>
          </w:tcPr>
          <w:p>
            <w:pPr>
              <w:keepNext w:val="0"/>
              <w:keepLines w:val="0"/>
              <w:spacing w:before="0" w:after="20" w:line="264" w:lineRule="auto"/>
            </w:pPr>
            <w:r>
              <w:rPr>
                <w:rFonts w:ascii="Calibri" w:hAnsi="Calibri"/>
                <w:b/>
                <w:i w:val="0"/>
                <w:color w:val="173F31"/>
                <w:sz w:val="21"/>
              </w:rPr>
              <w:t xml:space="preserve">Why this matters: </w:t>
            </w:r>
            <w:r>
              <w:rPr>
                <w:rFonts w:ascii="Calibri" w:hAnsi="Calibri"/>
                <w:b w:val="0"/>
                <w:i w:val="0"/>
                <w:color w:val="26302B"/>
                <w:sz w:val="21"/>
              </w:rPr>
              <w:t>A random row split would make performance look more confident than it should because daily observations from the same flock are closely related.</w:t>
            </w:r>
          </w:p>
        </w:tc>
      </w:tr>
    </w:tbl>
    <w:p>
      <w:pPr>
        <w:keepNext w:val="0"/>
        <w:keepLines w:val="0"/>
        <w:spacing w:before="0" w:after="40" w:line="264" w:lineRule="auto"/>
      </w:pPr>
    </w:p>
    <w:p>
      <w:pPr>
        <w:pStyle w:val="Heading2"/>
        <w:keepNext/>
      </w:pPr>
      <w:r>
        <w:t>Feature engineering evaluated</w:t>
      </w:r>
    </w:p>
    <w:p>
      <w:pPr>
        <w:keepNext w:val="0"/>
        <w:keepLines w:val="0"/>
        <w:numPr>
          <w:ilvl w:val="0"/>
          <w:numId w:val="10"/>
        </w:numPr>
        <w:spacing w:before="0" w:after="80" w:line="264" w:lineRule="auto"/>
      </w:pPr>
      <w:r>
        <w:rPr>
          <w:rFonts w:ascii="Calibri" w:hAnsi="Calibri"/>
          <w:b w:val="0"/>
          <w:i w:val="0"/>
          <w:color w:val="26302B"/>
          <w:sz w:val="22"/>
        </w:rPr>
        <w:t>Growth: weight gaps, ratios, interval gains, growth rates, trajectory, and projected Day 35 trajectory.</w:t>
      </w:r>
    </w:p>
    <w:p>
      <w:pPr>
        <w:keepNext w:val="0"/>
        <w:keepLines w:val="0"/>
        <w:numPr>
          <w:ilvl w:val="0"/>
          <w:numId w:val="10"/>
        </w:numPr>
        <w:spacing w:before="0" w:after="80" w:line="264" w:lineRule="auto"/>
      </w:pPr>
      <w:r>
        <w:rPr>
          <w:rFonts w:ascii="Calibri" w:hAnsi="Calibri"/>
          <w:b w:val="0"/>
          <w:i w:val="0"/>
          <w:color w:val="26302B"/>
          <w:sz w:val="22"/>
        </w:rPr>
        <w:t>Survival and mortality: daily loss, cumulative loss, current survival, and mortality patterns.</w:t>
      </w:r>
    </w:p>
    <w:p>
      <w:pPr>
        <w:keepNext w:val="0"/>
        <w:keepLines w:val="0"/>
        <w:numPr>
          <w:ilvl w:val="0"/>
          <w:numId w:val="10"/>
        </w:numPr>
        <w:spacing w:before="0" w:after="80" w:line="264" w:lineRule="auto"/>
      </w:pPr>
      <w:r>
        <w:rPr>
          <w:rFonts w:ascii="Calibri" w:hAnsi="Calibri"/>
          <w:b w:val="0"/>
          <w:i w:val="0"/>
          <w:color w:val="26302B"/>
          <w:sz w:val="22"/>
        </w:rPr>
        <w:t>Operations: feed use and gaps, population, stocking density, square feet per bird, downtime, farm, and building.</w:t>
      </w:r>
    </w:p>
    <w:p>
      <w:pPr>
        <w:keepNext w:val="0"/>
        <w:keepLines w:val="0"/>
        <w:numPr>
          <w:ilvl w:val="0"/>
          <w:numId w:val="10"/>
        </w:numPr>
        <w:spacing w:before="0" w:after="80" w:line="264" w:lineRule="auto"/>
      </w:pPr>
      <w:r>
        <w:rPr>
          <w:rFonts w:ascii="Calibri" w:hAnsi="Calibri"/>
          <w:b w:val="0"/>
          <w:i w:val="0"/>
          <w:color w:val="26302B"/>
          <w:sz w:val="22"/>
        </w:rPr>
        <w:t>Environment: temperature, humidity, ranges, deviations, and THI level, maximum, duration, and recent exposure.</w:t>
      </w:r>
    </w:p>
    <w:p>
      <w:pPr>
        <w:keepNext w:val="0"/>
        <w:keepLines w:val="0"/>
        <w:numPr>
          <w:ilvl w:val="0"/>
          <w:numId w:val="10"/>
        </w:numPr>
        <w:spacing w:before="0" w:after="80" w:line="264" w:lineRule="auto"/>
      </w:pPr>
      <w:r>
        <w:rPr>
          <w:rFonts w:ascii="Calibri" w:hAnsi="Calibri"/>
          <w:b w:val="0"/>
          <w:i w:val="0"/>
          <w:color w:val="26302B"/>
          <w:sz w:val="22"/>
        </w:rPr>
        <w:t>Data quality: missingness indicators and measurement freshness.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F6F9E8"/>
          </w:tcPr>
          <w:p>
            <w:pPr>
              <w:keepNext w:val="0"/>
              <w:keepLines w:val="0"/>
              <w:spacing w:before="0" w:after="20" w:line="264" w:lineRule="auto"/>
            </w:pPr>
            <w:r>
              <w:rPr>
                <w:rFonts w:ascii="Calibri" w:hAnsi="Calibri"/>
                <w:b/>
                <w:i w:val="0"/>
                <w:color w:val="7A5A00"/>
                <w:sz w:val="21"/>
              </w:rPr>
              <w:t xml:space="preserve">Important caution: </w:t>
            </w:r>
            <w:r>
              <w:rPr>
                <w:rFonts w:ascii="Calibri" w:hAnsi="Calibri"/>
                <w:b w:val="0"/>
                <w:i w:val="0"/>
                <w:color w:val="26302B"/>
                <w:sz w:val="21"/>
              </w:rPr>
              <w:t>Feature importance shows what a model relied on statistically. It does not prove that changing THI, feed, stocking density, or another input will cause the final outcome to improve.</w:t>
            </w:r>
          </w:p>
        </w:tc>
      </w:tr>
    </w:tbl>
    <w:p>
      <w:pPr>
        <w:keepNext w:val="0"/>
        <w:keepLines w:val="0"/>
        <w:spacing w:before="0" w:after="40" w:line="264" w:lineRule="auto"/>
      </w:pPr>
    </w:p>
    <w:p>
      <w:pPr>
        <w:keepNext/>
        <w:keepLines w:val="0"/>
        <w:pageBreakBefore w:val="0"/>
        <w:spacing w:before="0" w:after="60" w:line="264" w:lineRule="auto"/>
      </w:pPr>
      <w:r>
        <w:rPr>
          <w:rFonts w:ascii="Calibri" w:hAnsi="Calibri"/>
          <w:b/>
          <w:i w:val="0"/>
          <w:color w:val="96BE2B"/>
          <w:sz w:val="18"/>
        </w:rPr>
        <w:t>RECOVERY FORECAST</w:t>
      </w:r>
    </w:p>
    <w:p>
      <w:pPr>
        <w:pStyle w:val="Heading1"/>
        <w:keepNext/>
      </w:pPr>
      <w:r>
        <w:t>Model 1 · Extra Trees</w:t>
      </w:r>
    </w:p>
    <w:p>
      <w:pPr>
        <w:keepNext w:val="0"/>
        <w:keepLines w:val="0"/>
        <w:spacing w:before="0" w:after="200" w:line="264" w:lineRule="auto"/>
      </w:pPr>
      <w:r>
        <w:rPr>
          <w:rFonts w:ascii="Calibri" w:hAnsi="Calibri"/>
          <w:b w:val="0"/>
          <w:i w:val="0"/>
          <w:color w:val="26302B"/>
          <w:sz w:val="22"/>
        </w:rPr>
        <w:t>The reconstructed original approach for estimating the end-of-cycle recovery proxy.</w:t>
      </w:r>
    </w:p>
    <w:tbl>
      <w:tblPr>
        <w:tblW w:type="dxa" w:w="9360"/>
        <w:jc w:val="left"/>
        <w:tblLayout w:type="fixed"/>
        <w:tblLook w:firstColumn="1" w:firstRow="1" w:lastColumn="0" w:lastRow="0" w:noHBand="0" w:noVBand="1" w:val="04A0"/>
        <w:tblInd w:w="120" w:type="dxa"/>
      </w:tblPr>
      <w:tblGrid>
        <w:gridCol w:w="2200"/>
        <w:gridCol w:w="7160"/>
      </w:tblGrid>
      <w:tr>
        <w:trPr>
          <w:cantSplit/>
        </w:trPr>
        <w:tc>
          <w:tcPr>
            <w:tcW w:type="dxa" w:w="2200"/>
            <w:shd w:fill="EDF5F0"/>
          </w:tcPr>
          <w:p>
            <w:pPr>
              <w:keepNext w:val="0"/>
              <w:keepLines w:val="0"/>
              <w:spacing w:before="0" w:after="0" w:line="264" w:lineRule="auto"/>
            </w:pPr>
            <w:r>
              <w:rPr>
                <w:rFonts w:ascii="Calibri" w:hAnsi="Calibri"/>
                <w:b/>
                <w:i w:val="0"/>
                <w:color w:val="173F31"/>
                <w:sz w:val="19"/>
              </w:rPr>
              <w:t>Outcome</w:t>
            </w:r>
          </w:p>
        </w:tc>
        <w:tc>
          <w:tcPr>
            <w:tcW w:type="dxa" w:w="7160"/>
          </w:tcPr>
          <w:p>
            <w:pPr>
              <w:keepNext w:val="0"/>
              <w:keepLines w:val="0"/>
              <w:spacing w:before="0" w:after="0" w:line="264" w:lineRule="auto"/>
            </w:pPr>
            <w:r>
              <w:rPr>
                <w:rFonts w:ascii="Calibri" w:hAnsi="Calibri"/>
                <w:b w:val="0"/>
                <w:i w:val="0"/>
                <w:color w:val="26302B"/>
                <w:sz w:val="19"/>
              </w:rPr>
              <w:t>End-of-cycle recovery proxy</w:t>
            </w:r>
          </w:p>
        </w:tc>
      </w:tr>
      <w:tr>
        <w:trPr>
          <w:cantSplit/>
        </w:trPr>
        <w:tc>
          <w:tcPr>
            <w:tcW w:type="dxa" w:w="2200"/>
            <w:shd w:fill="EDF5F0"/>
          </w:tcPr>
          <w:p>
            <w:pPr>
              <w:keepNext w:val="0"/>
              <w:keepLines w:val="0"/>
              <w:spacing w:before="0" w:after="0" w:line="264" w:lineRule="auto"/>
            </w:pPr>
            <w:r>
              <w:rPr>
                <w:rFonts w:ascii="Calibri" w:hAnsi="Calibri"/>
                <w:b/>
                <w:i w:val="0"/>
                <w:color w:val="173F31"/>
                <w:sz w:val="19"/>
              </w:rPr>
              <w:t>Forecast points</w:t>
            </w:r>
          </w:p>
        </w:tc>
        <w:tc>
          <w:tcPr>
            <w:tcW w:type="dxa" w:w="7160"/>
            <w:shd w:fill="F2F4F7"/>
          </w:tcPr>
          <w:p>
            <w:pPr>
              <w:keepNext w:val="0"/>
              <w:keepLines w:val="0"/>
              <w:spacing w:before="0" w:after="0" w:line="264" w:lineRule="auto"/>
            </w:pPr>
            <w:r>
              <w:rPr>
                <w:rFonts w:ascii="Calibri" w:hAnsi="Calibri"/>
                <w:b w:val="0"/>
                <w:i w:val="0"/>
                <w:color w:val="26302B"/>
                <w:sz w:val="19"/>
              </w:rPr>
              <w:t>Day 7 and Day 14; the Day 14 estimate is held afterward</w:t>
            </w:r>
          </w:p>
        </w:tc>
      </w:tr>
      <w:tr>
        <w:trPr>
          <w:cantSplit/>
        </w:trPr>
        <w:tc>
          <w:tcPr>
            <w:tcW w:type="dxa" w:w="2200"/>
            <w:shd w:fill="EDF5F0"/>
          </w:tcPr>
          <w:p>
            <w:pPr>
              <w:keepNext w:val="0"/>
              <w:keepLines w:val="0"/>
              <w:spacing w:before="0" w:after="0" w:line="264" w:lineRule="auto"/>
            </w:pPr>
            <w:r>
              <w:rPr>
                <w:rFonts w:ascii="Calibri" w:hAnsi="Calibri"/>
                <w:b/>
                <w:i w:val="0"/>
                <w:color w:val="173F31"/>
                <w:sz w:val="19"/>
              </w:rPr>
              <w:t>Algorithm</w:t>
            </w:r>
          </w:p>
        </w:tc>
        <w:tc>
          <w:tcPr>
            <w:tcW w:type="dxa" w:w="7160"/>
          </w:tcPr>
          <w:p>
            <w:pPr>
              <w:keepNext w:val="0"/>
              <w:keepLines w:val="0"/>
              <w:spacing w:before="0" w:after="0" w:line="264" w:lineRule="auto"/>
            </w:pPr>
            <w:r>
              <w:rPr>
                <w:rFonts w:ascii="Calibri" w:hAnsi="Calibri"/>
                <w:b w:val="0"/>
                <w:i w:val="0"/>
                <w:color w:val="26302B"/>
                <w:sz w:val="19"/>
              </w:rPr>
              <w:t>Extra Trees regression with 500 trees</w:t>
            </w:r>
          </w:p>
        </w:tc>
      </w:tr>
      <w:tr>
        <w:trPr>
          <w:cantSplit/>
        </w:trPr>
        <w:tc>
          <w:tcPr>
            <w:tcW w:type="dxa" w:w="2200"/>
            <w:shd w:fill="EDF5F0"/>
          </w:tcPr>
          <w:p>
            <w:pPr>
              <w:keepNext w:val="0"/>
              <w:keepLines w:val="0"/>
              <w:spacing w:before="0" w:after="0" w:line="264" w:lineRule="auto"/>
            </w:pPr>
            <w:r>
              <w:rPr>
                <w:rFonts w:ascii="Calibri" w:hAnsi="Calibri"/>
                <w:b/>
                <w:i w:val="0"/>
                <w:color w:val="173F31"/>
                <w:sz w:val="19"/>
              </w:rPr>
              <w:t>Inputs</w:t>
            </w:r>
          </w:p>
        </w:tc>
        <w:tc>
          <w:tcPr>
            <w:tcW w:type="dxa" w:w="7160"/>
            <w:shd w:fill="F2F4F7"/>
          </w:tcPr>
          <w:p>
            <w:pPr>
              <w:keepNext w:val="0"/>
              <w:keepLines w:val="0"/>
              <w:spacing w:before="0" w:after="0" w:line="264" w:lineRule="auto"/>
            </w:pPr>
            <w:r>
              <w:rPr>
                <w:rFonts w:ascii="Calibri" w:hAnsi="Calibri"/>
                <w:b w:val="0"/>
                <w:i w:val="0"/>
                <w:color w:val="26302B"/>
                <w:sz w:val="19"/>
              </w:rPr>
              <w:t>85 locked engineered variables</w:t>
            </w:r>
          </w:p>
        </w:tc>
      </w:tr>
      <w:tr>
        <w:trPr>
          <w:cantSplit/>
        </w:trPr>
        <w:tc>
          <w:tcPr>
            <w:tcW w:type="dxa" w:w="2200"/>
            <w:shd w:fill="EDF5F0"/>
          </w:tcPr>
          <w:p>
            <w:pPr>
              <w:keepNext w:val="0"/>
              <w:keepLines w:val="0"/>
              <w:spacing w:before="0" w:after="0" w:line="264" w:lineRule="auto"/>
            </w:pPr>
            <w:r>
              <w:rPr>
                <w:rFonts w:ascii="Calibri" w:hAnsi="Calibri"/>
                <w:b/>
                <w:i w:val="0"/>
                <w:color w:val="173F31"/>
                <w:sz w:val="19"/>
              </w:rPr>
              <w:t>Development result</w:t>
            </w:r>
          </w:p>
        </w:tc>
        <w:tc>
          <w:tcPr>
            <w:tcW w:type="dxa" w:w="7160"/>
          </w:tcPr>
          <w:p>
            <w:pPr>
              <w:keepNext w:val="0"/>
              <w:keepLines w:val="0"/>
              <w:spacing w:before="0" w:after="0" w:line="264" w:lineRule="auto"/>
            </w:pPr>
            <w:r>
              <w:rPr>
                <w:rFonts w:ascii="Calibri" w:hAnsi="Calibri"/>
                <w:b w:val="0"/>
                <w:i w:val="0"/>
                <w:color w:val="26302B"/>
                <w:sz w:val="19"/>
              </w:rPr>
              <w:t>2.47 percentage-point pooled MAE; 2.76-point cycle-macro MAE</w:t>
            </w:r>
          </w:p>
        </w:tc>
      </w:tr>
      <w:tr>
        <w:trPr>
          <w:cantSplit/>
        </w:trPr>
        <w:tc>
          <w:tcPr>
            <w:tcW w:type="dxa" w:w="2200"/>
            <w:shd w:fill="EDF5F0"/>
          </w:tcPr>
          <w:p>
            <w:pPr>
              <w:keepNext w:val="0"/>
              <w:keepLines w:val="0"/>
              <w:spacing w:before="0" w:after="0" w:line="264" w:lineRule="auto"/>
            </w:pPr>
            <w:r>
              <w:rPr>
                <w:rFonts w:ascii="Calibri" w:hAnsi="Calibri"/>
                <w:b/>
                <w:i w:val="0"/>
                <w:color w:val="173F31"/>
                <w:sz w:val="19"/>
              </w:rPr>
              <w:t>Later audit</w:t>
            </w:r>
          </w:p>
        </w:tc>
        <w:tc>
          <w:tcPr>
            <w:tcW w:type="dxa" w:w="7160"/>
            <w:shd w:fill="F2F4F7"/>
          </w:tcPr>
          <w:p>
            <w:pPr>
              <w:keepNext w:val="0"/>
              <w:keepLines w:val="0"/>
              <w:spacing w:before="0" w:after="0" w:line="264" w:lineRule="auto"/>
            </w:pPr>
            <w:r>
              <w:rPr>
                <w:rFonts w:ascii="Calibri" w:hAnsi="Calibri"/>
                <w:b w:val="0"/>
                <w:i w:val="0"/>
                <w:color w:val="26302B"/>
                <w:sz w:val="19"/>
              </w:rPr>
              <w:t>4.55 percentage-point MAE on the three buildings from 2026-3</w:t>
            </w:r>
          </w:p>
        </w:tc>
      </w:tr>
    </w:tbl>
    <w:p>
      <w:pPr>
        <w:pStyle w:val="Heading2"/>
        <w:keepNext/>
      </w:pPr>
      <w:r>
        <w:t>How it was built</w:t>
      </w:r>
    </w:p>
    <w:p>
      <w:pPr>
        <w:keepNext w:val="0"/>
        <w:keepLines w:val="0"/>
        <w:numPr>
          <w:ilvl w:val="0"/>
          <w:numId w:val="12"/>
        </w:numPr>
        <w:spacing w:before="0" w:after="80" w:line="264" w:lineRule="auto"/>
      </w:pPr>
      <w:r>
        <w:rPr>
          <w:rFonts w:ascii="Calibri" w:hAnsi="Calibri"/>
          <w:b/>
          <w:i w:val="0"/>
          <w:color w:val="26302B"/>
          <w:sz w:val="22"/>
        </w:rPr>
        <w:t xml:space="preserve">Prepare the evidence. </w:t>
      </w:r>
      <w:r>
        <w:rPr>
          <w:rFonts w:ascii="Calibri" w:hAnsi="Calibri"/>
          <w:b w:val="0"/>
          <w:i w:val="0"/>
          <w:color w:val="26302B"/>
          <w:sz w:val="22"/>
        </w:rPr>
        <w:t>Create a Day 7 and Day 14 snapshot for each eligible building-cycle without using later information.</w:t>
      </w:r>
    </w:p>
    <w:p>
      <w:pPr>
        <w:keepNext w:val="0"/>
        <w:keepLines w:val="0"/>
        <w:numPr>
          <w:ilvl w:val="0"/>
          <w:numId w:val="12"/>
        </w:numPr>
        <w:spacing w:before="0" w:after="80" w:line="264" w:lineRule="auto"/>
      </w:pPr>
      <w:r>
        <w:rPr>
          <w:rFonts w:ascii="Calibri" w:hAnsi="Calibri"/>
          <w:b/>
          <w:i w:val="0"/>
          <w:color w:val="26302B"/>
          <w:sz w:val="22"/>
        </w:rPr>
        <w:t xml:space="preserve">Engineer the inputs. </w:t>
      </w:r>
      <w:r>
        <w:rPr>
          <w:rFonts w:ascii="Calibri" w:hAnsi="Calibri"/>
          <w:b w:val="0"/>
          <w:i w:val="0"/>
          <w:color w:val="26302B"/>
          <w:sz w:val="22"/>
        </w:rPr>
        <w:t>Describe survival, mortality, weight progress, feed, temperature, humidity, THI, housing context, missingness, and freshness.</w:t>
      </w:r>
    </w:p>
    <w:p>
      <w:pPr>
        <w:keepNext w:val="0"/>
        <w:keepLines w:val="0"/>
        <w:numPr>
          <w:ilvl w:val="0"/>
          <w:numId w:val="12"/>
        </w:numPr>
        <w:spacing w:before="0" w:after="80" w:line="264" w:lineRule="auto"/>
      </w:pPr>
      <w:r>
        <w:rPr>
          <w:rFonts w:ascii="Calibri" w:hAnsi="Calibri"/>
          <w:b/>
          <w:i w:val="0"/>
          <w:color w:val="26302B"/>
          <w:sz w:val="22"/>
        </w:rPr>
        <w:t xml:space="preserve">Train the forest. </w:t>
      </w:r>
      <w:r>
        <w:rPr>
          <w:rFonts w:ascii="Calibri" w:hAnsi="Calibri"/>
          <w:b w:val="0"/>
          <w:i w:val="0"/>
          <w:color w:val="26302B"/>
          <w:sz w:val="22"/>
        </w:rPr>
        <w:t>Fit 500 randomized regression trees. Each tree learns different splits, and their predictions are averaged.</w:t>
      </w:r>
    </w:p>
    <w:p>
      <w:pPr>
        <w:keepNext w:val="0"/>
        <w:keepLines w:val="0"/>
        <w:numPr>
          <w:ilvl w:val="0"/>
          <w:numId w:val="12"/>
        </w:numPr>
        <w:spacing w:before="0" w:after="80" w:line="264" w:lineRule="auto"/>
      </w:pPr>
      <w:r>
        <w:rPr>
          <w:rFonts w:ascii="Calibri" w:hAnsi="Calibri"/>
          <w:b/>
          <w:i w:val="0"/>
          <w:color w:val="26302B"/>
          <w:sz w:val="22"/>
        </w:rPr>
        <w:t xml:space="preserve">Validate by cycle. </w:t>
      </w:r>
      <w:r>
        <w:rPr>
          <w:rFonts w:ascii="Calibri" w:hAnsi="Calibri"/>
          <w:b w:val="0"/>
          <w:i w:val="0"/>
          <w:color w:val="26302B"/>
          <w:sz w:val="22"/>
        </w:rPr>
        <w:t>Hold out one complete production cycle at a time and calculate error only on unseen cycles.</w:t>
      </w:r>
    </w:p>
    <w:p>
      <w:pPr>
        <w:keepNext w:val="0"/>
        <w:keepLines w:val="0"/>
        <w:numPr>
          <w:ilvl w:val="0"/>
          <w:numId w:val="12"/>
        </w:numPr>
        <w:spacing w:before="0" w:after="80" w:line="264" w:lineRule="auto"/>
      </w:pPr>
      <w:r>
        <w:rPr>
          <w:rFonts w:ascii="Calibri" w:hAnsi="Calibri"/>
          <w:b/>
          <w:i w:val="0"/>
          <w:color w:val="26302B"/>
          <w:sz w:val="22"/>
        </w:rPr>
        <w:t xml:space="preserve">Audit later data. </w:t>
      </w:r>
      <w:r>
        <w:rPr>
          <w:rFonts w:ascii="Calibri" w:hAnsi="Calibri"/>
          <w:b w:val="0"/>
          <w:i w:val="0"/>
          <w:color w:val="26302B"/>
          <w:sz w:val="22"/>
        </w:rPr>
        <w:t>Apply the frozen method once to the 2026-3 buildings.</w:t>
      </w:r>
    </w:p>
    <w:p>
      <w:pPr>
        <w:pStyle w:val="Heading2"/>
        <w:keepNext/>
      </w:pPr>
      <w:r>
        <w:t>How to interpret it</w:t>
      </w:r>
    </w:p>
    <w:p>
      <w:pPr>
        <w:keepNext w:val="0"/>
        <w:keepLines w:val="0"/>
        <w:spacing w:before="0" w:after="160" w:line="264" w:lineRule="auto"/>
      </w:pPr>
      <w:r>
        <w:rPr>
          <w:rFonts w:ascii="Calibri" w:hAnsi="Calibri"/>
          <w:b w:val="0"/>
          <w:i w:val="0"/>
          <w:color w:val="26302B"/>
          <w:sz w:val="22"/>
        </w:rPr>
        <w:t>A higher forecast means the model expects a larger share of the beginning population to remain by the final recorded day. The value is still a proxy, not a verified harvest or sales count. Show the estimate with its uncertainty and evidence cutoff.</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FDECEC"/>
          </w:tcPr>
          <w:p>
            <w:pPr>
              <w:keepNext w:val="0"/>
              <w:keepLines w:val="0"/>
              <w:spacing w:before="0" w:after="20" w:line="264" w:lineRule="auto"/>
            </w:pPr>
            <w:r>
              <w:rPr>
                <w:rFonts w:ascii="Calibri" w:hAnsi="Calibri"/>
                <w:b/>
                <w:i w:val="0"/>
                <w:color w:val="9B1C1C"/>
                <w:sz w:val="21"/>
              </w:rPr>
              <w:t xml:space="preserve">Current status: </w:t>
            </w:r>
            <w:r>
              <w:rPr>
                <w:rFonts w:ascii="Calibri" w:hAnsi="Calibri"/>
                <w:b w:val="0"/>
                <w:i w:val="0"/>
                <w:color w:val="26302B"/>
                <w:sz w:val="21"/>
              </w:rPr>
              <w:t>Experimental. The transparent recovery baseline had slightly lower held-out error, so Model 1 has not cleared the deployment gate. It is retained to evaluate the original approach, not to claim a proven champion.</w:t>
            </w:r>
          </w:p>
        </w:tc>
      </w:tr>
    </w:tbl>
    <w:p>
      <w:pPr>
        <w:keepNext w:val="0"/>
        <w:keepLines w:val="0"/>
        <w:spacing w:before="0" w:after="40" w:line="264" w:lineRule="auto"/>
      </w:pPr>
    </w:p>
    <w:p>
      <w:pPr>
        <w:keepNext/>
        <w:keepLines w:val="0"/>
        <w:pageBreakBefore/>
        <w:spacing w:before="0" w:after="60" w:line="264" w:lineRule="auto"/>
      </w:pPr>
      <w:r>
        <w:rPr>
          <w:rFonts w:ascii="Calibri" w:hAnsi="Calibri"/>
          <w:b/>
          <w:i w:val="0"/>
          <w:color w:val="96BE2B"/>
          <w:sz w:val="18"/>
        </w:rPr>
        <w:t>BODYWEIGHT FORECAST · SHADOW BENCHMARK</w:t>
      </w:r>
    </w:p>
    <w:p>
      <w:pPr>
        <w:pStyle w:val="Heading1"/>
        <w:keepNext/>
      </w:pPr>
      <w:r>
        <w:t>Model 3 · XGBoost</w:t>
      </w:r>
    </w:p>
    <w:p>
      <w:pPr>
        <w:keepNext w:val="0"/>
        <w:keepLines w:val="0"/>
        <w:spacing w:before="0" w:after="200" w:line="264" w:lineRule="auto"/>
      </w:pPr>
      <w:r>
        <w:rPr>
          <w:rFonts w:ascii="Calibri" w:hAnsi="Calibri"/>
          <w:b w:val="0"/>
          <w:i w:val="0"/>
          <w:color w:val="26302B"/>
          <w:sz w:val="22"/>
        </w:rPr>
        <w:t>A feature-rich model that estimates Day 35 bodyweight using information available through Day 21.</w:t>
      </w:r>
    </w:p>
    <w:tbl>
      <w:tblPr>
        <w:tblW w:type="dxa" w:w="9360"/>
        <w:jc w:val="left"/>
        <w:tblLayout w:type="fixed"/>
        <w:tblLook w:firstColumn="1" w:firstRow="1" w:lastColumn="0" w:lastRow="0" w:noHBand="0" w:noVBand="1" w:val="04A0"/>
        <w:tblInd w:w="120" w:type="dxa"/>
      </w:tblPr>
      <w:tblGrid>
        <w:gridCol w:w="2200"/>
        <w:gridCol w:w="7160"/>
      </w:tblGrid>
      <w:tr>
        <w:trPr>
          <w:cantSplit/>
        </w:trPr>
        <w:tc>
          <w:tcPr>
            <w:tcW w:type="dxa" w:w="2200"/>
            <w:shd w:fill="EDF5F0"/>
          </w:tcPr>
          <w:p>
            <w:pPr>
              <w:keepNext w:val="0"/>
              <w:keepLines w:val="0"/>
              <w:spacing w:before="0" w:after="0" w:line="264" w:lineRule="auto"/>
            </w:pPr>
            <w:r>
              <w:rPr>
                <w:rFonts w:ascii="Calibri" w:hAnsi="Calibri"/>
                <w:b/>
                <w:i w:val="0"/>
                <w:color w:val="173F31"/>
                <w:sz w:val="19"/>
              </w:rPr>
              <w:t>Outcome</w:t>
            </w:r>
          </w:p>
        </w:tc>
        <w:tc>
          <w:tcPr>
            <w:tcW w:type="dxa" w:w="7160"/>
          </w:tcPr>
          <w:p>
            <w:pPr>
              <w:keepNext w:val="0"/>
              <w:keepLines w:val="0"/>
              <w:spacing w:before="0" w:after="0" w:line="264" w:lineRule="auto"/>
            </w:pPr>
            <w:r>
              <w:rPr>
                <w:rFonts w:ascii="Calibri" w:hAnsi="Calibri"/>
                <w:b w:val="0"/>
                <w:i w:val="0"/>
                <w:color w:val="26302B"/>
                <w:sz w:val="19"/>
              </w:rPr>
              <w:t>Recorded average bodyweight on Day 35</w:t>
            </w:r>
          </w:p>
        </w:tc>
      </w:tr>
      <w:tr>
        <w:trPr>
          <w:cantSplit/>
        </w:trPr>
        <w:tc>
          <w:tcPr>
            <w:tcW w:type="dxa" w:w="2200"/>
            <w:shd w:fill="EDF5F0"/>
          </w:tcPr>
          <w:p>
            <w:pPr>
              <w:keepNext w:val="0"/>
              <w:keepLines w:val="0"/>
              <w:spacing w:before="0" w:after="0" w:line="264" w:lineRule="auto"/>
            </w:pPr>
            <w:r>
              <w:rPr>
                <w:rFonts w:ascii="Calibri" w:hAnsi="Calibri"/>
                <w:b/>
                <w:i w:val="0"/>
                <w:color w:val="173F31"/>
                <w:sz w:val="19"/>
              </w:rPr>
              <w:t>Forecast point</w:t>
            </w:r>
          </w:p>
        </w:tc>
        <w:tc>
          <w:tcPr>
            <w:tcW w:type="dxa" w:w="7160"/>
            <w:shd w:fill="F2F4F7"/>
          </w:tcPr>
          <w:p>
            <w:pPr>
              <w:keepNext w:val="0"/>
              <w:keepLines w:val="0"/>
              <w:spacing w:before="0" w:after="0" w:line="264" w:lineRule="auto"/>
            </w:pPr>
            <w:r>
              <w:rPr>
                <w:rFonts w:ascii="Calibri" w:hAnsi="Calibri"/>
                <w:b w:val="0"/>
                <w:i w:val="0"/>
                <w:color w:val="26302B"/>
                <w:sz w:val="19"/>
              </w:rPr>
              <w:t>Day 21 only; the result is held afterward</w:t>
            </w:r>
          </w:p>
        </w:tc>
      </w:tr>
      <w:tr>
        <w:trPr>
          <w:cantSplit/>
        </w:trPr>
        <w:tc>
          <w:tcPr>
            <w:tcW w:type="dxa" w:w="2200"/>
            <w:shd w:fill="EDF5F0"/>
          </w:tcPr>
          <w:p>
            <w:pPr>
              <w:keepNext w:val="0"/>
              <w:keepLines w:val="0"/>
              <w:spacing w:before="0" w:after="0" w:line="264" w:lineRule="auto"/>
            </w:pPr>
            <w:r>
              <w:rPr>
                <w:rFonts w:ascii="Calibri" w:hAnsi="Calibri"/>
                <w:b/>
                <w:i w:val="0"/>
                <w:color w:val="173F31"/>
                <w:sz w:val="19"/>
              </w:rPr>
              <w:t>Algorithm</w:t>
            </w:r>
          </w:p>
        </w:tc>
        <w:tc>
          <w:tcPr>
            <w:tcW w:type="dxa" w:w="7160"/>
          </w:tcPr>
          <w:p>
            <w:pPr>
              <w:keepNext w:val="0"/>
              <w:keepLines w:val="0"/>
              <w:spacing w:before="0" w:after="0" w:line="264" w:lineRule="auto"/>
            </w:pPr>
            <w:r>
              <w:rPr>
                <w:rFonts w:ascii="Calibri" w:hAnsi="Calibri"/>
                <w:b w:val="0"/>
                <w:i w:val="0"/>
                <w:color w:val="26302B"/>
                <w:sz w:val="19"/>
              </w:rPr>
              <w:t>XGBoost regression with 250 shallow boosted trees</w:t>
            </w:r>
          </w:p>
        </w:tc>
      </w:tr>
      <w:tr>
        <w:trPr>
          <w:cantSplit/>
        </w:trPr>
        <w:tc>
          <w:tcPr>
            <w:tcW w:type="dxa" w:w="2200"/>
            <w:shd w:fill="EDF5F0"/>
          </w:tcPr>
          <w:p>
            <w:pPr>
              <w:keepNext w:val="0"/>
              <w:keepLines w:val="0"/>
              <w:spacing w:before="0" w:after="0" w:line="264" w:lineRule="auto"/>
            </w:pPr>
            <w:r>
              <w:rPr>
                <w:rFonts w:ascii="Calibri" w:hAnsi="Calibri"/>
                <w:b/>
                <w:i w:val="0"/>
                <w:color w:val="173F31"/>
                <w:sz w:val="19"/>
              </w:rPr>
              <w:t>Inputs</w:t>
            </w:r>
          </w:p>
        </w:tc>
        <w:tc>
          <w:tcPr>
            <w:tcW w:type="dxa" w:w="7160"/>
            <w:shd w:fill="F2F4F7"/>
          </w:tcPr>
          <w:p>
            <w:pPr>
              <w:keepNext w:val="0"/>
              <w:keepLines w:val="0"/>
              <w:spacing w:before="0" w:after="0" w:line="264" w:lineRule="auto"/>
            </w:pPr>
            <w:r>
              <w:rPr>
                <w:rFonts w:ascii="Calibri" w:hAnsi="Calibri"/>
                <w:b w:val="0"/>
                <w:i w:val="0"/>
                <w:color w:val="26302B"/>
                <w:sz w:val="19"/>
              </w:rPr>
              <w:t>88 locked engineered variables through Day 21</w:t>
            </w:r>
          </w:p>
        </w:tc>
      </w:tr>
      <w:tr>
        <w:trPr>
          <w:cantSplit/>
        </w:trPr>
        <w:tc>
          <w:tcPr>
            <w:tcW w:type="dxa" w:w="2200"/>
            <w:shd w:fill="EDF5F0"/>
          </w:tcPr>
          <w:p>
            <w:pPr>
              <w:keepNext w:val="0"/>
              <w:keepLines w:val="0"/>
              <w:spacing w:before="0" w:after="0" w:line="264" w:lineRule="auto"/>
            </w:pPr>
            <w:r>
              <w:rPr>
                <w:rFonts w:ascii="Calibri" w:hAnsi="Calibri"/>
                <w:b/>
                <w:i w:val="0"/>
                <w:color w:val="173F31"/>
                <w:sz w:val="19"/>
              </w:rPr>
              <w:t>Development result</w:t>
            </w:r>
          </w:p>
        </w:tc>
        <w:tc>
          <w:tcPr>
            <w:tcW w:type="dxa" w:w="7160"/>
          </w:tcPr>
          <w:p>
            <w:pPr>
              <w:keepNext w:val="0"/>
              <w:keepLines w:val="0"/>
              <w:spacing w:before="0" w:after="0" w:line="264" w:lineRule="auto"/>
            </w:pPr>
            <w:r>
              <w:rPr>
                <w:rFonts w:ascii="Calibri" w:hAnsi="Calibri"/>
                <w:b w:val="0"/>
                <w:i w:val="0"/>
                <w:color w:val="26302B"/>
                <w:sz w:val="19"/>
              </w:rPr>
              <w:t>146 g Day 21 MAE; 132 g cycle-macro MAE</w:t>
            </w:r>
          </w:p>
        </w:tc>
      </w:tr>
      <w:tr>
        <w:trPr>
          <w:cantSplit/>
        </w:trPr>
        <w:tc>
          <w:tcPr>
            <w:tcW w:type="dxa" w:w="2200"/>
            <w:shd w:fill="EDF5F0"/>
          </w:tcPr>
          <w:p>
            <w:pPr>
              <w:keepNext w:val="0"/>
              <w:keepLines w:val="0"/>
              <w:spacing w:before="0" w:after="0" w:line="264" w:lineRule="auto"/>
            </w:pPr>
            <w:r>
              <w:rPr>
                <w:rFonts w:ascii="Calibri" w:hAnsi="Calibri"/>
                <w:b/>
                <w:i w:val="0"/>
                <w:color w:val="173F31"/>
                <w:sz w:val="19"/>
              </w:rPr>
              <w:t>Later audit</w:t>
            </w:r>
          </w:p>
        </w:tc>
        <w:tc>
          <w:tcPr>
            <w:tcW w:type="dxa" w:w="7160"/>
            <w:shd w:fill="F2F4F7"/>
          </w:tcPr>
          <w:p>
            <w:pPr>
              <w:keepNext w:val="0"/>
              <w:keepLines w:val="0"/>
              <w:spacing w:before="0" w:after="0" w:line="264" w:lineRule="auto"/>
            </w:pPr>
            <w:r>
              <w:rPr>
                <w:rFonts w:ascii="Calibri" w:hAnsi="Calibri"/>
                <w:b w:val="0"/>
                <w:i w:val="0"/>
                <w:color w:val="26302B"/>
                <w:sz w:val="19"/>
              </w:rPr>
              <w:t>116 g MAE on the three buildings from 2026-3</w:t>
            </w:r>
          </w:p>
        </w:tc>
      </w:tr>
    </w:tbl>
    <w:p>
      <w:pPr>
        <w:pStyle w:val="Heading2"/>
        <w:keepNext/>
      </w:pPr>
      <w:r>
        <w:t>How it was built</w:t>
      </w:r>
    </w:p>
    <w:p>
      <w:pPr>
        <w:keepNext w:val="0"/>
        <w:keepLines w:val="0"/>
        <w:numPr>
          <w:ilvl w:val="0"/>
          <w:numId w:val="13"/>
        </w:numPr>
        <w:spacing w:before="0" w:after="80" w:line="264" w:lineRule="auto"/>
      </w:pPr>
      <w:r>
        <w:rPr>
          <w:rFonts w:ascii="Calibri" w:hAnsi="Calibri"/>
          <w:b/>
          <w:i w:val="0"/>
          <w:color w:val="26302B"/>
          <w:sz w:val="22"/>
        </w:rPr>
        <w:t xml:space="preserve">Set the evidence cutoff. </w:t>
      </w:r>
      <w:r>
        <w:rPr>
          <w:rFonts w:ascii="Calibri" w:hAnsi="Calibri"/>
          <w:b w:val="0"/>
          <w:i w:val="0"/>
          <w:color w:val="26302B"/>
          <w:sz w:val="22"/>
        </w:rPr>
        <w:t>Use only information available through Day 21.</w:t>
      </w:r>
    </w:p>
    <w:p>
      <w:pPr>
        <w:keepNext w:val="0"/>
        <w:keepLines w:val="0"/>
        <w:numPr>
          <w:ilvl w:val="0"/>
          <w:numId w:val="13"/>
        </w:numPr>
        <w:spacing w:before="0" w:after="80" w:line="264" w:lineRule="auto"/>
      </w:pPr>
      <w:r>
        <w:rPr>
          <w:rFonts w:ascii="Calibri" w:hAnsi="Calibri"/>
          <w:b/>
          <w:i w:val="0"/>
          <w:color w:val="26302B"/>
          <w:sz w:val="22"/>
        </w:rPr>
        <w:t xml:space="preserve">Engineer the inputs. </w:t>
      </w:r>
      <w:r>
        <w:rPr>
          <w:rFonts w:ascii="Calibri" w:hAnsi="Calibri"/>
          <w:b w:val="0"/>
          <w:i w:val="0"/>
          <w:color w:val="26302B"/>
          <w:sz w:val="22"/>
        </w:rPr>
        <w:t>Describe growth trajectory, projected Day 35 trajectory, mortality, feed, temperature, humidity, THI, operations, missingness, and freshness.</w:t>
      </w:r>
    </w:p>
    <w:p>
      <w:pPr>
        <w:keepNext w:val="0"/>
        <w:keepLines w:val="0"/>
        <w:numPr>
          <w:ilvl w:val="0"/>
          <w:numId w:val="13"/>
        </w:numPr>
        <w:spacing w:before="0" w:after="80" w:line="264" w:lineRule="auto"/>
      </w:pPr>
      <w:r>
        <w:rPr>
          <w:rFonts w:ascii="Calibri" w:hAnsi="Calibri"/>
          <w:b/>
          <w:i w:val="0"/>
          <w:color w:val="26302B"/>
          <w:sz w:val="22"/>
        </w:rPr>
        <w:t xml:space="preserve">Train sequentially. </w:t>
      </w:r>
      <w:r>
        <w:rPr>
          <w:rFonts w:ascii="Calibri" w:hAnsi="Calibri"/>
          <w:b w:val="0"/>
          <w:i w:val="0"/>
          <w:color w:val="26302B"/>
          <w:sz w:val="22"/>
        </w:rPr>
        <w:t>Fit 250 shallow trees. Each new tree focuses on prediction error left by the earlier trees.</w:t>
      </w:r>
    </w:p>
    <w:p>
      <w:pPr>
        <w:keepNext w:val="0"/>
        <w:keepLines w:val="0"/>
        <w:numPr>
          <w:ilvl w:val="0"/>
          <w:numId w:val="13"/>
        </w:numPr>
        <w:spacing w:before="0" w:after="80" w:line="264" w:lineRule="auto"/>
      </w:pPr>
      <w:r>
        <w:rPr>
          <w:rFonts w:ascii="Calibri" w:hAnsi="Calibri"/>
          <w:b/>
          <w:i w:val="0"/>
          <w:color w:val="26302B"/>
          <w:sz w:val="22"/>
        </w:rPr>
        <w:t xml:space="preserve">Validate by cycle. </w:t>
      </w:r>
      <w:r>
        <w:rPr>
          <w:rFonts w:ascii="Calibri" w:hAnsi="Calibri"/>
          <w:b w:val="0"/>
          <w:i w:val="0"/>
          <w:color w:val="26302B"/>
          <w:sz w:val="22"/>
        </w:rPr>
        <w:t>Keep each held-out production cycle completely outside preprocessing and model fitting.</w:t>
      </w:r>
    </w:p>
    <w:p>
      <w:pPr>
        <w:keepNext w:val="0"/>
        <w:keepLines w:val="0"/>
        <w:numPr>
          <w:ilvl w:val="0"/>
          <w:numId w:val="13"/>
        </w:numPr>
        <w:spacing w:before="0" w:after="80" w:line="264" w:lineRule="auto"/>
      </w:pPr>
      <w:r>
        <w:rPr>
          <w:rFonts w:ascii="Calibri" w:hAnsi="Calibri"/>
          <w:b/>
          <w:i w:val="0"/>
          <w:color w:val="26302B"/>
          <w:sz w:val="22"/>
        </w:rPr>
        <w:t xml:space="preserve">Audit later data. </w:t>
      </w:r>
      <w:r>
        <w:rPr>
          <w:rFonts w:ascii="Calibri" w:hAnsi="Calibri"/>
          <w:b w:val="0"/>
          <w:i w:val="0"/>
          <w:color w:val="26302B"/>
          <w:sz w:val="22"/>
        </w:rPr>
        <w:t>Run the frozen Day 21 method on the 2026-3 buildings.</w:t>
      </w:r>
    </w:p>
    <w:p>
      <w:pPr>
        <w:pStyle w:val="Heading2"/>
        <w:keepNext/>
      </w:pPr>
      <w:r>
        <w:t>How to interpret it</w:t>
      </w:r>
    </w:p>
    <w:p>
      <w:pPr>
        <w:keepNext w:val="0"/>
        <w:keepLines w:val="0"/>
        <w:spacing w:before="0" w:after="160" w:line="264" w:lineRule="auto"/>
      </w:pPr>
      <w:r>
        <w:rPr>
          <w:rFonts w:ascii="Calibri" w:hAnsi="Calibri"/>
          <w:b w:val="0"/>
          <w:i w:val="0"/>
          <w:color w:val="26302B"/>
          <w:sz w:val="22"/>
        </w:rPr>
        <w:t>Model 3 offers a feature-rich Day 21 estimate with 14 days of lead time. Its broader input set may be useful for technical investigation, but those inputs should not be presented as proven causes of growth performance.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F2F4F7"/>
          </w:tcPr>
          <w:p>
            <w:pPr>
              <w:keepNext w:val="0"/>
              <w:keepLines w:val="0"/>
              <w:spacing w:before="0" w:after="20" w:line="264" w:lineRule="auto"/>
            </w:pPr>
            <w:r>
              <w:rPr>
                <w:rFonts w:ascii="Calibri" w:hAnsi="Calibri"/>
                <w:b/>
                <w:i w:val="0"/>
                <w:color w:val="286245"/>
                <w:sz w:val="21"/>
              </w:rPr>
              <w:t xml:space="preserve">Current status: </w:t>
            </w:r>
            <w:r>
              <w:rPr>
                <w:rFonts w:ascii="Calibri" w:hAnsi="Calibri"/>
                <w:b w:val="0"/>
                <w:i w:val="0"/>
                <w:color w:val="26302B"/>
                <w:sz w:val="21"/>
              </w:rPr>
              <w:t>Shadow benchmark. It is available in the bodyweight toggle for comparison, but it should not be used before Day 21 or described as the default bodyweight forecast.</w:t>
            </w:r>
          </w:p>
        </w:tc>
      </w:tr>
    </w:tbl>
    <w:p>
      <w:pPr>
        <w:keepNext w:val="0"/>
        <w:keepLines w:val="0"/>
        <w:spacing w:before="0" w:after="40" w:line="264" w:lineRule="auto"/>
      </w:pPr>
    </w:p>
    <w:p>
      <w:pPr>
        <w:keepNext/>
        <w:keepLines w:val="0"/>
        <w:pageBreakBefore/>
        <w:spacing w:before="0" w:after="60" w:line="264" w:lineRule="auto"/>
      </w:pPr>
      <w:r>
        <w:rPr>
          <w:rFonts w:ascii="Calibri" w:hAnsi="Calibri"/>
          <w:b/>
          <w:i w:val="0"/>
          <w:color w:val="96BE2B"/>
          <w:sz w:val="18"/>
        </w:rPr>
        <w:t>BODYWEIGHT FORECAST · PROVISIONAL DEFAULT</w:t>
      </w:r>
    </w:p>
    <w:p>
      <w:pPr>
        <w:pStyle w:val="Heading1"/>
        <w:keepNext/>
      </w:pPr>
      <w:r>
        <w:t>Checkpoint model · Historical remaining gain</w:t>
      </w:r>
    </w:p>
    <w:p>
      <w:pPr>
        <w:keepNext w:val="0"/>
        <w:keepLines w:val="0"/>
        <w:spacing w:before="0" w:after="200" w:line="264" w:lineRule="auto"/>
      </w:pPr>
      <w:r>
        <w:rPr>
          <w:rFonts w:ascii="Calibri" w:hAnsi="Calibri"/>
          <w:b w:val="0"/>
          <w:i w:val="0"/>
          <w:color w:val="26302B"/>
          <w:sz w:val="22"/>
        </w:rPr>
        <w:t>A transparent method that updates after each actual weighing checkpoint and estimates the remaining growth to Day 35.</w:t>
      </w:r>
    </w:p>
    <w:tbl>
      <w:tblPr>
        <w:tblW w:type="dxa" w:w="9360"/>
        <w:jc w:val="left"/>
        <w:tblLayout w:type="fixed"/>
        <w:tblLook w:firstColumn="1" w:firstRow="1" w:lastColumn="0" w:lastRow="0" w:noHBand="0" w:noVBand="1" w:val="04A0"/>
        <w:tblInd w:w="120" w:type="dxa"/>
      </w:tblPr>
      <w:tblGrid>
        <w:gridCol w:w="2200"/>
        <w:gridCol w:w="7160"/>
      </w:tblGrid>
      <w:tr>
        <w:trPr>
          <w:cantSplit/>
        </w:trPr>
        <w:tc>
          <w:tcPr>
            <w:tcW w:type="dxa" w:w="2200"/>
            <w:shd w:fill="EDF5F0"/>
          </w:tcPr>
          <w:p>
            <w:pPr>
              <w:keepNext w:val="0"/>
              <w:keepLines w:val="0"/>
              <w:spacing w:before="0" w:after="0" w:line="264" w:lineRule="auto"/>
            </w:pPr>
            <w:r>
              <w:rPr>
                <w:rFonts w:ascii="Calibri" w:hAnsi="Calibri"/>
                <w:b/>
                <w:i w:val="0"/>
                <w:color w:val="173F31"/>
                <w:sz w:val="19"/>
              </w:rPr>
              <w:t>Outcome</w:t>
            </w:r>
          </w:p>
        </w:tc>
        <w:tc>
          <w:tcPr>
            <w:tcW w:type="dxa" w:w="7160"/>
          </w:tcPr>
          <w:p>
            <w:pPr>
              <w:keepNext w:val="0"/>
              <w:keepLines w:val="0"/>
              <w:spacing w:before="0" w:after="0" w:line="264" w:lineRule="auto"/>
            </w:pPr>
            <w:r>
              <w:rPr>
                <w:rFonts w:ascii="Calibri" w:hAnsi="Calibri"/>
                <w:b w:val="0"/>
                <w:i w:val="0"/>
                <w:color w:val="26302B"/>
                <w:sz w:val="19"/>
              </w:rPr>
              <w:t>Recorded average bodyweight on Day 35</w:t>
            </w:r>
          </w:p>
        </w:tc>
      </w:tr>
      <w:tr>
        <w:trPr>
          <w:cantSplit/>
        </w:trPr>
        <w:tc>
          <w:tcPr>
            <w:tcW w:type="dxa" w:w="2200"/>
            <w:shd w:fill="EDF5F0"/>
          </w:tcPr>
          <w:p>
            <w:pPr>
              <w:keepNext w:val="0"/>
              <w:keepLines w:val="0"/>
              <w:spacing w:before="0" w:after="0" w:line="264" w:lineRule="auto"/>
            </w:pPr>
            <w:r>
              <w:rPr>
                <w:rFonts w:ascii="Calibri" w:hAnsi="Calibri"/>
                <w:b/>
                <w:i w:val="0"/>
                <w:color w:val="173F31"/>
                <w:sz w:val="19"/>
              </w:rPr>
              <w:t>Forecast points</w:t>
            </w:r>
          </w:p>
        </w:tc>
        <w:tc>
          <w:tcPr>
            <w:tcW w:type="dxa" w:w="7160"/>
            <w:shd w:fill="F2F4F7"/>
          </w:tcPr>
          <w:p>
            <w:pPr>
              <w:keepNext w:val="0"/>
              <w:keepLines w:val="0"/>
              <w:spacing w:before="0" w:after="0" w:line="264" w:lineRule="auto"/>
            </w:pPr>
            <w:r>
              <w:rPr>
                <w:rFonts w:ascii="Calibri" w:hAnsi="Calibri"/>
                <w:b w:val="0"/>
                <w:i w:val="0"/>
                <w:color w:val="26302B"/>
                <w:sz w:val="19"/>
              </w:rPr>
              <w:t>Days 7, 14, 21, and 28</w:t>
            </w:r>
          </w:p>
        </w:tc>
      </w:tr>
      <w:tr>
        <w:trPr>
          <w:cantSplit/>
        </w:trPr>
        <w:tc>
          <w:tcPr>
            <w:tcW w:type="dxa" w:w="2200"/>
            <w:shd w:fill="EDF5F0"/>
          </w:tcPr>
          <w:p>
            <w:pPr>
              <w:keepNext w:val="0"/>
              <w:keepLines w:val="0"/>
              <w:spacing w:before="0" w:after="0" w:line="264" w:lineRule="auto"/>
            </w:pPr>
            <w:r>
              <w:rPr>
                <w:rFonts w:ascii="Calibri" w:hAnsi="Calibri"/>
                <w:b/>
                <w:i w:val="0"/>
                <w:color w:val="173F31"/>
                <w:sz w:val="19"/>
              </w:rPr>
              <w:t>Calculation</w:t>
            </w:r>
          </w:p>
        </w:tc>
        <w:tc>
          <w:tcPr>
            <w:tcW w:type="dxa" w:w="7160"/>
          </w:tcPr>
          <w:p>
            <w:pPr>
              <w:keepNext w:val="0"/>
              <w:keepLines w:val="0"/>
              <w:spacing w:before="0" w:after="0" w:line="264" w:lineRule="auto"/>
            </w:pPr>
            <w:r>
              <w:rPr>
                <w:rFonts w:ascii="Calibri" w:hAnsi="Calibri"/>
                <w:b w:val="0"/>
                <w:i w:val="0"/>
                <w:color w:val="26302B"/>
                <w:sz w:val="19"/>
              </w:rPr>
              <w:t>Latest actual weight + historical average remaining gain</w:t>
            </w:r>
          </w:p>
        </w:tc>
      </w:tr>
      <w:tr>
        <w:trPr>
          <w:cantSplit/>
        </w:trPr>
        <w:tc>
          <w:tcPr>
            <w:tcW w:type="dxa" w:w="2200"/>
            <w:shd w:fill="EDF5F0"/>
          </w:tcPr>
          <w:p>
            <w:pPr>
              <w:keepNext w:val="0"/>
              <w:keepLines w:val="0"/>
              <w:spacing w:before="0" w:after="0" w:line="264" w:lineRule="auto"/>
            </w:pPr>
            <w:r>
              <w:rPr>
                <w:rFonts w:ascii="Calibri" w:hAnsi="Calibri"/>
                <w:b/>
                <w:i w:val="0"/>
                <w:color w:val="173F31"/>
                <w:sz w:val="19"/>
              </w:rPr>
              <w:t>Direct inputs</w:t>
            </w:r>
          </w:p>
        </w:tc>
        <w:tc>
          <w:tcPr>
            <w:tcW w:type="dxa" w:w="7160"/>
            <w:shd w:fill="F2F4F7"/>
          </w:tcPr>
          <w:p>
            <w:pPr>
              <w:keepNext w:val="0"/>
              <w:keepLines w:val="0"/>
              <w:spacing w:before="0" w:after="0" w:line="264" w:lineRule="auto"/>
            </w:pPr>
            <w:r>
              <w:rPr>
                <w:rFonts w:ascii="Calibri" w:hAnsi="Calibri"/>
                <w:b w:val="0"/>
                <w:i w:val="0"/>
                <w:color w:val="26302B"/>
                <w:sz w:val="19"/>
              </w:rPr>
              <w:t>Checkpoint weight, measurement day, freshness, and training-fold remaining gain</w:t>
            </w:r>
          </w:p>
        </w:tc>
      </w:tr>
      <w:tr>
        <w:trPr>
          <w:cantSplit/>
        </w:trPr>
        <w:tc>
          <w:tcPr>
            <w:tcW w:type="dxa" w:w="2200"/>
            <w:shd w:fill="EDF5F0"/>
          </w:tcPr>
          <w:p>
            <w:pPr>
              <w:keepNext w:val="0"/>
              <w:keepLines w:val="0"/>
              <w:spacing w:before="0" w:after="0" w:line="264" w:lineRule="auto"/>
            </w:pPr>
            <w:r>
              <w:rPr>
                <w:rFonts w:ascii="Calibri" w:hAnsi="Calibri"/>
                <w:b/>
                <w:i w:val="0"/>
                <w:color w:val="173F31"/>
                <w:sz w:val="19"/>
              </w:rPr>
              <w:t>Development result</w:t>
            </w:r>
          </w:p>
        </w:tc>
        <w:tc>
          <w:tcPr>
            <w:tcW w:type="dxa" w:w="7160"/>
          </w:tcPr>
          <w:p>
            <w:pPr>
              <w:keepNext w:val="0"/>
              <w:keepLines w:val="0"/>
              <w:spacing w:before="0" w:after="0" w:line="264" w:lineRule="auto"/>
            </w:pPr>
            <w:r>
              <w:rPr>
                <w:rFonts w:ascii="Calibri" w:hAnsi="Calibri"/>
                <w:b w:val="0"/>
                <w:i w:val="0"/>
                <w:color w:val="26302B"/>
                <w:sz w:val="19"/>
              </w:rPr>
              <w:t>127 g pooled MAE; 121 g cycle-macro MAE</w:t>
            </w:r>
          </w:p>
        </w:tc>
      </w:tr>
      <w:tr>
        <w:trPr>
          <w:cantSplit/>
        </w:trPr>
        <w:tc>
          <w:tcPr>
            <w:tcW w:type="dxa" w:w="2200"/>
            <w:shd w:fill="EDF5F0"/>
          </w:tcPr>
          <w:p>
            <w:pPr>
              <w:keepNext w:val="0"/>
              <w:keepLines w:val="0"/>
              <w:spacing w:before="0" w:after="0" w:line="264" w:lineRule="auto"/>
            </w:pPr>
            <w:r>
              <w:rPr>
                <w:rFonts w:ascii="Calibri" w:hAnsi="Calibri"/>
                <w:b/>
                <w:i w:val="0"/>
                <w:color w:val="173F31"/>
                <w:sz w:val="19"/>
              </w:rPr>
              <w:t>Later audit</w:t>
            </w:r>
          </w:p>
        </w:tc>
        <w:tc>
          <w:tcPr>
            <w:tcW w:type="dxa" w:w="7160"/>
            <w:shd w:fill="F2F4F7"/>
          </w:tcPr>
          <w:p>
            <w:pPr>
              <w:keepNext w:val="0"/>
              <w:keepLines w:val="0"/>
              <w:spacing w:before="0" w:after="0" w:line="264" w:lineRule="auto"/>
            </w:pPr>
            <w:r>
              <w:rPr>
                <w:rFonts w:ascii="Calibri" w:hAnsi="Calibri"/>
                <w:b w:val="0"/>
                <w:i w:val="0"/>
                <w:color w:val="26302B"/>
                <w:sz w:val="19"/>
              </w:rPr>
              <w:t>78 g MAE on the three buildings from 2026-3</w:t>
            </w:r>
          </w:p>
        </w:tc>
      </w:tr>
    </w:tbl>
    <w:p>
      <w:pPr>
        <w:pStyle w:val="Heading2"/>
        <w:keepNext/>
      </w:pPr>
      <w:r>
        <w:t>How it was built</w:t>
      </w:r>
    </w:p>
    <w:p>
      <w:pPr>
        <w:keepNext w:val="0"/>
        <w:keepLines w:val="0"/>
        <w:numPr>
          <w:ilvl w:val="0"/>
          <w:numId w:val="14"/>
        </w:numPr>
        <w:spacing w:before="0" w:after="80" w:line="264" w:lineRule="auto"/>
      </w:pPr>
      <w:r>
        <w:rPr>
          <w:rFonts w:ascii="Calibri" w:hAnsi="Calibri"/>
          <w:b/>
          <w:i w:val="0"/>
          <w:color w:val="26302B"/>
          <w:sz w:val="22"/>
        </w:rPr>
        <w:t xml:space="preserve">Read the latest measurement. </w:t>
      </w:r>
      <w:r>
        <w:rPr>
          <w:rFonts w:ascii="Calibri" w:hAnsi="Calibri"/>
          <w:b w:val="0"/>
          <w:i w:val="0"/>
          <w:color w:val="26302B"/>
          <w:sz w:val="22"/>
        </w:rPr>
        <w:t>Use an actual Day 7, 14, 21, or 28 bodyweight; do not invent a new weight between weigh-ins.</w:t>
      </w:r>
    </w:p>
    <w:p>
      <w:pPr>
        <w:keepNext w:val="0"/>
        <w:keepLines w:val="0"/>
        <w:numPr>
          <w:ilvl w:val="0"/>
          <w:numId w:val="14"/>
        </w:numPr>
        <w:spacing w:before="0" w:after="80" w:line="264" w:lineRule="auto"/>
      </w:pPr>
      <w:r>
        <w:rPr>
          <w:rFonts w:ascii="Calibri" w:hAnsi="Calibri"/>
          <w:b/>
          <w:i w:val="0"/>
          <w:color w:val="26302B"/>
          <w:sz w:val="22"/>
        </w:rPr>
        <w:t xml:space="preserve">Estimate remaining gain. </w:t>
      </w:r>
      <w:r>
        <w:rPr>
          <w:rFonts w:ascii="Calibri" w:hAnsi="Calibri"/>
          <w:b w:val="0"/>
          <w:i w:val="0"/>
          <w:color w:val="26302B"/>
          <w:sz w:val="22"/>
        </w:rPr>
        <w:t>Calculate the historical average growth from that checkpoint to Day 35 using training cycles only.</w:t>
      </w:r>
    </w:p>
    <w:p>
      <w:pPr>
        <w:keepNext w:val="0"/>
        <w:keepLines w:val="0"/>
        <w:numPr>
          <w:ilvl w:val="0"/>
          <w:numId w:val="14"/>
        </w:numPr>
        <w:spacing w:before="0" w:after="80" w:line="264" w:lineRule="auto"/>
      </w:pPr>
      <w:r>
        <w:rPr>
          <w:rFonts w:ascii="Calibri" w:hAnsi="Calibri"/>
          <w:b/>
          <w:i w:val="0"/>
          <w:color w:val="26302B"/>
          <w:sz w:val="22"/>
        </w:rPr>
        <w:t xml:space="preserve">Create the outlook. </w:t>
      </w:r>
      <w:r>
        <w:rPr>
          <w:rFonts w:ascii="Calibri" w:hAnsi="Calibri"/>
          <w:b w:val="0"/>
          <w:i w:val="0"/>
          <w:color w:val="26302B"/>
          <w:sz w:val="22"/>
        </w:rPr>
        <w:t>Add the estimated remaining gain to the latest actual checkpoint weight.</w:t>
      </w:r>
    </w:p>
    <w:p>
      <w:pPr>
        <w:keepNext w:val="0"/>
        <w:keepLines w:val="0"/>
        <w:numPr>
          <w:ilvl w:val="0"/>
          <w:numId w:val="14"/>
        </w:numPr>
        <w:spacing w:before="0" w:after="80" w:line="264" w:lineRule="auto"/>
      </w:pPr>
      <w:r>
        <w:rPr>
          <w:rFonts w:ascii="Calibri" w:hAnsi="Calibri"/>
          <w:b/>
          <w:i w:val="0"/>
          <w:color w:val="26302B"/>
          <w:sz w:val="22"/>
        </w:rPr>
        <w:t xml:space="preserve">Validate by cycle. </w:t>
      </w:r>
      <w:r>
        <w:rPr>
          <w:rFonts w:ascii="Calibri" w:hAnsi="Calibri"/>
          <w:b w:val="0"/>
          <w:i w:val="0"/>
          <w:color w:val="26302B"/>
          <w:sz w:val="22"/>
        </w:rPr>
        <w:t>Recalculate the remaining-gain average without the held-out production cycle, then score the unseen buildings.</w:t>
      </w:r>
    </w:p>
    <w:p>
      <w:pPr>
        <w:keepNext w:val="0"/>
        <w:keepLines w:val="0"/>
        <w:numPr>
          <w:ilvl w:val="0"/>
          <w:numId w:val="14"/>
        </w:numPr>
        <w:spacing w:before="0" w:after="80" w:line="264" w:lineRule="auto"/>
      </w:pPr>
      <w:r>
        <w:rPr>
          <w:rFonts w:ascii="Calibri" w:hAnsi="Calibri"/>
          <w:b/>
          <w:i w:val="0"/>
          <w:color w:val="26302B"/>
          <w:sz w:val="22"/>
        </w:rPr>
        <w:t xml:space="preserve">Compare candidates. </w:t>
      </w:r>
      <w:r>
        <w:rPr>
          <w:rFonts w:ascii="Calibri" w:hAnsi="Calibri"/>
          <w:b w:val="0"/>
          <w:i w:val="0"/>
          <w:color w:val="26302B"/>
          <w:sz w:val="22"/>
        </w:rPr>
        <w:t>Evaluate linear, regularized, robust, tree-based, boosting, CatBoost, XGBoost, and transparent baselines; retain the simplest stable winner.</w:t>
      </w:r>
    </w:p>
    <w:p>
      <w:pPr>
        <w:pStyle w:val="Heading2"/>
        <w:keepNext/>
      </w:pPr>
      <w:r>
        <w:t>How to interpret it</w:t>
      </w:r>
    </w:p>
    <w:p>
      <w:pPr>
        <w:keepNext w:val="0"/>
        <w:keepLines w:val="0"/>
        <w:spacing w:before="0" w:after="160" w:line="264" w:lineRule="auto"/>
      </w:pPr>
      <w:r>
        <w:rPr>
          <w:rFonts w:ascii="Calibri" w:hAnsi="Calibri"/>
          <w:b w:val="0"/>
          <w:i w:val="0"/>
          <w:color w:val="26302B"/>
          <w:sz w:val="22"/>
        </w:rPr>
        <w:t>A heavier measured bird produces a higher Day 35 outlook. Later checkpoints are normally more accurate because less future growth remains unknown. Between weigh-ins, the forecast should remain unchanged while the app clearly shows the age of the latest measurement.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F6F9E8"/>
          </w:tcPr>
          <w:p>
            <w:pPr>
              <w:keepNext w:val="0"/>
              <w:keepLines w:val="0"/>
              <w:spacing w:before="0" w:after="20" w:line="264" w:lineRule="auto"/>
            </w:pPr>
            <w:r>
              <w:rPr>
                <w:rFonts w:ascii="Calibri" w:hAnsi="Calibri"/>
                <w:b/>
                <w:i w:val="0"/>
                <w:color w:val="173F31"/>
                <w:sz w:val="21"/>
              </w:rPr>
              <w:t xml:space="preserve">Current status: </w:t>
            </w:r>
            <w:r>
              <w:rPr>
                <w:rFonts w:ascii="Calibri" w:hAnsi="Calibri"/>
                <w:b w:val="0"/>
                <w:i w:val="0"/>
                <w:color w:val="26302B"/>
                <w:sz w:val="21"/>
              </w:rPr>
              <w:t>Provisional default for Day 35 bodyweight. It offers earlier visibility, refreshes four times, is easy to audit, and had lower Day 21 error than Model 3.</w:t>
            </w:r>
          </w:p>
        </w:tc>
      </w:tr>
    </w:tbl>
    <w:p>
      <w:pPr>
        <w:keepNext w:val="0"/>
        <w:keepLines w:val="0"/>
        <w:spacing w:before="0" w:after="40" w:line="264" w:lineRule="auto"/>
      </w:pPr>
    </w:p>
    <w:p>
      <w:pPr>
        <w:keepNext/>
        <w:keepLines w:val="0"/>
        <w:pageBreakBefore/>
        <w:spacing w:before="0" w:after="60" w:line="264" w:lineRule="auto"/>
      </w:pPr>
      <w:r>
        <w:rPr>
          <w:rFonts w:ascii="Calibri" w:hAnsi="Calibri"/>
          <w:b/>
          <w:i w:val="0"/>
          <w:color w:val="96BE2B"/>
          <w:sz w:val="18"/>
        </w:rPr>
        <w:t>EVIDENCE AND OPERATING CHOICE</w:t>
      </w:r>
    </w:p>
    <w:p>
      <w:pPr>
        <w:pStyle w:val="Heading1"/>
        <w:keepNext/>
      </w:pPr>
      <w:r>
        <w:t>How the three engines compare</w:t>
      </w:r>
    </w:p>
    <w:tbl>
      <w:tblPr>
        <w:tblW w:type="dxa" w:w="9360"/>
        <w:jc w:val="left"/>
        <w:tblLayout w:type="fixed"/>
        <w:tblLook w:firstColumn="1" w:firstRow="1" w:lastColumn="0" w:lastRow="0" w:noHBand="0" w:noVBand="1" w:val="04A0"/>
        <w:tblInd w:w="120" w:type="dxa"/>
      </w:tblPr>
      <w:tblGrid>
        <w:gridCol w:w="2160"/>
        <w:gridCol w:w="2460"/>
        <w:gridCol w:w="1680"/>
        <w:gridCol w:w="3060"/>
      </w:tblGrid>
      <w:tr>
        <w:trPr>
          <w:tblHeader w:val="true"/>
        </w:trPr>
        <w:tc>
          <w:tcPr>
            <w:tcW w:type="dxa" w:w="21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173F31"/>
          </w:tcPr>
          <w:p>
            <w:pPr>
              <w:keepNext w:val="0"/>
              <w:keepLines w:val="0"/>
              <w:spacing w:before="0" w:after="0" w:line="240" w:lineRule="auto"/>
            </w:pPr>
            <w:r>
              <w:rPr>
                <w:rFonts w:ascii="Calibri" w:hAnsi="Calibri"/>
                <w:b/>
                <w:i w:val="0"/>
                <w:color w:val="FFFFFF"/>
                <w:sz w:val="18"/>
              </w:rPr>
              <w:t>Engine</w:t>
            </w:r>
          </w:p>
        </w:tc>
        <w:tc>
          <w:tcPr>
            <w:tcW w:type="dxa" w:w="24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173F31"/>
          </w:tcPr>
          <w:p>
            <w:pPr>
              <w:keepNext w:val="0"/>
              <w:keepLines w:val="0"/>
              <w:spacing w:before="0" w:after="0" w:line="240" w:lineRule="auto"/>
            </w:pPr>
            <w:r>
              <w:rPr>
                <w:rFonts w:ascii="Calibri" w:hAnsi="Calibri"/>
                <w:b/>
                <w:i w:val="0"/>
                <w:color w:val="FFFFFF"/>
                <w:sz w:val="18"/>
              </w:rPr>
              <w:t>Development result</w:t>
            </w:r>
          </w:p>
        </w:tc>
        <w:tc>
          <w:tcPr>
            <w:tcW w:type="dxa" w:w="168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173F31"/>
          </w:tcPr>
          <w:p>
            <w:pPr>
              <w:keepNext w:val="0"/>
              <w:keepLines w:val="0"/>
              <w:spacing w:before="0" w:after="0" w:line="240" w:lineRule="auto"/>
            </w:pPr>
            <w:r>
              <w:rPr>
                <w:rFonts w:ascii="Calibri" w:hAnsi="Calibri"/>
                <w:b/>
                <w:i w:val="0"/>
                <w:color w:val="FFFFFF"/>
                <w:sz w:val="18"/>
              </w:rPr>
              <w:t>2026-3 audit</w:t>
            </w:r>
          </w:p>
        </w:tc>
        <w:tc>
          <w:tcPr>
            <w:tcW w:type="dxa" w:w="30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173F31"/>
          </w:tcPr>
          <w:p>
            <w:pPr>
              <w:keepNext w:val="0"/>
              <w:keepLines w:val="0"/>
              <w:spacing w:before="0" w:after="0" w:line="240" w:lineRule="auto"/>
            </w:pPr>
            <w:r>
              <w:rPr>
                <w:rFonts w:ascii="Calibri" w:hAnsi="Calibri"/>
                <w:b/>
                <w:i w:val="0"/>
                <w:color w:val="FFFFFF"/>
                <w:sz w:val="18"/>
              </w:rPr>
              <w:t>Current interpretation</w:t>
            </w:r>
          </w:p>
        </w:tc>
      </w:tr>
      <w:tr>
        <w:trPr>
          <w:cantSplit/>
        </w:trPr>
        <w:tc>
          <w:tcPr>
            <w:tcW w:type="dxa" w:w="2160"/>
            <w:shd w:fill="F2F4F7"/>
          </w:tcPr>
          <w:p>
            <w:pPr>
              <w:keepNext w:val="0"/>
              <w:keepLines w:val="0"/>
              <w:spacing w:before="0" w:after="0" w:line="252" w:lineRule="auto"/>
            </w:pPr>
            <w:r>
              <w:rPr>
                <w:rFonts w:ascii="Calibri" w:hAnsi="Calibri"/>
                <w:b/>
                <w:i w:val="0"/>
                <w:color w:val="173F31"/>
                <w:sz w:val="18"/>
              </w:rPr>
              <w:t>Model 1 · Extra Trees</w:t>
            </w:r>
          </w:p>
        </w:tc>
        <w:tc>
          <w:tcPr>
            <w:tcW w:type="dxa" w:w="2460"/>
            <w:shd w:fill="F2F4F7"/>
          </w:tcPr>
          <w:p>
            <w:pPr>
              <w:keepNext w:val="0"/>
              <w:keepLines w:val="0"/>
              <w:spacing w:before="0" w:after="0" w:line="252" w:lineRule="auto"/>
            </w:pPr>
            <w:r>
              <w:rPr>
                <w:rFonts w:ascii="Calibri" w:hAnsi="Calibri"/>
                <w:b w:val="0"/>
                <w:i w:val="0"/>
                <w:color w:val="26302B"/>
                <w:sz w:val="18"/>
              </w:rPr>
              <w:t>2.47 pp pooled MAE</w:t>
            </w:r>
            <w:r>
              <w:br/>
            </w:r>
            <w:r>
              <w:rPr>
                <w:rFonts w:ascii="Calibri" w:hAnsi="Calibri"/>
                <w:b w:val="0"/>
                <w:i w:val="0"/>
                <w:color w:val="26302B"/>
                <w:sz w:val="18"/>
              </w:rPr>
              <w:t>2.76 pp cycle-macro MAE</w:t>
            </w:r>
          </w:p>
        </w:tc>
        <w:tc>
          <w:tcPr>
            <w:tcW w:type="dxa" w:w="1680"/>
            <w:shd w:fill="F2F4F7"/>
          </w:tcPr>
          <w:p>
            <w:pPr>
              <w:keepNext w:val="0"/>
              <w:keepLines w:val="0"/>
              <w:spacing w:before="0" w:after="0" w:line="252" w:lineRule="auto"/>
            </w:pPr>
            <w:r>
              <w:rPr>
                <w:rFonts w:ascii="Calibri" w:hAnsi="Calibri"/>
                <w:b w:val="0"/>
                <w:i w:val="0"/>
                <w:color w:val="26302B"/>
                <w:sz w:val="18"/>
              </w:rPr>
              <w:t>4.55 pp MAE</w:t>
            </w:r>
          </w:p>
        </w:tc>
        <w:tc>
          <w:tcPr>
            <w:tcW w:type="dxa" w:w="3060"/>
            <w:shd w:fill="F2F4F7"/>
          </w:tcPr>
          <w:p>
            <w:pPr>
              <w:keepNext w:val="0"/>
              <w:keepLines w:val="0"/>
              <w:spacing w:before="0" w:after="0" w:line="252" w:lineRule="auto"/>
            </w:pPr>
            <w:r>
              <w:rPr>
                <w:rFonts w:ascii="Calibri" w:hAnsi="Calibri"/>
                <w:b w:val="0"/>
                <w:i w:val="0"/>
                <w:color w:val="26302B"/>
                <w:sz w:val="18"/>
              </w:rPr>
              <w:t>Experimental. The transparent recovery baseline was slightly better.</w:t>
            </w:r>
          </w:p>
        </w:tc>
      </w:tr>
      <w:tr>
        <w:trPr>
          <w:cantSplit/>
        </w:trPr>
        <w:tc>
          <w:tcPr>
            <w:tcW w:type="dxa" w:w="2160"/>
          </w:tcPr>
          <w:p>
            <w:pPr>
              <w:keepNext w:val="0"/>
              <w:keepLines w:val="0"/>
              <w:spacing w:before="0" w:after="0" w:line="252" w:lineRule="auto"/>
            </w:pPr>
            <w:r>
              <w:rPr>
                <w:rFonts w:ascii="Calibri" w:hAnsi="Calibri"/>
                <w:b/>
                <w:i w:val="0"/>
                <w:color w:val="173F31"/>
                <w:sz w:val="18"/>
              </w:rPr>
              <w:t>Model 3 · XGBoost</w:t>
            </w:r>
          </w:p>
        </w:tc>
        <w:tc>
          <w:tcPr>
            <w:tcW w:type="dxa" w:w="2460"/>
          </w:tcPr>
          <w:p>
            <w:pPr>
              <w:keepNext w:val="0"/>
              <w:keepLines w:val="0"/>
              <w:spacing w:before="0" w:after="0" w:line="252" w:lineRule="auto"/>
            </w:pPr>
            <w:r>
              <w:rPr>
                <w:rFonts w:ascii="Calibri" w:hAnsi="Calibri"/>
                <w:b w:val="0"/>
                <w:i w:val="0"/>
                <w:color w:val="26302B"/>
                <w:sz w:val="18"/>
              </w:rPr>
              <w:t>146 g Day 21 MAE</w:t>
            </w:r>
            <w:r>
              <w:br/>
            </w:r>
            <w:r>
              <w:rPr>
                <w:rFonts w:ascii="Calibri" w:hAnsi="Calibri"/>
                <w:b w:val="0"/>
                <w:i w:val="0"/>
                <w:color w:val="26302B"/>
                <w:sz w:val="18"/>
              </w:rPr>
              <w:t>132 g cycle-macro MAE</w:t>
            </w:r>
          </w:p>
        </w:tc>
        <w:tc>
          <w:tcPr>
            <w:tcW w:type="dxa" w:w="1680"/>
          </w:tcPr>
          <w:p>
            <w:pPr>
              <w:keepNext w:val="0"/>
              <w:keepLines w:val="0"/>
              <w:spacing w:before="0" w:after="0" w:line="252" w:lineRule="auto"/>
            </w:pPr>
            <w:r>
              <w:rPr>
                <w:rFonts w:ascii="Calibri" w:hAnsi="Calibri"/>
                <w:b w:val="0"/>
                <w:i w:val="0"/>
                <w:color w:val="26302B"/>
                <w:sz w:val="18"/>
              </w:rPr>
              <w:t>116 g MAE</w:t>
            </w:r>
          </w:p>
        </w:tc>
        <w:tc>
          <w:tcPr>
            <w:tcW w:type="dxa" w:w="3060"/>
          </w:tcPr>
          <w:p>
            <w:pPr>
              <w:keepNext w:val="0"/>
              <w:keepLines w:val="0"/>
              <w:spacing w:before="0" w:after="0" w:line="252" w:lineRule="auto"/>
            </w:pPr>
            <w:r>
              <w:rPr>
                <w:rFonts w:ascii="Calibri" w:hAnsi="Calibri"/>
                <w:b w:val="0"/>
                <w:i w:val="0"/>
                <w:color w:val="26302B"/>
                <w:sz w:val="18"/>
              </w:rPr>
              <w:t>Useful Day 21 shadow benchmark, but later and less accurate at Day 21.</w:t>
            </w:r>
          </w:p>
        </w:tc>
      </w:tr>
      <w:tr>
        <w:trPr>
          <w:cantSplit/>
        </w:trPr>
        <w:tc>
          <w:tcPr>
            <w:tcW w:type="dxa" w:w="2160"/>
            <w:shd w:fill="F6F9E8"/>
          </w:tcPr>
          <w:p>
            <w:pPr>
              <w:keepNext w:val="0"/>
              <w:keepLines w:val="0"/>
              <w:spacing w:before="0" w:after="0" w:line="252" w:lineRule="auto"/>
            </w:pPr>
            <w:r>
              <w:rPr>
                <w:rFonts w:ascii="Calibri" w:hAnsi="Calibri"/>
                <w:b/>
                <w:i w:val="0"/>
                <w:color w:val="173F31"/>
                <w:sz w:val="18"/>
              </w:rPr>
              <w:t>Checkpoint model</w:t>
            </w:r>
          </w:p>
        </w:tc>
        <w:tc>
          <w:tcPr>
            <w:tcW w:type="dxa" w:w="2460"/>
            <w:shd w:fill="F6F9E8"/>
          </w:tcPr>
          <w:p>
            <w:pPr>
              <w:keepNext w:val="0"/>
              <w:keepLines w:val="0"/>
              <w:spacing w:before="0" w:after="0" w:line="252" w:lineRule="auto"/>
            </w:pPr>
            <w:r>
              <w:rPr>
                <w:rFonts w:ascii="Calibri" w:hAnsi="Calibri"/>
                <w:b w:val="0"/>
                <w:i w:val="0"/>
                <w:color w:val="26302B"/>
                <w:sz w:val="18"/>
              </w:rPr>
              <w:t>127 g pooled MAE</w:t>
            </w:r>
            <w:r>
              <w:br/>
            </w:r>
            <w:r>
              <w:rPr>
                <w:rFonts w:ascii="Calibri" w:hAnsi="Calibri"/>
                <w:b w:val="0"/>
                <w:i w:val="0"/>
                <w:color w:val="26302B"/>
                <w:sz w:val="18"/>
              </w:rPr>
              <w:t>121 g cycle-macro MAE</w:t>
            </w:r>
          </w:p>
        </w:tc>
        <w:tc>
          <w:tcPr>
            <w:tcW w:type="dxa" w:w="1680"/>
            <w:shd w:fill="F6F9E8"/>
          </w:tcPr>
          <w:p>
            <w:pPr>
              <w:keepNext w:val="0"/>
              <w:keepLines w:val="0"/>
              <w:spacing w:before="0" w:after="0" w:line="252" w:lineRule="auto"/>
            </w:pPr>
            <w:r>
              <w:rPr>
                <w:rFonts w:ascii="Calibri" w:hAnsi="Calibri"/>
                <w:b w:val="0"/>
                <w:i w:val="0"/>
                <w:color w:val="26302B"/>
                <w:sz w:val="18"/>
              </w:rPr>
              <w:t>78 g MAE</w:t>
            </w:r>
          </w:p>
        </w:tc>
        <w:tc>
          <w:tcPr>
            <w:tcW w:type="dxa" w:w="3060"/>
            <w:shd w:fill="F6F9E8"/>
          </w:tcPr>
          <w:p>
            <w:pPr>
              <w:keepNext w:val="0"/>
              <w:keepLines w:val="0"/>
              <w:spacing w:before="0" w:after="0" w:line="252" w:lineRule="auto"/>
            </w:pPr>
            <w:r>
              <w:rPr>
                <w:rFonts w:ascii="Calibri" w:hAnsi="Calibri"/>
                <w:b/>
                <w:i w:val="0"/>
                <w:color w:val="26302B"/>
                <w:sz w:val="18"/>
              </w:rPr>
              <w:t>Provisional default for bodyweight; earlier, simpler, and stronger at Day 21.</w:t>
            </w:r>
          </w:p>
        </w:tc>
      </w:tr>
    </w:tbl>
    <w:p>
      <w:pPr>
        <w:keepNext w:val="0"/>
        <w:keepLines w:val="0"/>
        <w:spacing w:before="0" w:after="160" w:line="264" w:lineRule="auto"/>
      </w:pPr>
      <w:r>
        <w:rPr>
          <w:rFonts w:ascii="Calibri" w:hAnsi="Calibri"/>
          <w:b w:val="0"/>
          <w:i w:val="0"/>
          <w:color w:val="26302B"/>
          <w:sz w:val="22"/>
        </w:rPr>
        <w:t>MAE is the average absolute difference between the forecast and the recorded outcome. Lower is better. Percentage-point error applies to recovery; gram error applies to bodyweight, so those values should not be compared with each other.</w:t>
      </w:r>
    </w:p>
    <w:p>
      <w:pPr>
        <w:pStyle w:val="Heading2"/>
        <w:keepNext/>
      </w:pPr>
      <w:r>
        <w:t>Checkpoint accuracy improves as Day 35 approaches</w:t>
      </w:r>
    </w:p>
    <w:tbl>
      <w:tblPr>
        <w:tblW w:type="dxa" w:w="9360"/>
        <w:jc w:val="left"/>
        <w:tblLayout w:type="fixed"/>
        <w:tblLook w:firstColumn="1" w:firstRow="1" w:lastColumn="0" w:lastRow="0" w:noHBand="0" w:noVBand="1" w:val="04A0"/>
        <w:tblInd w:w="120" w:type="dxa"/>
      </w:tblPr>
      <w:tblGrid>
        <w:gridCol w:w="2800"/>
        <w:gridCol w:w="2800"/>
        <w:gridCol w:w="3760"/>
      </w:tblGrid>
      <w:tr>
        <w:trPr>
          <w:tblHeader w:val="true"/>
        </w:trPr>
        <w:tc>
          <w:tcPr>
            <w:tcW w:type="dxa" w:w="280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286245"/>
          </w:tcPr>
          <w:p>
            <w:pPr>
              <w:keepNext w:val="0"/>
              <w:keepLines w:val="0"/>
              <w:spacing w:before="0" w:after="0" w:line="264" w:lineRule="auto"/>
              <w:jc w:val="center"/>
            </w:pPr>
            <w:r>
              <w:rPr>
                <w:rFonts w:ascii="Calibri" w:hAnsi="Calibri"/>
                <w:b/>
                <w:i w:val="0"/>
                <w:color w:val="FFFFFF"/>
                <w:sz w:val="18"/>
              </w:rPr>
              <w:t>Forecast point</w:t>
            </w:r>
          </w:p>
        </w:tc>
        <w:tc>
          <w:tcPr>
            <w:tcW w:type="dxa" w:w="280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286245"/>
          </w:tcPr>
          <w:p>
            <w:pPr>
              <w:keepNext w:val="0"/>
              <w:keepLines w:val="0"/>
              <w:spacing w:before="0" w:after="0" w:line="264" w:lineRule="auto"/>
              <w:jc w:val="center"/>
            </w:pPr>
            <w:r>
              <w:rPr>
                <w:rFonts w:ascii="Calibri" w:hAnsi="Calibri"/>
                <w:b/>
                <w:i w:val="0"/>
                <w:color w:val="FFFFFF"/>
                <w:sz w:val="18"/>
              </w:rPr>
              <w:t>Held-out MAE</w:t>
            </w:r>
          </w:p>
        </w:tc>
        <w:tc>
          <w:tcPr>
            <w:tcW w:type="dxa" w:w="37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286245"/>
          </w:tcPr>
          <w:p>
            <w:pPr>
              <w:keepNext w:val="0"/>
              <w:keepLines w:val="0"/>
              <w:spacing w:before="0" w:after="0" w:line="264" w:lineRule="auto"/>
              <w:jc w:val="center"/>
            </w:pPr>
            <w:r>
              <w:rPr>
                <w:rFonts w:ascii="Calibri" w:hAnsi="Calibri"/>
                <w:b/>
                <w:i w:val="0"/>
                <w:color w:val="FFFFFF"/>
                <w:sz w:val="18"/>
              </w:rPr>
              <w:t>Lead time to Day 35</w:t>
            </w:r>
          </w:p>
        </w:tc>
      </w:tr>
      <w:tr>
        <w:trPr>
          <w:cantSplit/>
        </w:trPr>
        <w:tc>
          <w:tcPr>
            <w:tcW w:type="dxa" w:w="2800"/>
            <w:shd w:fill="EDF5F0"/>
          </w:tcPr>
          <w:p>
            <w:pPr>
              <w:keepNext w:val="0"/>
              <w:keepLines w:val="0"/>
              <w:spacing w:before="0" w:after="0" w:line="264" w:lineRule="auto"/>
              <w:jc w:val="center"/>
            </w:pPr>
            <w:r>
              <w:rPr>
                <w:rFonts w:ascii="Calibri" w:hAnsi="Calibri"/>
                <w:b/>
                <w:i w:val="0"/>
                <w:color w:val="173F31"/>
                <w:sz w:val="19"/>
              </w:rPr>
              <w:t>Day 7</w:t>
            </w:r>
          </w:p>
        </w:tc>
        <w:tc>
          <w:tcPr>
            <w:tcW w:type="dxa" w:w="2800"/>
            <w:shd w:fill="EDF5F0"/>
          </w:tcPr>
          <w:p>
            <w:pPr>
              <w:keepNext w:val="0"/>
              <w:keepLines w:val="0"/>
              <w:spacing w:before="0" w:after="0" w:line="264" w:lineRule="auto"/>
              <w:jc w:val="center"/>
            </w:pPr>
            <w:r>
              <w:rPr>
                <w:rFonts w:ascii="Calibri" w:hAnsi="Calibri"/>
                <w:b w:val="0"/>
                <w:i w:val="0"/>
                <w:color w:val="26302B"/>
                <w:sz w:val="19"/>
              </w:rPr>
              <w:t>155 g</w:t>
            </w:r>
          </w:p>
        </w:tc>
        <w:tc>
          <w:tcPr>
            <w:tcW w:type="dxa" w:w="3760"/>
            <w:shd w:fill="EDF5F0"/>
          </w:tcPr>
          <w:p>
            <w:pPr>
              <w:keepNext w:val="0"/>
              <w:keepLines w:val="0"/>
              <w:spacing w:before="0" w:after="0" w:line="264" w:lineRule="auto"/>
              <w:jc w:val="center"/>
            </w:pPr>
            <w:r>
              <w:rPr>
                <w:rFonts w:ascii="Calibri" w:hAnsi="Calibri"/>
                <w:b w:val="0"/>
                <w:i w:val="0"/>
                <w:color w:val="26302B"/>
                <w:sz w:val="19"/>
              </w:rPr>
              <w:t>28 days</w:t>
            </w:r>
          </w:p>
        </w:tc>
      </w:tr>
      <w:tr>
        <w:trPr>
          <w:cantSplit/>
        </w:trPr>
        <w:tc>
          <w:tcPr>
            <w:tcW w:type="dxa" w:w="2800"/>
          </w:tcPr>
          <w:p>
            <w:pPr>
              <w:keepNext w:val="0"/>
              <w:keepLines w:val="0"/>
              <w:spacing w:before="0" w:after="0" w:line="264" w:lineRule="auto"/>
              <w:jc w:val="center"/>
            </w:pPr>
            <w:r>
              <w:rPr>
                <w:rFonts w:ascii="Calibri" w:hAnsi="Calibri"/>
                <w:b/>
                <w:i w:val="0"/>
                <w:color w:val="173F31"/>
                <w:sz w:val="19"/>
              </w:rPr>
              <w:t>Day 14</w:t>
            </w:r>
          </w:p>
        </w:tc>
        <w:tc>
          <w:tcPr>
            <w:tcW w:type="dxa" w:w="2800"/>
          </w:tcPr>
          <w:p>
            <w:pPr>
              <w:keepNext w:val="0"/>
              <w:keepLines w:val="0"/>
              <w:spacing w:before="0" w:after="0" w:line="264" w:lineRule="auto"/>
              <w:jc w:val="center"/>
            </w:pPr>
            <w:r>
              <w:rPr>
                <w:rFonts w:ascii="Calibri" w:hAnsi="Calibri"/>
                <w:b w:val="0"/>
                <w:i w:val="0"/>
                <w:color w:val="26302B"/>
                <w:sz w:val="19"/>
              </w:rPr>
              <w:t>138 g</w:t>
            </w:r>
          </w:p>
        </w:tc>
        <w:tc>
          <w:tcPr>
            <w:tcW w:type="dxa" w:w="3760"/>
          </w:tcPr>
          <w:p>
            <w:pPr>
              <w:keepNext w:val="0"/>
              <w:keepLines w:val="0"/>
              <w:spacing w:before="0" w:after="0" w:line="264" w:lineRule="auto"/>
              <w:jc w:val="center"/>
            </w:pPr>
            <w:r>
              <w:rPr>
                <w:rFonts w:ascii="Calibri" w:hAnsi="Calibri"/>
                <w:b w:val="0"/>
                <w:i w:val="0"/>
                <w:color w:val="26302B"/>
                <w:sz w:val="19"/>
              </w:rPr>
              <w:t>21 days</w:t>
            </w:r>
          </w:p>
        </w:tc>
      </w:tr>
      <w:tr>
        <w:trPr>
          <w:cantSplit/>
        </w:trPr>
        <w:tc>
          <w:tcPr>
            <w:tcW w:type="dxa" w:w="2800"/>
            <w:shd w:fill="EDF5F0"/>
          </w:tcPr>
          <w:p>
            <w:pPr>
              <w:keepNext w:val="0"/>
              <w:keepLines w:val="0"/>
              <w:spacing w:before="0" w:after="0" w:line="264" w:lineRule="auto"/>
              <w:jc w:val="center"/>
            </w:pPr>
            <w:r>
              <w:rPr>
                <w:rFonts w:ascii="Calibri" w:hAnsi="Calibri"/>
                <w:b/>
                <w:i w:val="0"/>
                <w:color w:val="173F31"/>
                <w:sz w:val="19"/>
              </w:rPr>
              <w:t>Day 21</w:t>
            </w:r>
          </w:p>
        </w:tc>
        <w:tc>
          <w:tcPr>
            <w:tcW w:type="dxa" w:w="2800"/>
            <w:shd w:fill="EDF5F0"/>
          </w:tcPr>
          <w:p>
            <w:pPr>
              <w:keepNext w:val="0"/>
              <w:keepLines w:val="0"/>
              <w:spacing w:before="0" w:after="0" w:line="264" w:lineRule="auto"/>
              <w:jc w:val="center"/>
            </w:pPr>
            <w:r>
              <w:rPr>
                <w:rFonts w:ascii="Calibri" w:hAnsi="Calibri"/>
                <w:b w:val="0"/>
                <w:i w:val="0"/>
                <w:color w:val="26302B"/>
                <w:sz w:val="19"/>
              </w:rPr>
              <w:t>112 g</w:t>
            </w:r>
          </w:p>
        </w:tc>
        <w:tc>
          <w:tcPr>
            <w:tcW w:type="dxa" w:w="3760"/>
            <w:shd w:fill="EDF5F0"/>
          </w:tcPr>
          <w:p>
            <w:pPr>
              <w:keepNext w:val="0"/>
              <w:keepLines w:val="0"/>
              <w:spacing w:before="0" w:after="0" w:line="264" w:lineRule="auto"/>
              <w:jc w:val="center"/>
            </w:pPr>
            <w:r>
              <w:rPr>
                <w:rFonts w:ascii="Calibri" w:hAnsi="Calibri"/>
                <w:b w:val="0"/>
                <w:i w:val="0"/>
                <w:color w:val="26302B"/>
                <w:sz w:val="19"/>
              </w:rPr>
              <w:t>14 days</w:t>
            </w:r>
          </w:p>
        </w:tc>
      </w:tr>
      <w:tr>
        <w:trPr>
          <w:cantSplit/>
        </w:trPr>
        <w:tc>
          <w:tcPr>
            <w:tcW w:type="dxa" w:w="2800"/>
          </w:tcPr>
          <w:p>
            <w:pPr>
              <w:keepNext w:val="0"/>
              <w:keepLines w:val="0"/>
              <w:spacing w:before="0" w:after="0" w:line="264" w:lineRule="auto"/>
              <w:jc w:val="center"/>
            </w:pPr>
            <w:r>
              <w:rPr>
                <w:rFonts w:ascii="Calibri" w:hAnsi="Calibri"/>
                <w:b/>
                <w:i w:val="0"/>
                <w:color w:val="173F31"/>
                <w:sz w:val="19"/>
              </w:rPr>
              <w:t>Day 28</w:t>
            </w:r>
          </w:p>
        </w:tc>
        <w:tc>
          <w:tcPr>
            <w:tcW w:type="dxa" w:w="2800"/>
          </w:tcPr>
          <w:p>
            <w:pPr>
              <w:keepNext w:val="0"/>
              <w:keepLines w:val="0"/>
              <w:spacing w:before="0" w:after="0" w:line="264" w:lineRule="auto"/>
              <w:jc w:val="center"/>
            </w:pPr>
            <w:r>
              <w:rPr>
                <w:rFonts w:ascii="Calibri" w:hAnsi="Calibri"/>
                <w:b w:val="0"/>
                <w:i w:val="0"/>
                <w:color w:val="26302B"/>
                <w:sz w:val="19"/>
              </w:rPr>
              <w:t>103 g</w:t>
            </w:r>
          </w:p>
        </w:tc>
        <w:tc>
          <w:tcPr>
            <w:tcW w:type="dxa" w:w="3760"/>
          </w:tcPr>
          <w:p>
            <w:pPr>
              <w:keepNext w:val="0"/>
              <w:keepLines w:val="0"/>
              <w:spacing w:before="0" w:after="0" w:line="264" w:lineRule="auto"/>
              <w:jc w:val="center"/>
            </w:pPr>
            <w:r>
              <w:rPr>
                <w:rFonts w:ascii="Calibri" w:hAnsi="Calibri"/>
                <w:b w:val="0"/>
                <w:i w:val="0"/>
                <w:color w:val="26302B"/>
                <w:sz w:val="19"/>
              </w:rPr>
              <w:t>7 days</w:t>
            </w:r>
          </w:p>
        </w:tc>
      </w:tr>
    </w:tbl>
    <w:p>
      <w:pPr>
        <w:keepNext w:val="0"/>
        <w:keepLines w:val="0"/>
        <w:spacing w:before="0" w:after="160" w:line="264" w:lineRule="auto"/>
      </w:pPr>
      <w:r>
        <w:rPr>
          <w:rFonts w:ascii="Calibri" w:hAnsi="Calibri"/>
          <w:b/>
          <w:i w:val="0"/>
          <w:color w:val="26302B"/>
          <w:sz w:val="22"/>
        </w:rPr>
        <w:t>At the same Day 21 evidence point,</w:t>
      </w:r>
      <w:r>
        <w:rPr>
          <w:rFonts w:ascii="Calibri" w:hAnsi="Calibri"/>
          <w:b w:val="0"/>
          <w:i w:val="0"/>
          <w:color w:val="26302B"/>
          <w:sz w:val="22"/>
        </w:rPr>
        <w:t xml:space="preserve"> the checkpoint method's MAE was approximately 34 g lower than Model 3's: 112 g versus 146 g.</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F6F9E8"/>
          </w:tcPr>
          <w:p>
            <w:pPr>
              <w:keepNext w:val="0"/>
              <w:keepLines w:val="0"/>
              <w:spacing w:before="0" w:after="20" w:line="264" w:lineRule="auto"/>
            </w:pPr>
            <w:r>
              <w:rPr>
                <w:rFonts w:ascii="Calibri" w:hAnsi="Calibri"/>
                <w:b/>
                <w:i w:val="0"/>
                <w:color w:val="7A5A00"/>
                <w:sz w:val="21"/>
              </w:rPr>
              <w:t xml:space="preserve">Audit limitation: </w:t>
            </w:r>
            <w:r>
              <w:rPr>
                <w:rFonts w:ascii="Calibri" w:hAnsi="Calibri"/>
                <w:b w:val="0"/>
                <w:i w:val="0"/>
                <w:color w:val="26302B"/>
                <w:sz w:val="21"/>
              </w:rPr>
              <w:t>The 2026-3 audit contains three buildings from one production cycle. It is a useful later-time check, but it is not three independent cycles and should not be treated as final proof of generalization.</w:t>
            </w:r>
          </w:p>
        </w:tc>
      </w:tr>
    </w:tbl>
    <w:p>
      <w:pPr>
        <w:keepNext w:val="0"/>
        <w:keepLines w:val="0"/>
        <w:spacing w:before="0" w:after="40" w:line="264" w:lineRule="auto"/>
      </w:pPr>
    </w:p>
    <w:p>
      <w:pPr>
        <w:pStyle w:val="Heading2"/>
        <w:keepNext/>
      </w:pPr>
      <w:r>
        <w:t>When to use which</w:t>
      </w:r>
    </w:p>
    <w:p>
      <w:pPr>
        <w:keepNext w:val="0"/>
        <w:keepLines w:val="0"/>
        <w:numPr>
          <w:ilvl w:val="0"/>
          <w:numId w:val="10"/>
        </w:numPr>
        <w:spacing w:before="0" w:after="80" w:line="264" w:lineRule="auto"/>
      </w:pPr>
      <w:r>
        <w:rPr>
          <w:rFonts w:ascii="Calibri" w:hAnsi="Calibri"/>
          <w:b/>
          <w:i w:val="0"/>
          <w:color w:val="26302B"/>
          <w:sz w:val="22"/>
        </w:rPr>
        <w:t>Model 1:</w:t>
      </w:r>
      <w:r>
        <w:rPr>
          <w:rFonts w:ascii="Calibri" w:hAnsi="Calibri"/>
          <w:b w:val="0"/>
          <w:i w:val="0"/>
          <w:color w:val="26302B"/>
          <w:sz w:val="22"/>
        </w:rPr>
        <w:t xml:space="preserve"> show the original recovery-model approach at Day 7 or Day 14, clearly labelled experimental.</w:t>
      </w:r>
    </w:p>
    <w:p>
      <w:pPr>
        <w:keepNext w:val="0"/>
        <w:keepLines w:val="0"/>
        <w:numPr>
          <w:ilvl w:val="0"/>
          <w:numId w:val="10"/>
        </w:numPr>
        <w:spacing w:before="0" w:after="80" w:line="264" w:lineRule="auto"/>
      </w:pPr>
      <w:r>
        <w:rPr>
          <w:rFonts w:ascii="Calibri" w:hAnsi="Calibri"/>
          <w:b/>
          <w:i w:val="0"/>
          <w:color w:val="26302B"/>
          <w:sz w:val="22"/>
        </w:rPr>
        <w:t>Checkpoint model:</w:t>
      </w:r>
      <w:r>
        <w:rPr>
          <w:rFonts w:ascii="Calibri" w:hAnsi="Calibri"/>
          <w:b w:val="0"/>
          <w:i w:val="0"/>
          <w:color w:val="26302B"/>
          <w:sz w:val="22"/>
        </w:rPr>
        <w:t xml:space="preserve"> use as the default Day 35 bodyweight outlook because it is earlier, stronger at Day 21, and easier to audit.</w:t>
      </w:r>
    </w:p>
    <w:p>
      <w:pPr>
        <w:keepNext w:val="0"/>
        <w:keepLines w:val="0"/>
        <w:numPr>
          <w:ilvl w:val="0"/>
          <w:numId w:val="10"/>
        </w:numPr>
        <w:spacing w:before="0" w:after="80" w:line="264" w:lineRule="auto"/>
      </w:pPr>
      <w:r>
        <w:rPr>
          <w:rFonts w:ascii="Calibri" w:hAnsi="Calibri"/>
          <w:b/>
          <w:i w:val="0"/>
          <w:color w:val="26302B"/>
          <w:sz w:val="22"/>
        </w:rPr>
        <w:t>Model 3:</w:t>
      </w:r>
      <w:r>
        <w:rPr>
          <w:rFonts w:ascii="Calibri" w:hAnsi="Calibri"/>
          <w:b w:val="0"/>
          <w:i w:val="0"/>
          <w:color w:val="26302B"/>
          <w:sz w:val="22"/>
        </w:rPr>
        <w:t xml:space="preserve"> retain as a Day 21 shadow benchmark when the team wants to compare the feature-rich XGBoost approach.</w:t>
      </w:r>
    </w:p>
    <w:p>
      <w:pPr>
        <w:keepNext w:val="0"/>
        <w:keepLines w:val="0"/>
        <w:numPr>
          <w:ilvl w:val="0"/>
          <w:numId w:val="10"/>
        </w:numPr>
        <w:spacing w:before="0" w:after="80" w:line="264" w:lineRule="auto"/>
      </w:pPr>
      <w:r>
        <w:rPr>
          <w:rFonts w:ascii="Calibri" w:hAnsi="Calibri"/>
          <w:b/>
          <w:i w:val="0"/>
          <w:color w:val="26302B"/>
          <w:sz w:val="22"/>
        </w:rPr>
        <w:t>If bodyweight forecasts disagree:</w:t>
      </w:r>
      <w:r>
        <w:rPr>
          <w:rFonts w:ascii="Calibri" w:hAnsi="Calibri"/>
          <w:b w:val="0"/>
          <w:i w:val="0"/>
          <w:color w:val="26302B"/>
          <w:sz w:val="22"/>
        </w:rPr>
        <w:t xml:space="preserve"> investigate the evidence and freshness; do not average them automatically and do not change the risk score.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EDF5F0"/>
          </w:tcPr>
          <w:p>
            <w:pPr>
              <w:keepNext w:val="0"/>
              <w:keepLines w:val="0"/>
              <w:spacing w:before="0" w:after="20" w:line="264" w:lineRule="auto"/>
            </w:pPr>
            <w:r>
              <w:rPr>
                <w:rFonts w:ascii="Calibri" w:hAnsi="Calibri"/>
                <w:b/>
                <w:i w:val="0"/>
                <w:color w:val="173F31"/>
                <w:sz w:val="21"/>
              </w:rPr>
              <w:t xml:space="preserve">Recommended operating position: </w:t>
            </w:r>
            <w:r>
              <w:rPr>
                <w:rFonts w:ascii="Calibri" w:hAnsi="Calibri"/>
                <w:b w:val="0"/>
                <w:i w:val="0"/>
                <w:color w:val="26302B"/>
                <w:sz w:val="21"/>
              </w:rPr>
              <w:t>Keep all three visible for capstone evaluation. Use Model 1 for recovery, make the checkpoint method the default bodyweight option, and keep Model 3 behind the bodyweight toggle as a clearly labelled Day 21 shadow benchmark.</w:t>
            </w:r>
          </w:p>
        </w:tc>
      </w:tr>
    </w:tbl>
    <w:p>
      <w:pPr>
        <w:keepNext w:val="0"/>
        <w:keepLines w:val="0"/>
        <w:spacing w:before="0" w:after="40" w:line="264" w:lineRule="auto"/>
      </w:pPr>
    </w:p>
    <w:p>
      <w:pPr>
        <w:keepNext/>
        <w:keepLines w:val="0"/>
        <w:pageBreakBefore w:val="0"/>
        <w:spacing w:before="0" w:after="60" w:line="264" w:lineRule="auto"/>
      </w:pPr>
      <w:r>
        <w:rPr>
          <w:rFonts w:ascii="Calibri" w:hAnsi="Calibri"/>
          <w:b/>
          <w:i w:val="0"/>
          <w:color w:val="96BE2B"/>
          <w:sz w:val="18"/>
        </w:rPr>
        <w:t>PRESENTATION SUPPORT</w:t>
      </w:r>
    </w:p>
    <w:p>
      <w:pPr>
        <w:pStyle w:val="Heading1"/>
        <w:keepNext/>
      </w:pPr>
      <w:r>
        <w:t>Speaker notes</w:t>
      </w:r>
    </w:p>
    <w:p>
      <w:pPr>
        <w:keepNext w:val="0"/>
        <w:keepLines w:val="0"/>
        <w:spacing w:before="0" w:after="200" w:line="264" w:lineRule="auto"/>
      </w:pPr>
      <w:r>
        <w:rPr>
          <w:rFonts w:ascii="Calibri" w:hAnsi="Calibri"/>
          <w:b w:val="0"/>
          <w:i w:val="0"/>
          <w:color w:val="26302B"/>
          <w:sz w:val="22"/>
        </w:rPr>
        <w:t>The notes below are written to be read aloud or adapted into short presentation remarks.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EDF5F0"/>
          </w:tcPr>
          <w:p>
            <w:pPr>
              <w:keepNext w:val="0"/>
              <w:keepLines w:val="0"/>
              <w:spacing w:before="0" w:after="20" w:line="264" w:lineRule="auto"/>
            </w:pPr>
            <w:r>
              <w:rPr>
                <w:rFonts w:ascii="Calibri" w:hAnsi="Calibri"/>
                <w:b/>
                <w:i w:val="0"/>
                <w:color w:val="173F31"/>
                <w:sz w:val="21"/>
              </w:rPr>
              <w:t xml:space="preserve">Big picture: </w:t>
            </w:r>
            <w:r>
              <w:rPr>
                <w:rFonts w:ascii="Calibri" w:hAnsi="Calibri"/>
                <w:b w:val="0"/>
                <w:i w:val="0"/>
                <w:color w:val="26302B"/>
                <w:sz w:val="21"/>
              </w:rPr>
              <w:t>Project Canary gives farm management an earlier view of where a flock may be heading. We forecast two outcomes: the end-of-cycle recovery proxy and average bodyweight on Day 35. We use three engines because two bodyweight approaches are being compared. Forecasts stay separate from the risk score and never trigger an automatic action.</w:t>
            </w:r>
          </w:p>
        </w:tc>
      </w:tr>
    </w:tbl>
    <w:p>
      <w:pPr>
        <w:keepNext w:val="0"/>
        <w:keepLines w:val="0"/>
        <w:spacing w:before="0" w:after="40" w:line="264"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F2F4F7"/>
          </w:tcPr>
          <w:p>
            <w:pPr>
              <w:keepNext w:val="0"/>
              <w:keepLines w:val="0"/>
              <w:spacing w:before="0" w:after="20" w:line="264" w:lineRule="auto"/>
            </w:pPr>
            <w:r>
              <w:rPr>
                <w:rFonts w:ascii="Calibri" w:hAnsi="Calibri"/>
                <w:b/>
                <w:i w:val="0"/>
                <w:color w:val="173F31"/>
                <w:sz w:val="21"/>
              </w:rPr>
              <w:t xml:space="preserve">Data and validation: </w:t>
            </w:r>
            <w:r>
              <w:rPr>
                <w:rFonts w:ascii="Calibri" w:hAnsi="Calibri"/>
                <w:b w:val="0"/>
                <w:i w:val="0"/>
                <w:color w:val="26302B"/>
                <w:sz w:val="21"/>
              </w:rPr>
              <w:t>We consolidated the farm records into one building-day dataset, standardized names, dates, units, and percentages, removed duplicates, and preserved missing values. We developed the models on 31 building-cycles from six production cycles. For validation, we held out one complete production cycle at a time so related records could not leak into both training and testing. We opened 2026-3 only after the methods were frozen.</w:t>
            </w:r>
          </w:p>
        </w:tc>
      </w:tr>
    </w:tbl>
    <w:p>
      <w:pPr>
        <w:keepNext w:val="0"/>
        <w:keepLines w:val="0"/>
        <w:spacing w:before="0" w:after="40" w:line="264"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F2F4F7"/>
          </w:tcPr>
          <w:p>
            <w:pPr>
              <w:keepNext w:val="0"/>
              <w:keepLines w:val="0"/>
              <w:spacing w:before="0" w:after="20" w:line="264" w:lineRule="auto"/>
            </w:pPr>
            <w:r>
              <w:rPr>
                <w:rFonts w:ascii="Calibri" w:hAnsi="Calibri"/>
                <w:b/>
                <w:i w:val="0"/>
                <w:color w:val="173F31"/>
                <w:sz w:val="21"/>
              </w:rPr>
              <w:t xml:space="preserve">Model 1: </w:t>
            </w:r>
            <w:r>
              <w:rPr>
                <w:rFonts w:ascii="Calibri" w:hAnsi="Calibri"/>
                <w:b w:val="0"/>
                <w:i w:val="0"/>
                <w:color w:val="26302B"/>
                <w:sz w:val="21"/>
              </w:rPr>
              <w:t>Model 1 predicts the end-of-cycle recovery proxy. It is an Extra Trees model with 500 decision trees and 85 engineered inputs. It produces outlooks at Day 7 and Day 14. Its historical error was about 2.47 percentage points, but it did not beat the transparent recovery baseline, so we label it experimental.</w:t>
            </w:r>
          </w:p>
        </w:tc>
      </w:tr>
    </w:tbl>
    <w:p>
      <w:pPr>
        <w:keepNext w:val="0"/>
        <w:keepLines w:val="0"/>
        <w:spacing w:before="0" w:after="40" w:line="264"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F2F4F7"/>
          </w:tcPr>
          <w:p>
            <w:pPr>
              <w:keepNext w:val="0"/>
              <w:keepLines w:val="0"/>
              <w:spacing w:before="0" w:after="20" w:line="264" w:lineRule="auto"/>
            </w:pPr>
            <w:r>
              <w:rPr>
                <w:rFonts w:ascii="Calibri" w:hAnsi="Calibri"/>
                <w:b/>
                <w:i w:val="0"/>
                <w:color w:val="173F31"/>
                <w:sz w:val="21"/>
              </w:rPr>
              <w:t xml:space="preserve">Model 3: </w:t>
            </w:r>
            <w:r>
              <w:rPr>
                <w:rFonts w:ascii="Calibri" w:hAnsi="Calibri"/>
                <w:b w:val="0"/>
                <w:i w:val="0"/>
                <w:color w:val="26302B"/>
                <w:sz w:val="21"/>
              </w:rPr>
              <w:t>Model 3 predicts Day 35 bodyweight using information available through Day 21. It is an XGBoost model with 250 boosted trees and 88 engineered inputs, including growth trajectory, mortality, feed, temperature, humidity, and THI. Its Day 21 historical error was about 146 grams. It is a richer benchmark, but it provides only two weeks of lead time.</w:t>
            </w:r>
          </w:p>
        </w:tc>
      </w:tr>
    </w:tbl>
    <w:p>
      <w:pPr>
        <w:keepNext w:val="0"/>
        <w:keepLines w:val="0"/>
        <w:spacing w:before="0" w:after="40" w:line="264"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F2F4F7"/>
          </w:tcPr>
          <w:p>
            <w:pPr>
              <w:keepNext w:val="0"/>
              <w:keepLines w:val="0"/>
              <w:spacing w:before="0" w:after="20" w:line="264" w:lineRule="auto"/>
            </w:pPr>
            <w:r>
              <w:rPr>
                <w:rFonts w:ascii="Calibri" w:hAnsi="Calibri"/>
                <w:b/>
                <w:i w:val="0"/>
                <w:color w:val="173F31"/>
                <w:sz w:val="21"/>
              </w:rPr>
              <w:t xml:space="preserve">Checkpoint model: </w:t>
            </w:r>
            <w:r>
              <w:rPr>
                <w:rFonts w:ascii="Calibri" w:hAnsi="Calibri"/>
                <w:b w:val="0"/>
                <w:i w:val="0"/>
                <w:color w:val="26302B"/>
                <w:sz w:val="21"/>
              </w:rPr>
              <w:t>The checkpoint model also predicts Day 35 bodyweight, but it works at Days 7, 14, 21, and 28. It takes the latest measured weight and adds the average historical growth that remained from that checkpoint to Day 35. Its overall error was about 127 grams, and at Day 21 its error was about 112 grams, compared with 146 grams for Model 3.</w:t>
            </w:r>
          </w:p>
        </w:tc>
      </w:tr>
    </w:tbl>
    <w:p>
      <w:pPr>
        <w:keepNext w:val="0"/>
        <w:keepLines w:val="0"/>
        <w:spacing w:before="0" w:after="40" w:line="264"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F2F4F7"/>
          </w:tcPr>
          <w:p>
            <w:pPr>
              <w:keepNext w:val="0"/>
              <w:keepLines w:val="0"/>
              <w:spacing w:before="0" w:after="20" w:line="264" w:lineRule="auto"/>
            </w:pPr>
            <w:r>
              <w:rPr>
                <w:rFonts w:ascii="Calibri" w:hAnsi="Calibri"/>
                <w:b/>
                <w:i w:val="0"/>
                <w:color w:val="173F31"/>
                <w:sz w:val="21"/>
              </w:rPr>
              <w:t xml:space="preserve">Why the toggle exists: </w:t>
            </w:r>
            <w:r>
              <w:rPr>
                <w:rFonts w:ascii="Calibri" w:hAnsi="Calibri"/>
                <w:b w:val="0"/>
                <w:i w:val="0"/>
                <w:color w:val="26302B"/>
                <w:sz w:val="21"/>
              </w:rPr>
              <w:t>The toggle lets us compare the two bodyweight approaches without showing conflicting numbers at the same time. The selected model is written directly on the card. The checkpoint method is the default because it is earlier, more accurate at Day 21, and easier to audit. Model 3 remains a shadow benchmark.</w:t>
            </w:r>
          </w:p>
        </w:tc>
      </w:tr>
    </w:tbl>
    <w:p>
      <w:pPr>
        <w:keepNext w:val="0"/>
        <w:keepLines w:val="0"/>
        <w:spacing w:before="0" w:after="40" w:line="264"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F2F4F7"/>
          </w:tcPr>
          <w:p>
            <w:pPr>
              <w:keepNext w:val="0"/>
              <w:keepLines w:val="0"/>
              <w:spacing w:before="0" w:after="20" w:line="264" w:lineRule="auto"/>
            </w:pPr>
            <w:r>
              <w:rPr>
                <w:rFonts w:ascii="Calibri" w:hAnsi="Calibri"/>
                <w:b/>
                <w:i w:val="0"/>
                <w:color w:val="173F31"/>
                <w:sz w:val="21"/>
              </w:rPr>
              <w:t xml:space="preserve">THI and feature importance: </w:t>
            </w:r>
            <w:r>
              <w:rPr>
                <w:rFonts w:ascii="Calibri" w:hAnsi="Calibri"/>
                <w:b w:val="0"/>
                <w:i w:val="0"/>
                <w:color w:val="26302B"/>
                <w:sz w:val="21"/>
              </w:rPr>
              <w:t>Temperature, humidity, and THI were retained in the engineered feature sets for Models 1 and 3. Feature importance tells us what the model relied on statistically; it does not prove that changing THI or another variable will cause the outcome to improve. We use those features as inspection context and research leads, not automatic treatment rules.</w:t>
            </w:r>
          </w:p>
        </w:tc>
      </w:tr>
    </w:tbl>
    <w:p>
      <w:pPr>
        <w:keepNext w:val="0"/>
        <w:keepLines w:val="0"/>
        <w:spacing w:before="0" w:after="40" w:line="264"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EDF5F0"/>
          </w:tcPr>
          <w:p>
            <w:pPr>
              <w:keepNext w:val="0"/>
              <w:keepLines w:val="0"/>
              <w:spacing w:before="0" w:after="20" w:line="264" w:lineRule="auto"/>
            </w:pPr>
            <w:r>
              <w:rPr>
                <w:rFonts w:ascii="Calibri" w:hAnsi="Calibri"/>
                <w:b/>
                <w:i w:val="0"/>
                <w:color w:val="173F31"/>
                <w:sz w:val="21"/>
              </w:rPr>
              <w:t xml:space="preserve">Trust boundary: </w:t>
            </w:r>
            <w:r>
              <w:rPr>
                <w:rFonts w:ascii="Calibri" w:hAnsi="Calibri"/>
                <w:b w:val="0"/>
                <w:i w:val="0"/>
                <w:color w:val="26302B"/>
                <w:sz w:val="21"/>
              </w:rPr>
              <w:t>These models are suitable for a controlled shadow pilot and capstone comparison. They are not suitable for diagnosing disease, prescribing treatment, or promising production improvement. Model 1 remains experimental, Model 3 remains a shadow benchmark, and the checkpoint method is the provisional default bodyweight outlook.</w:t>
            </w:r>
          </w:p>
        </w:tc>
      </w:tr>
    </w:tbl>
    <w:p>
      <w:pPr>
        <w:keepNext w:val="0"/>
        <w:keepLines w:val="0"/>
        <w:spacing w:before="0" w:after="40" w:line="264" w:lineRule="auto"/>
      </w:pPr>
    </w:p>
    <w:p>
      <w:pPr>
        <w:pStyle w:val="Heading2"/>
        <w:keepNext/>
      </w:pPr>
      <w:r>
        <w:t>One-line takeaway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6" w:color="D7E4DC"/>
              <w:start w:val="single" w:sz="6" w:color="D7E4DC"/>
              <w:bottom w:val="single" w:sz="6" w:color="D7E4DC"/>
              <w:end w:val="single" w:sz="6" w:color="D7E4DC"/>
              <w:insideH w:val="single" w:sz="6" w:color="D7E4DC"/>
              <w:insideV w:val="single" w:sz="6" w:color="D7E4DC"/>
            </w:tcBorders>
            <w:vAlign w:val="center"/>
            <w:shd w:fill="F6F9E8"/>
          </w:tcPr>
          <w:p>
            <w:pPr>
              <w:keepNext w:val="0"/>
              <w:keepLines w:val="0"/>
              <w:spacing w:before="0" w:after="20" w:line="264" w:lineRule="auto"/>
            </w:pPr>
            <w:r>
              <w:rPr>
                <w:rFonts w:ascii="Calibri" w:hAnsi="Calibri"/>
                <w:b/>
                <w:i w:val="0"/>
                <w:color w:val="173F31"/>
                <w:sz w:val="21"/>
              </w:rPr>
              <w:t xml:space="preserve">Say this: </w:t>
            </w:r>
            <w:r>
              <w:rPr>
                <w:rFonts w:ascii="Calibri" w:hAnsi="Calibri"/>
                <w:b w:val="0"/>
                <w:i w:val="0"/>
                <w:color w:val="26302B"/>
                <w:sz w:val="21"/>
              </w:rPr>
              <w:t>Canary uses one experimental recovery model and two bodyweight approaches to give management earlier, traceable planning outlooks—while keeping forecasts separate from the observed-condition risk score.</w:t>
            </w:r>
          </w:p>
        </w:tc>
      </w:tr>
    </w:tbl>
    <w:p>
      <w:pPr>
        <w:keepNext w:val="0"/>
        <w:keepLines w:val="0"/>
        <w:spacing w:before="0" w:after="40" w:line="264" w:lineRule="auto"/>
      </w:pPr>
    </w:p>
    <w:p>
      <w:pPr>
        <w:keepNext w:val="0"/>
        <w:keepLines w:val="0"/>
        <w:spacing w:before="0" w:after="0" w:line="264" w:lineRule="auto"/>
      </w:pPr>
      <w:r>
        <w:rPr>
          <w:rFonts w:ascii="Calibri" w:hAnsi="Calibri"/>
          <w:b w:val="0"/>
          <w:i w:val="0"/>
          <w:color w:val="26302B"/>
          <w:sz w:val="22"/>
        </w:rPr>
        <w:t>Source: Project Canary three-model evaluation workflow and model artifacts. Metrics current as of August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color w:val="5C6963"/>
        <w:sz w:val="17"/>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1">
    <w:abstractNumId w:val="10"/>
  </w:num>
  <w:abstractNum w:abstractNumId="11">
    <w:multiLevelType w:val="singleLevel"/>
    <w:lvl w:ilvl="0">
      <w:start w:val="1"/>
      <w:numFmt w:val="decimal"/>
      <w:lvlText w:val="%1."/>
      <w:lvlJc w:val="left"/>
      <w:pPr>
        <w:tabs>
          <w:tab w:val="num" w:pos="720"/>
        </w:tabs>
        <w:ind w:left="720" w:hanging="360"/>
      </w:pPr>
      <w:rPr>
        <w:rFonts w:ascii="Calibri" w:hAnsi="Calibri"/>
      </w:rPr>
    </w:lvl>
  </w:abstractNum>
  <w:num w:numId="12">
    <w:abstractNumId w:val="11"/>
  </w:num>
  <w:abstractNum w:abstractNumId="12">
    <w:multiLevelType w:val="singleLevel"/>
    <w:lvl w:ilvl="0">
      <w:start w:val="1"/>
      <w:numFmt w:val="decimal"/>
      <w:lvlText w:val="%1."/>
      <w:lvlJc w:val="left"/>
      <w:pPr>
        <w:tabs>
          <w:tab w:val="num" w:pos="720"/>
        </w:tabs>
        <w:ind w:left="720" w:hanging="360"/>
      </w:pPr>
      <w:rPr>
        <w:rFonts w:ascii="Calibri" w:hAnsi="Calibri"/>
      </w:rPr>
    </w:lvl>
  </w:abstractNum>
  <w:num w:numId="13">
    <w:abstractNumId w:val="12"/>
  </w:num>
  <w:abstractNum w:abstractNumId="13">
    <w:multiLevelType w:val="singleLevel"/>
    <w:lvl w:ilvl="0">
      <w:start w:val="1"/>
      <w:numFmt w:val="decimal"/>
      <w:lvlText w:val="%1."/>
      <w:lvlJc w:val="left"/>
      <w:pPr>
        <w:tabs>
          <w:tab w:val="num" w:pos="720"/>
        </w:tabs>
        <w:ind w:left="720" w:hanging="360"/>
      </w:pPr>
      <w:rPr>
        <w:rFonts w:ascii="Calibri" w:hAnsi="Calibri"/>
      </w:r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630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3F3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8624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F3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Canary: Three-Model Explainer</dc:title>
  <dc:subject>Business-friendly model explainer and speaker notes</dc:subject>
  <dc:creator>Project Canary Capstone Team</dc:creator>
  <cp:keywords>Project Canary, recovery proxy, Day 35 bodyweight, Extra Trees, XGBoost</cp:keywords>
  <dc:description>generated by python-docx</dc:description>
  <cp:lastModifiedBy/>
  <cp:revision>1</cp:revision>
  <dcterms:created xsi:type="dcterms:W3CDTF">2013-12-23T23:15:00Z</dcterms:created>
  <dcterms:modified xsi:type="dcterms:W3CDTF">2013-12-23T23:15:00Z</dcterms:modified>
  <cp:category/>
</cp:coreProperties>
</file>