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sz w:val="48"/>
          <w:szCs w:val="48"/>
        </w:rPr>
        <w:t>Sunburst Round-Robin Scheduler</w:t>
      </w:r>
      <w:r>
        <w:rPr/>
        <w:br/>
        <w:t xml:space="preserve"> </w:t>
      </w:r>
      <w:r>
        <w:rPr>
          <w:b/>
          <w:bCs/>
          <w:sz w:val="36"/>
          <w:szCs w:val="36"/>
        </w:rPr>
        <w:t>with Dynamic Credit/Debt Adjustment</w:t>
      </w:r>
      <w:r>
        <w:rPr/>
        <w:br/>
        <w:t xml:space="preserve">   </w:t>
      </w:r>
      <w:r>
        <w:rPr>
          <w:sz w:val="28"/>
          <w:szCs w:val="28"/>
        </w:rPr>
        <w:t>Provisional Patent Application Draft</w:t>
      </w:r>
      <w:r>
        <w:rPr/>
        <w:br/>
        <w:t xml:space="preserve">  </w:t>
      </w:r>
      <w:r>
        <w:rPr>
          <w:sz w:val="24"/>
          <w:szCs w:val="24"/>
        </w:rPr>
        <w:t>Inventors: [Your Name] Assignee: [Company/Entity] Filing Date: [Date]</w:t>
      </w:r>
    </w:p>
    <w:p>
      <w:pPr>
        <w:pStyle w:val="Normal"/>
        <w:rPr/>
      </w:pPr>
      <w:r>
        <w:rPr/>
      </w:r>
      <w:r>
        <w:br w:type="page"/>
      </w:r>
    </w:p>
    <w:p>
      <w:pPr>
        <w:pStyle w:val="Normal"/>
        <w:spacing w:before="0" w:after="0"/>
        <w:rPr/>
      </w:pPr>
      <w:r>
        <w:rPr>
          <w:b/>
          <w:bCs/>
          <w:sz w:val="32"/>
          <w:szCs w:val="32"/>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92_3292031790" w:tooltip="Abstract">
            <w:r>
              <w:rPr>
                <w:rStyle w:val="IndexLink"/>
              </w:rPr>
              <w:t>Abstract</w:t>
              <w:tab/>
              <w:t>3</w:t>
            </w:r>
          </w:hyperlink>
        </w:p>
        <w:p>
          <w:pPr>
            <w:pStyle w:val="TOC1"/>
            <w:tabs>
              <w:tab w:val="clear" w:pos="9360"/>
              <w:tab w:val="right" w:pos="9359" w:leader="dot"/>
            </w:tabs>
            <w:rPr/>
          </w:pPr>
          <w:hyperlink w:anchor="__RefHeading___Toc94_3292031790" w:tooltip="Background of the Invention">
            <w:r>
              <w:rPr>
                <w:rStyle w:val="IndexLink"/>
              </w:rPr>
              <w:t>Background of the Invention</w:t>
              <w:tab/>
              <w:t>4</w:t>
            </w:r>
          </w:hyperlink>
        </w:p>
        <w:p>
          <w:pPr>
            <w:pStyle w:val="TOC1"/>
            <w:tabs>
              <w:tab w:val="clear" w:pos="9360"/>
              <w:tab w:val="right" w:pos="9359" w:leader="dot"/>
            </w:tabs>
            <w:rPr/>
          </w:pPr>
          <w:hyperlink w:anchor="__RefHeading___Toc96_3292031790" w:tooltip="Summary of the Invention">
            <w:r>
              <w:rPr>
                <w:rStyle w:val="IndexLink"/>
              </w:rPr>
              <w:t>Summary of the Invention</w:t>
              <w:tab/>
              <w:t>5</w:t>
            </w:r>
          </w:hyperlink>
        </w:p>
        <w:p>
          <w:pPr>
            <w:pStyle w:val="TOC1"/>
            <w:tabs>
              <w:tab w:val="clear" w:pos="9360"/>
              <w:tab w:val="right" w:pos="9359" w:leader="dot"/>
            </w:tabs>
            <w:rPr/>
          </w:pPr>
          <w:hyperlink w:anchor="__RefHeading___Toc98_3292031790" w:tooltip="Detailed Description of the Preferred Embodiments">
            <w:r>
              <w:rPr>
                <w:rStyle w:val="IndexLink"/>
              </w:rPr>
              <w:t>Detailed Description of the Preferred Embodiments</w:t>
              <w:tab/>
              <w:t>6</w:t>
            </w:r>
          </w:hyperlink>
        </w:p>
        <w:p>
          <w:pPr>
            <w:pStyle w:val="TOC2"/>
            <w:tabs>
              <w:tab w:val="clear" w:pos="9077"/>
              <w:tab w:val="right" w:pos="9359" w:leader="dot"/>
            </w:tabs>
            <w:rPr/>
          </w:pPr>
          <w:hyperlink w:anchor="__RefHeading___Toc100_3292031790" w:tooltip="Constants and Task Structure">
            <w:r>
              <w:rPr>
                <w:rStyle w:val="IndexLink"/>
              </w:rPr>
              <w:t>Constants and Task Structure</w:t>
              <w:tab/>
              <w:t>6</w:t>
            </w:r>
          </w:hyperlink>
        </w:p>
        <w:p>
          <w:pPr>
            <w:pStyle w:val="TOC2"/>
            <w:tabs>
              <w:tab w:val="clear" w:pos="9077"/>
              <w:tab w:val="right" w:pos="9359" w:leader="dot"/>
            </w:tabs>
            <w:rPr/>
          </w:pPr>
          <w:hyperlink w:anchor="__RefHeading___Toc102_3292031790" w:tooltip="Core pick_next Algorithm">
            <w:r>
              <w:rPr>
                <w:rStyle w:val="IndexLink"/>
              </w:rPr>
              <w:t>Core pick_next Algorithm</w:t>
              <w:tab/>
              <w:t>6</w:t>
            </w:r>
          </w:hyperlink>
        </w:p>
        <w:p>
          <w:pPr>
            <w:pStyle w:val="TOC2"/>
            <w:tabs>
              <w:tab w:val="clear" w:pos="9077"/>
              <w:tab w:val="right" w:pos="9359" w:leader="dot"/>
            </w:tabs>
            <w:rPr/>
          </w:pPr>
          <w:hyperlink w:anchor="__RefHeading___Toc104_3292031790" w:tooltip="Counter Accumulation">
            <w:r>
              <w:rPr>
                <w:rStyle w:val="IndexLink"/>
              </w:rPr>
              <w:t>Counter Accumulation</w:t>
              <w:tab/>
              <w:t>6</w:t>
            </w:r>
          </w:hyperlink>
        </w:p>
        <w:p>
          <w:pPr>
            <w:pStyle w:val="TOC2"/>
            <w:tabs>
              <w:tab w:val="clear" w:pos="9077"/>
              <w:tab w:val="right" w:pos="9359" w:leader="dot"/>
            </w:tabs>
            <w:rPr/>
          </w:pPr>
          <w:hyperlink w:anchor="__RefHeading___Toc106_3292031790" w:tooltip="Post-Execution Handling">
            <w:r>
              <w:rPr>
                <w:rStyle w:val="IndexLink"/>
              </w:rPr>
              <w:t>Post-Execution Handling</w:t>
              <w:tab/>
              <w:t>6</w:t>
            </w:r>
          </w:hyperlink>
        </w:p>
        <w:p>
          <w:pPr>
            <w:pStyle w:val="TOC2"/>
            <w:tabs>
              <w:tab w:val="clear" w:pos="9077"/>
              <w:tab w:val="right" w:pos="9359" w:leader="dot"/>
            </w:tabs>
            <w:rPr/>
          </w:pPr>
          <w:hyperlink w:anchor="__RefHeading___Toc108_3292031790" w:tooltip="Edge Cases and Robustness">
            <w:r>
              <w:rPr>
                <w:rStyle w:val="IndexLink"/>
              </w:rPr>
              <w:t>Edge Cases and Robustness</w:t>
              <w:tab/>
              <w:t>6</w:t>
            </w:r>
          </w:hyperlink>
        </w:p>
        <w:p>
          <w:pPr>
            <w:pStyle w:val="TOC1"/>
            <w:tabs>
              <w:tab w:val="clear" w:pos="9360"/>
              <w:tab w:val="right" w:pos="9359" w:leader="dot"/>
            </w:tabs>
            <w:rPr/>
          </w:pPr>
          <w:hyperlink w:anchor="__RefHeading___Toc110_3292031790" w:tooltip="Ring3 System Services Integration">
            <w:r>
              <w:rPr>
                <w:rStyle w:val="IndexLink"/>
              </w:rPr>
              <w:t>Ring3 System Services Integration</w:t>
              <w:tab/>
              <w:t>6</w:t>
            </w:r>
          </w:hyperlink>
        </w:p>
        <w:p>
          <w:pPr>
            <w:pStyle w:val="TOC1"/>
            <w:tabs>
              <w:tab w:val="clear" w:pos="9360"/>
              <w:tab w:val="right" w:pos="9359" w:leader="dot"/>
            </w:tabs>
            <w:rPr/>
          </w:pPr>
          <w:hyperlink w:anchor="__RefHeading___Toc112_3292031790" w:tooltip="Claims">
            <w:r>
              <w:rPr>
                <w:rStyle w:val="IndexLink"/>
              </w:rPr>
              <w:t>Claims</w:t>
              <w:tab/>
              <w:t>8</w:t>
            </w:r>
          </w:hyperlink>
        </w:p>
        <w:p>
          <w:pPr>
            <w:pStyle w:val="TOC2"/>
            <w:tabs>
              <w:tab w:val="clear" w:pos="9077"/>
              <w:tab w:val="right" w:pos="9359" w:leader="dot"/>
            </w:tabs>
            <w:rPr/>
          </w:pPr>
          <w:hyperlink w:anchor="__RefHeading___Toc114_3292031790" w:tooltip="Advantages">
            <w:r>
              <w:rPr>
                <w:rStyle w:val="IndexLink"/>
              </w:rPr>
              <w:t>Advantages</w:t>
              <w:tab/>
              <w:t>8</w:t>
            </w:r>
          </w:hyperlink>
        </w:p>
        <w:p>
          <w:pPr>
            <w:pStyle w:val="TOC2"/>
            <w:tabs>
              <w:tab w:val="clear" w:pos="9077"/>
              <w:tab w:val="right" w:pos="9359" w:leader="dot"/>
            </w:tabs>
            <w:rPr/>
          </w:pPr>
          <w:hyperlink w:anchor="__RefHeading___Toc116_3292031790" w:tooltip="Comparison to Prior Art">
            <w:r>
              <w:rPr>
                <w:rStyle w:val="IndexLink"/>
              </w:rPr>
              <w:t>Comparison to Prior Art</w:t>
              <w:tab/>
              <w:t>8</w:t>
            </w:r>
          </w:hyperlink>
          <w:r>
            <w:rPr>
              <w:rStyle w:val="IndexLink"/>
            </w:rPr>
            <w:fldChar w:fldCharType="end"/>
          </w:r>
        </w:p>
      </w:sdtContent>
    </w:sdt>
    <w:p>
      <w:pPr>
        <w:pStyle w:val="Normal"/>
        <w:rPr/>
      </w:pPr>
      <w:r>
        <w:rPr/>
      </w:r>
    </w:p>
    <w:p>
      <w:pPr>
        <w:pStyle w:val="Normal"/>
        <w:rPr/>
      </w:pPr>
      <w:r>
        <w:rPr/>
      </w:r>
      <w:r>
        <w:br w:type="page"/>
      </w:r>
    </w:p>
    <w:p>
      <w:pPr>
        <w:pStyle w:val="Heading1"/>
        <w:spacing w:before="0" w:after="240"/>
        <w:rPr/>
      </w:pPr>
      <w:bookmarkStart w:id="0" w:name="__RefHeading___Toc92_3292031790"/>
      <w:bookmarkEnd w:id="0"/>
      <w:r>
        <w:rPr/>
        <w:t>Abstract</w:t>
      </w:r>
    </w:p>
    <w:p>
      <w:pPr>
        <w:pStyle w:val="Normal"/>
        <w:rPr/>
      </w:pPr>
      <w:r>
        <w:rPr/>
        <w:t>A computer-implemented scheduling method and system for microkernel-based operating systems. The Sunburst RR Scheduler, augmented by Ring3 system services (sunlight-niced, sunlight-gcd, sunlightd), enhances traditional Round-Robin scheduling with dynamic credit/debt counters, nice-aware priority, burst_score feedback, starvation aging, differential decay, and Windows-inspired responsiveness monitoring. This legendary combination provides priority-aware fairness, automatic penalty/recovery for CPU hogs and unresponsive applications, orphaned resource cleanup, and robust service management in a microkernel architecture.</w:t>
      </w:r>
    </w:p>
    <w:p>
      <w:pPr>
        <w:pStyle w:val="Normal"/>
        <w:rPr/>
      </w:pPr>
      <w:r>
        <w:rPr/>
      </w:r>
      <w:r>
        <w:br w:type="page"/>
      </w:r>
    </w:p>
    <w:p>
      <w:pPr>
        <w:pStyle w:val="Heading1"/>
        <w:spacing w:before="0" w:after="240"/>
        <w:rPr/>
      </w:pPr>
      <w:bookmarkStart w:id="1" w:name="__RefHeading___Toc94_3292031790"/>
      <w:bookmarkEnd w:id="1"/>
      <w:r>
        <w:rPr/>
        <w:t>Background of the Invention</w:t>
      </w:r>
    </w:p>
    <w:p>
      <w:pPr>
        <w:pStyle w:val="Normal"/>
        <w:rPr/>
      </w:pPr>
      <w:r>
        <w:rPr/>
        <w:t>Traditional Round-Robin (RR) schedulers treat all tasks equally. Nice values and modern schedulers have limitations in responsiveness and resource management. In microkernel designs, userspace services (Ring3) must complement the kernel scheduler. The Sunburst RR with sunlight-niced (dynamic nice + Windows 'Not Responding' detection), sunlight-gcd (zombie/resource cleanup), and sunlightd (service management) creates a cohesive, self-healing system that demotes frozen tasks, kills zombies reliably, and maintains fairness.</w:t>
      </w:r>
    </w:p>
    <w:p>
      <w:pPr>
        <w:pStyle w:val="Normal"/>
        <w:rPr/>
      </w:pPr>
      <w:r>
        <w:rPr/>
      </w:r>
      <w:r>
        <w:br w:type="page"/>
      </w:r>
    </w:p>
    <w:p>
      <w:pPr>
        <w:pStyle w:val="Heading1"/>
        <w:spacing w:before="0" w:after="240"/>
        <w:rPr/>
      </w:pPr>
      <w:bookmarkStart w:id="2" w:name="__RefHeading___Toc96_3292031790"/>
      <w:bookmarkEnd w:id="2"/>
      <w:r>
        <w:rPr/>
        <w:t>Summary of the Invention</w:t>
      </w:r>
    </w:p>
    <w:p>
      <w:pPr>
        <w:pStyle w:val="Normal"/>
        <w:rPr/>
      </w:pPr>
      <w:r>
        <w:rPr/>
        <w:t>The Sunburst RR Scheduler maintains a ready queue of tasks, each with state including nice value, burst_score, quantum, bounded counter (credit/debt), last_run_tick, and aging guard. Key novel aspects include:</w:t>
      </w:r>
    </w:p>
    <w:p>
      <w:pPr>
        <w:pStyle w:val="ListParagraph"/>
        <w:numPr>
          <w:ilvl w:val="0"/>
          <w:numId w:val="0"/>
        </w:numPr>
        <w:ind w:hanging="0" w:start="0"/>
        <w:rPr/>
      </w:pPr>
      <w:r>
        <w:rPr/>
        <w:t>Credit/debt accumulation triggered on every dequeue consideration (not just execution)</w:t>
      </w:r>
    </w:p>
    <w:p>
      <w:pPr>
        <w:pStyle w:val="ListParagraph"/>
        <w:numPr>
          <w:ilvl w:val="0"/>
          <w:numId w:val="0"/>
        </w:numPr>
        <w:ind w:hanging="0" w:start="0"/>
        <w:rPr/>
      </w:pPr>
      <w:r>
        <w:rPr/>
        <w:t>Starvation aging boost applied before accumulation for rescue of penalized tasks</w:t>
      </w:r>
    </w:p>
    <w:p>
      <w:pPr>
        <w:pStyle w:val="ListParagraph"/>
        <w:numPr>
          <w:ilvl w:val="0"/>
          <w:numId w:val="0"/>
        </w:numPr>
        <w:ind w:hanging="0" w:start="0"/>
        <w:rPr/>
      </w:pPr>
      <w:r>
        <w:rPr/>
        <w:t>Promotion for high-priority tasks reaching credit threshold with quantum bonus</w:t>
      </w:r>
    </w:p>
    <w:p>
      <w:pPr>
        <w:pStyle w:val="ListParagraph"/>
        <w:numPr>
          <w:ilvl w:val="0"/>
          <w:numId w:val="0"/>
        </w:numPr>
        <w:ind w:hanging="0" w:start="0"/>
        <w:rPr/>
      </w:pPr>
      <w:r>
        <w:rPr/>
        <w:t>Conditional re-enqueue for low-priority indebted tasks with partial recovery</w:t>
      </w:r>
    </w:p>
    <w:p>
      <w:pPr>
        <w:pStyle w:val="ListParagraph"/>
        <w:numPr>
          <w:ilvl w:val="0"/>
          <w:numId w:val="0"/>
        </w:numPr>
        <w:ind w:hanging="0" w:start="0"/>
        <w:rPr/>
      </w:pPr>
      <w:r>
        <w:rPr/>
        <w:t>Differential decay in post-execution based on quantum utilization (fast for interactive, slow for CPU-bound)</w:t>
      </w:r>
    </w:p>
    <w:p>
      <w:pPr>
        <w:pStyle w:val="Normal"/>
        <w:rPr/>
      </w:pPr>
      <w:r>
        <w:rPr/>
      </w:r>
      <w:r>
        <w:br w:type="page"/>
      </w:r>
    </w:p>
    <w:p>
      <w:pPr>
        <w:pStyle w:val="Heading1"/>
        <w:spacing w:before="0" w:after="240"/>
        <w:rPr/>
      </w:pPr>
      <w:bookmarkStart w:id="3" w:name="__RefHeading___Toc98_3292031790"/>
      <w:bookmarkEnd w:id="3"/>
      <w:r>
        <w:rPr/>
        <w:t>Detailed Description of the Preferred Embodiments</w:t>
      </w:r>
    </w:p>
    <w:p>
      <w:pPr>
        <w:pStyle w:val="Heading2"/>
        <w:rPr/>
      </w:pPr>
      <w:bookmarkStart w:id="4" w:name="__RefHeading___Toc100_3292031790"/>
      <w:bookmarkEnd w:id="4"/>
      <w:r>
        <w:rPr/>
        <w:t>Constants and Task Structure</w:t>
      </w:r>
    </w:p>
    <w:p>
      <w:pPr>
        <w:pStyle w:val="Normal"/>
        <w:rPr/>
      </w:pPr>
      <w:r>
        <w:rPr/>
        <w:t>const MAX_CREDIT = 6; const MIN_COUNTER = -8; const PROMOTE_LIMIT = 3; const SKIP_LIMIT = -3; const DECAY_RATE = 1; const STARVATION_THRESHOLD = 200; // ticks const STARVATION_BOOST = 2; const CPU_BOUND_THRESHOLD = 768;</w:t>
      </w:r>
    </w:p>
    <w:p>
      <w:pPr>
        <w:pStyle w:val="Normal"/>
        <w:rPr/>
      </w:pPr>
      <w:r>
        <w:rPr/>
        <w:t>struct Task {   int nice;               // priority hint   u32 burst_score;        // dynamic CPU vs interactive   u32 quantum;            // computed time slice   i32 counter;            // credit/debt [-8, +6]   u64 last_run_tick;   bool aging_boosted_this_pick; };</w:t>
      </w:r>
    </w:p>
    <w:p>
      <w:pPr>
        <w:pStyle w:val="Heading2"/>
        <w:rPr/>
      </w:pPr>
      <w:bookmarkStart w:id="5" w:name="__RefHeading___Toc102_3292031790"/>
      <w:bookmarkEnd w:id="5"/>
      <w:r>
        <w:rPr/>
        <w:t>Core pick_next Algorithm</w:t>
      </w:r>
    </w:p>
    <w:p>
      <w:pPr>
        <w:pStyle w:val="Normal"/>
        <w:rPr/>
      </w:pPr>
      <w:r>
        <w:rPr/>
        <w:t>Task* pick_next(ReadyQueue* rq) {   // Starvation check first   if (starving &amp;&amp; !aging_boosted) {     counter += STARVATION_BOOST;     aging_boosted = true;     update_burst_score(Aged);   }   accumulate_counter();      if (nice &lt; 0 &amp;&amp; counter &gt;= PROMOTE_LIMIT) {     // promote with quantum bonus     return candidate;   }      if (nice &gt; 0 &amp;&amp; counter &lt;= SKIP_LIMIT) {     counter += DECAY_RATE;     enqueue_back();     continue;   }      return candidate; // normal }</w:t>
      </w:r>
    </w:p>
    <w:p>
      <w:pPr>
        <w:pStyle w:val="Heading2"/>
        <w:rPr/>
      </w:pPr>
      <w:bookmarkStart w:id="6" w:name="__RefHeading___Toc104_3292031790"/>
      <w:bookmarkEnd w:id="6"/>
      <w:r>
        <w:rPr/>
        <w:t>Counter Accumulation</w:t>
      </w:r>
    </w:p>
    <w:p>
      <w:pPr>
        <w:pStyle w:val="Normal"/>
        <w:rPr/>
      </w:pPr>
      <w:r>
        <w:rPr/>
        <w:t>void accumulate_counter(Task* t) {   if (nice == 0) return;   int factor = 1 + (burst_score &gt; CPU_BOUND_THRESHOLD ? 1 : 0);   if (nice &lt; 0) {     gain = ((-nice)/4 + 1) * factor;     counter = min(counter + gain, MAX_CREDIT);   } else {     loss = (nice/4 + 1) * factor;     counter = max(counter - loss, MIN_COUNTER);   } }</w:t>
      </w:r>
    </w:p>
    <w:p>
      <w:pPr>
        <w:pStyle w:val="Heading2"/>
        <w:rPr/>
      </w:pPr>
      <w:bookmarkStart w:id="7" w:name="__RefHeading___Toc106_3292031790"/>
      <w:bookmarkEnd w:id="7"/>
      <w:r>
        <w:rPr/>
        <w:t>Post-Execution Handling</w:t>
      </w:r>
    </w:p>
    <w:p>
      <w:pPr>
        <w:pStyle w:val="Normal"/>
        <w:rPr/>
      </w:pPr>
      <w:r>
        <w:rPr/>
        <w:t>void on_task_ran(...) {   if (ticks_used &lt; quantum / 2) {     counter /= 2;  // fast reset for interactive   } else {     // linear decay   }   quantum = recalculate(); }</w:t>
      </w:r>
    </w:p>
    <w:p>
      <w:pPr>
        <w:pStyle w:val="Heading2"/>
        <w:rPr/>
      </w:pPr>
      <w:bookmarkStart w:id="8" w:name="__RefHeading___Toc108_3292031790"/>
      <w:bookmarkEnd w:id="8"/>
      <w:r>
        <w:rPr/>
        <w:t>Edge Cases and Robustness</w:t>
      </w:r>
    </w:p>
    <w:p>
      <w:pPr>
        <w:pStyle w:val="Normal"/>
        <w:rPr/>
      </w:pPr>
      <w:r>
        <w:rPr/>
        <w:t>The design explicitly addresses: nice value changes at runtime via reset_counter(), queue thrashing via attempt limits, fallback selection of least-indebted task, dynamic workloads via burst_score feedback, and starvation prevention with aging boosts.</w:t>
      </w:r>
    </w:p>
    <w:p>
      <w:pPr>
        <w:pStyle w:val="Heading1"/>
        <w:rPr/>
      </w:pPr>
      <w:bookmarkStart w:id="9" w:name="__RefHeading___Toc110_3292031790"/>
      <w:bookmarkEnd w:id="9"/>
      <w:r>
        <w:rPr/>
        <w:t>Ring3 System Services Integration</w:t>
      </w:r>
    </w:p>
    <w:p>
      <w:pPr>
        <w:pStyle w:val="Normal"/>
        <w:rPr/>
      </w:pPr>
      <w:r>
        <w:rPr/>
        <w:t>The Sunburst RR Scheduler is complemented by userspace daemons in a microkernel architecture:</w:t>
      </w:r>
    </w:p>
    <w:p>
      <w:pPr>
        <w:pStyle w:val="ListParagraph"/>
        <w:numPr>
          <w:ilvl w:val="0"/>
          <w:numId w:val="0"/>
        </w:numPr>
        <w:ind w:hanging="0" w:start="0"/>
        <w:rPr/>
      </w:pPr>
      <w:r>
        <w:rPr/>
        <w:t>sunlight-niced: Dynamic nice management with CPU hog penalties, recovery, Windows-inspired responsiveness monitoring (watchdog pings + UI update requirements to prevent 'Not Responding'), zombie detection and demotion to nice=+19 + force kill.</w:t>
      </w:r>
    </w:p>
    <w:p>
      <w:pPr>
        <w:pStyle w:val="ListParagraph"/>
        <w:numPr>
          <w:ilvl w:val="0"/>
          <w:numId w:val="0"/>
        </w:numPr>
        <w:ind w:hanging="0" w:start="0"/>
        <w:rPr/>
      </w:pPr>
      <w:r>
        <w:rPr/>
        <w:t>sunlight-gcd: Orphaned resource cleanup (IPC queues, shared memory, tmpfs, fds), zombie reaping.</w:t>
      </w:r>
    </w:p>
    <w:p>
      <w:pPr>
        <w:pStyle w:val="ListParagraph"/>
        <w:numPr>
          <w:ilvl w:val="0"/>
          <w:numId w:val="0"/>
        </w:numPr>
        <w:ind w:hanging="0" w:start="0"/>
        <w:rPr/>
      </w:pPr>
      <w:r>
        <w:rPr/>
        <w:t>sunlightd: Service management with dependency ordering, restarts, watchdog integration, and direct Nice= application at spawn time.</w:t>
      </w:r>
    </w:p>
    <w:p>
      <w:pPr>
        <w:pStyle w:val="Normal"/>
        <w:rPr/>
      </w:pPr>
      <w:r>
        <w:rPr/>
        <w:t>This Ring3 integration makes Sunburst RR part of a legendary, self-healing microkernel ecosystem that automatically handles frozen applications, resource leaks, and service lifecycle.</w:t>
      </w:r>
    </w:p>
    <w:p>
      <w:pPr>
        <w:pStyle w:val="Normal"/>
        <w:rPr/>
      </w:pPr>
      <w:r>
        <w:rPr/>
      </w:r>
      <w:r>
        <w:br w:type="page"/>
      </w:r>
    </w:p>
    <w:p>
      <w:pPr>
        <w:pStyle w:val="Heading1"/>
        <w:spacing w:before="0" w:after="240"/>
        <w:rPr/>
      </w:pPr>
      <w:bookmarkStart w:id="10" w:name="__RefHeading___Toc112_3292031790"/>
      <w:bookmarkEnd w:id="10"/>
      <w:r>
        <w:rPr/>
        <w:t>Claims</w:t>
      </w:r>
    </w:p>
    <w:p>
      <w:pPr>
        <w:pStyle w:val="Normal"/>
        <w:rPr/>
      </w:pPr>
      <w:r>
        <w:rPr/>
        <w:t>1. A computer-implemented method for task scheduling comprising: maintaining a ready queue; for each candidate task dequeued, performing a starvation aging check prior to credit/debt accumulation; accumulating a bounded counter based on nice value and burst behavior; selectively promoting or deferring the task based on counter thresholds; and applying differential decay post-execution based on quantum utilization.</w:t>
      </w:r>
    </w:p>
    <w:p>
      <w:pPr>
        <w:pStyle w:val="Normal"/>
        <w:rPr/>
      </w:pPr>
      <w:r>
        <w:rPr/>
        <w:t>2. The method of claim 1, further comprising applying a quantum bonus upon promotion for high-priority tasks.</w:t>
      </w:r>
    </w:p>
    <w:p>
      <w:pPr>
        <w:pStyle w:val="Normal"/>
        <w:rPr/>
      </w:pPr>
      <w:r>
        <w:rPr/>
        <w:t>3. The method of claim 1, wherein low-priority tasks with accumulated debt are conditionally re-enqueued to the back of the ready queue with partial debt recovery.</w:t>
      </w:r>
    </w:p>
    <w:p>
      <w:pPr>
        <w:pStyle w:val="Heading2"/>
        <w:rPr/>
      </w:pPr>
      <w:bookmarkStart w:id="11" w:name="__RefHeading___Toc114_3292031790"/>
      <w:bookmarkEnd w:id="11"/>
      <w:r>
        <w:rPr/>
        <w:t>Advantages</w:t>
      </w:r>
    </w:p>
    <w:p>
      <w:pPr>
        <w:pStyle w:val="Normal"/>
        <w:rPr/>
      </w:pPr>
      <w:r>
        <w:rPr/>
        <w:t xml:space="preserve">• </w:t>
      </w:r>
      <w:r>
        <w:rPr/>
        <w:t>Improved responsiveness for high-priority and interactive tasks • Bounded starvation and fairness guarantees • Low computational overhead compatible with existing RR implementations • Adaptive to changing workloads via burst_score integration</w:t>
      </w:r>
    </w:p>
    <w:p>
      <w:pPr>
        <w:pStyle w:val="Heading2"/>
        <w:rPr/>
      </w:pPr>
      <w:bookmarkStart w:id="12" w:name="__RefHeading___Toc116_3292031790"/>
      <w:bookmarkEnd w:id="12"/>
      <w:r>
        <w:rPr/>
        <w:t>Comparison to Prior Art</w:t>
      </w:r>
    </w:p>
    <w:tbl>
      <w:tblPr>
        <w:tblW w:w="9360" w:type="dxa"/>
        <w:jc w:val="start"/>
        <w:tblInd w:w="0" w:type="dxa"/>
        <w:tblLayout w:type="fixed"/>
        <w:tblCellMar>
          <w:top w:w="0" w:type="dxa"/>
          <w:start w:w="108" w:type="dxa"/>
          <w:bottom w:w="0" w:type="dxa"/>
          <w:end w:w="108" w:type="dxa"/>
        </w:tblCellMar>
      </w:tblPr>
      <w:tblGrid>
        <w:gridCol w:w="2999"/>
        <w:gridCol w:w="3000"/>
        <w:gridCol w:w="3361"/>
      </w:tblGrid>
      <w:tr>
        <w:trPr/>
        <w:tc>
          <w:tcPr>
            <w:tcW w:w="2999" w:type="dxa"/>
            <w:tcBorders>
              <w:top w:val="single" w:sz="4" w:space="0" w:color="000000"/>
              <w:start w:val="single" w:sz="4" w:space="0" w:color="000000"/>
              <w:bottom w:val="single" w:sz="4" w:space="0" w:color="000000"/>
              <w:end w:val="single" w:sz="4" w:space="0" w:color="000000"/>
            </w:tcBorders>
          </w:tcPr>
          <w:p>
            <w:pPr>
              <w:pStyle w:val="Normal"/>
              <w:rPr/>
            </w:pPr>
            <w:r>
              <w:rPr/>
              <w:t>Scheduler</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Priority Handling</w:t>
            </w:r>
          </w:p>
        </w:tc>
        <w:tc>
          <w:tcPr>
            <w:tcW w:w="3361" w:type="dxa"/>
            <w:tcBorders>
              <w:top w:val="single" w:sz="4" w:space="0" w:color="000000"/>
              <w:start w:val="single" w:sz="4" w:space="0" w:color="000000"/>
              <w:bottom w:val="single" w:sz="4" w:space="0" w:color="000000"/>
              <w:end w:val="single" w:sz="4" w:space="0" w:color="000000"/>
            </w:tcBorders>
          </w:tcPr>
          <w:p>
            <w:pPr>
              <w:pStyle w:val="Normal"/>
              <w:rPr/>
            </w:pPr>
            <w:r>
              <w:rPr/>
              <w:t>Key Innovation</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rPr/>
            </w:pPr>
            <w:r>
              <w:rPr/>
              <w:t>Standard RR</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None</w:t>
            </w:r>
          </w:p>
        </w:tc>
        <w:tc>
          <w:tcPr>
            <w:tcW w:w="3361" w:type="dxa"/>
            <w:tcBorders>
              <w:top w:val="single" w:sz="4" w:space="0" w:color="000000"/>
              <w:start w:val="single" w:sz="4" w:space="0" w:color="000000"/>
              <w:bottom w:val="single" w:sz="4" w:space="0" w:color="000000"/>
              <w:end w:val="single" w:sz="4" w:space="0" w:color="000000"/>
            </w:tcBorders>
          </w:tcPr>
          <w:p>
            <w:pPr>
              <w:pStyle w:val="Normal"/>
              <w:rPr/>
            </w:pPr>
            <w:r>
              <w:rPr/>
              <w:t>Equal time slices</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rPr/>
            </w:pPr>
            <w:r>
              <w:rPr/>
              <w:t>Linux CFS</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vruntime weights</w:t>
            </w:r>
          </w:p>
        </w:tc>
        <w:tc>
          <w:tcPr>
            <w:tcW w:w="3361" w:type="dxa"/>
            <w:tcBorders>
              <w:top w:val="single" w:sz="4" w:space="0" w:color="000000"/>
              <w:start w:val="single" w:sz="4" w:space="0" w:color="000000"/>
              <w:bottom w:val="single" w:sz="4" w:space="0" w:color="000000"/>
              <w:end w:val="single" w:sz="4" w:space="0" w:color="000000"/>
            </w:tcBorders>
          </w:tcPr>
          <w:p>
            <w:pPr>
              <w:pStyle w:val="Normal"/>
              <w:rPr/>
            </w:pPr>
            <w:r>
              <w:rPr/>
              <w:t>Red-black tree</w:t>
            </w:r>
          </w:p>
        </w:tc>
      </w:tr>
      <w:tr>
        <w:trPr/>
        <w:tc>
          <w:tcPr>
            <w:tcW w:w="2999" w:type="dxa"/>
            <w:tcBorders>
              <w:top w:val="single" w:sz="4" w:space="0" w:color="000000"/>
              <w:start w:val="single" w:sz="4" w:space="0" w:color="000000"/>
              <w:bottom w:val="single" w:sz="4" w:space="0" w:color="000000"/>
              <w:end w:val="single" w:sz="4" w:space="0" w:color="000000"/>
            </w:tcBorders>
          </w:tcPr>
          <w:p>
            <w:pPr>
              <w:pStyle w:val="Normal"/>
              <w:rPr/>
            </w:pPr>
            <w:r>
              <w:rPr/>
              <w:t>Sunburst RR (Present)</w:t>
            </w:r>
          </w:p>
        </w:tc>
        <w:tc>
          <w:tcPr>
            <w:tcW w:w="3000" w:type="dxa"/>
            <w:tcBorders>
              <w:top w:val="single" w:sz="4" w:space="0" w:color="000000"/>
              <w:start w:val="single" w:sz="4" w:space="0" w:color="000000"/>
              <w:bottom w:val="single" w:sz="4" w:space="0" w:color="000000"/>
              <w:end w:val="single" w:sz="4" w:space="0" w:color="000000"/>
            </w:tcBorders>
          </w:tcPr>
          <w:p>
            <w:pPr>
              <w:pStyle w:val="Normal"/>
              <w:rPr/>
            </w:pPr>
            <w:r>
              <w:rPr/>
              <w:t>Credit/Debt + Aging</w:t>
            </w:r>
          </w:p>
        </w:tc>
        <w:tc>
          <w:tcPr>
            <w:tcW w:w="3361" w:type="dxa"/>
            <w:tcBorders>
              <w:top w:val="single" w:sz="4" w:space="0" w:color="000000"/>
              <w:start w:val="single" w:sz="4" w:space="0" w:color="000000"/>
              <w:bottom w:val="single" w:sz="4" w:space="0" w:color="000000"/>
              <w:end w:val="single" w:sz="4" w:space="0" w:color="000000"/>
            </w:tcBorders>
          </w:tcPr>
          <w:p>
            <w:pPr>
              <w:pStyle w:val="Normal"/>
              <w:rPr/>
            </w:pPr>
            <w:r>
              <w:rPr/>
              <w:t>Consideration-time accumulation + behavior decay</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fa-IR"/>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4"/>
      <w:szCs w:val="24"/>
      <w:lang w:val="en-US" w:eastAsia="zh-CN" w:bidi="fa-IR"/>
    </w:rPr>
  </w:style>
  <w:style w:type="paragraph" w:styleId="Heading1">
    <w:name w:val="heading 1"/>
    <w:basedOn w:val="Heading"/>
    <w:qFormat/>
    <w:pPr>
      <w:spacing w:before="240" w:after="240"/>
      <w:outlineLvl w:val="0"/>
    </w:pPr>
    <w:rPr>
      <w:rFonts w:ascii="Arial" w:hAnsi="Arial" w:eastAsia="Arial" w:cs="Arial"/>
      <w:b/>
      <w:bCs/>
      <w:sz w:val="32"/>
      <w:szCs w:val="32"/>
    </w:rPr>
  </w:style>
  <w:style w:type="paragraph" w:styleId="Heading2">
    <w:name w:val="heading 2"/>
    <w:basedOn w:val="Heading"/>
    <w:qFormat/>
    <w:pPr>
      <w:spacing w:before="180" w:after="180"/>
      <w:outlineLvl w:val="1"/>
    </w:pPr>
    <w:rPr>
      <w:rFonts w:ascii="Arial" w:hAnsi="Arial" w:eastAsia="Arial" w:cs="Arial"/>
      <w:b/>
      <w:bCs/>
      <w:sz w:val="28"/>
      <w:szCs w:val="28"/>
    </w:rPr>
  </w:style>
  <w:style w:type="paragraph" w:styleId="Heading3">
    <w:name w:val="heading 3"/>
    <w:basedOn w:val="Heading"/>
    <w:qFormat/>
    <w:pPr>
      <w:spacing w:before="120" w:after="120"/>
      <w:outlineLvl w:val="2"/>
    </w:pPr>
    <w:rPr>
      <w:rFonts w:ascii="Arial" w:hAnsi="Arial" w:eastAsia="Arial" w:cs="Arial"/>
      <w:b/>
      <w:bCs/>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Arabic UI"/>
    </w:rPr>
  </w:style>
  <w:style w:type="paragraph" w:styleId="Caption">
    <w:name w:val="caption"/>
    <w:basedOn w:val="Normal"/>
    <w:qFormat/>
    <w:pPr>
      <w:suppressLineNumbers/>
      <w:spacing w:before="120" w:after="120"/>
    </w:pPr>
    <w:rPr>
      <w:rFonts w:cs="Noto Sans Arabic UI"/>
      <w:i/>
      <w:iCs/>
      <w:sz w:val="24"/>
      <w:szCs w:val="24"/>
    </w:rPr>
  </w:style>
  <w:style w:type="paragraph" w:styleId="Index">
    <w:name w:val="Index"/>
    <w:basedOn w:val="Normal"/>
    <w:qFormat/>
    <w:pPr>
      <w:suppressLineNumbers/>
    </w:pPr>
    <w:rPr>
      <w:rFonts w:cs="Noto Sans Arabic U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4"/>
      <w:szCs w:val="24"/>
      <w:lang w:val="en-US" w:eastAsia="zh-CN" w:bidi="fa-IR"/>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US" w:eastAsia="zh-CN" w:bidi="fa-I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8</Pages>
  <Words>826</Words>
  <Characters>5262</Characters>
  <CharactersWithSpaces>6188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2026-06-15T23:21:31Z</dcterms:created>
  <dc:creator>Un-named</dc:creator>
  <dc:description/>
  <dc:language>en-US</dc:language>
  <cp:lastModifiedBy/>
  <dcterms:modified xsi:type="dcterms:W3CDTF">2026-06-16T02:52:48Z</dcterms:modified>
  <cp:revision>2</cp:revision>
  <dc:subject/>
  <dc:title/>
</cp:coreProperties>
</file>