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glossary/fontTable.xml" ContentType="application/vnd.openxmlformats-officedocument.wordprocessingml.fontTable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/>
      </w:pPr>
      <w:r>
        <w:rPr>
          <w:b/>
          <w:bCs/>
          <w:sz w:val="48"/>
          <w:szCs w:val="48"/>
        </w:rPr>
        <w:t xml:space="preserve">Sunburst Round-Robin Scheduler</w:t>
      </w:r>
      <w:r>
        <w:br/>
        <w:t xml:space="preserve">
</w:t>
      </w:r>
      <w:r>
        <w:rPr>
          <w:b/>
          <w:bCs/>
          <w:sz w:val="36"/>
          <w:szCs w:val="36"/>
        </w:rPr>
        <w:t xml:space="preserve">with Dynamic Credit/Debt Adjustment</w:t>
      </w:r>
      <w:r>
        <w:br/>
        <w:t xml:space="preserve">
</w:t>
      </w:r>
      <w:r>
        <w:rPr>
          <w:sz w:val="28"/>
          <w:szCs w:val="28"/>
        </w:rPr>
        <w:t xml:space="preserve">Provisional Patent Application Draft</w:t>
      </w:r>
      <w:r>
        <w:br/>
        <w:t xml:space="preserve">
</w:t>
      </w:r>
      <w:r>
        <w:rPr>
          <w:sz w:val="24"/>
          <w:szCs w:val="24"/>
        </w:rPr>
        <w:t xml:space="preserve">Inventors: [Your Name]</w:t>
      </w:r>
      <w:r>
        <w:rPr>
          <w:sz w:val="24"/>
          <w:szCs w:val="24"/>
        </w:rPr>
        <w:t xml:space="preserve">
Assignee: [Company/Entity]</w:t>
      </w:r>
      <w:r>
        <w:rPr>
          <w:sz w:val="24"/>
          <w:szCs w:val="24"/>
        </w:rPr>
        <w:t xml:space="preserve">
Filing Date: [Date]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Bdr/>
        <w:spacing/>
        <w:ind/>
        <w:rPr/>
      </w:pPr>
      <w:r>
        <w:rPr>
          <w:b/>
          <w:bCs/>
          <w:sz w:val="32"/>
          <w:szCs w:val="32"/>
        </w:rPr>
        <w:t xml:space="preserve">Table of Contents</w:t>
      </w:r>
      <w:r/>
    </w:p>
    <w:sdt>
      <w:sdtPr>
        <w:alias w:val="Table of Contents"/>
        <w15:appearance w15:val="boundingBox"/>
        <w:rPr/>
      </w:sdtPr>
      <w:sdtContent>
        <w:p>
          <w:pPr>
            <w:pBdr/>
            <w:spacing/>
            <w:ind/>
            <w:rPr/>
          </w:pPr>
          <w:r>
            <w:fldChar w:fldCharType="begin"/>
            <w:instrText xml:space="preserve">TOC \h \o "1-3"</w:instrText>
            <w:fldChar w:fldCharType="separate"/>
          </w:r>
          <w:r/>
        </w:p>
        <w:p>
          <w:pPr>
            <w:pBdr/>
            <w:spacing/>
            <w:ind/>
            <w:rPr/>
          </w:pPr>
          <w:r>
            <w:fldChar w:fldCharType="end"/>
          </w:r>
          <w:r/>
        </w:p>
      </w:sdtContent>
    </w:sdt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 w14:paraId="6018E984">
          <w:pPr>
            <w:pStyle w:val="189"/>
            <w:pBdr/>
            <w:tabs>
              <w:tab w:val="right" w:leader="dot" w:pos="9360"/>
            </w:tabs>
            <w:spacing/>
            <w:ind/>
            <w:rPr/>
          </w:pPr>
          <w:r/>
          <w:r>
            <w:fldChar w:fldCharType="begin"/>
          </w:r>
          <w:r>
            <w:instrText xml:space="preserve">TOC \o "1-9" \n \h </w:instrText>
          </w:r>
          <w:r>
            <w:fldChar w:fldCharType="separate"/>
          </w:r>
          <w:r/>
          <w:hyperlink w:tooltip="#_Toc1" w:anchor="_Toc1" w:history="1">
            <w:r>
              <w:rPr>
                <w:rStyle w:val="714"/>
              </w:rPr>
            </w:r>
            <w:r>
              <w:rPr>
                <w:rStyle w:val="714"/>
              </w:rPr>
              <w:t xml:space="preserve">Abstract</w:t>
            </w:r>
            <w:r>
              <w:rPr>
                <w:rStyle w:val="714"/>
              </w:rPr>
            </w:r>
          </w:hyperlink>
          <w:r/>
        </w:p>
        <w:p w14:paraId="3D34AE79">
          <w:pPr>
            <w:pStyle w:val="189"/>
            <w:pBdr/>
            <w:tabs>
              <w:tab w:val="right" w:leader="dot" w:pos="9360"/>
            </w:tabs>
            <w:spacing/>
            <w:ind/>
            <w:rPr/>
          </w:pPr>
          <w:hyperlink w:tooltip="#_Toc2" w:anchor="_Toc2" w:history="1">
            <w:r>
              <w:rPr>
                <w:rStyle w:val="714"/>
              </w:rPr>
            </w:r>
            <w:r>
              <w:rPr>
                <w:rStyle w:val="714"/>
              </w:rPr>
              <w:t xml:space="preserve">Background of the Invention</w:t>
            </w:r>
            <w:r>
              <w:rPr>
                <w:rStyle w:val="714"/>
              </w:rPr>
            </w:r>
          </w:hyperlink>
          <w:r/>
        </w:p>
        <w:p w14:paraId="6BDF9A6D">
          <w:pPr>
            <w:pStyle w:val="189"/>
            <w:pBdr/>
            <w:tabs>
              <w:tab w:val="right" w:leader="dot" w:pos="9360"/>
            </w:tabs>
            <w:spacing/>
            <w:ind/>
            <w:rPr/>
          </w:pPr>
          <w:hyperlink w:tooltip="#_Toc3" w:anchor="_Toc3" w:history="1">
            <w:r>
              <w:rPr>
                <w:rStyle w:val="714"/>
              </w:rPr>
            </w:r>
            <w:r>
              <w:rPr>
                <w:rStyle w:val="714"/>
              </w:rPr>
              <w:t xml:space="preserve">Summary of the Invention</w:t>
            </w:r>
            <w:r>
              <w:rPr>
                <w:rStyle w:val="714"/>
              </w:rPr>
            </w:r>
          </w:hyperlink>
          <w:r/>
        </w:p>
        <w:p w14:paraId="24BAF3E4">
          <w:pPr>
            <w:pStyle w:val="189"/>
            <w:pBdr/>
            <w:tabs>
              <w:tab w:val="right" w:leader="dot" w:pos="9360"/>
            </w:tabs>
            <w:spacing/>
            <w:ind/>
            <w:rPr/>
          </w:pPr>
          <w:hyperlink w:tooltip="#_Toc4" w:anchor="_Toc4" w:history="1">
            <w:r>
              <w:rPr>
                <w:rStyle w:val="714"/>
              </w:rPr>
            </w:r>
            <w:r>
              <w:rPr>
                <w:rStyle w:val="714"/>
              </w:rPr>
              <w:t xml:space="preserve">Detailed Description of the Preferred Embodiments</w:t>
            </w:r>
            <w:r>
              <w:rPr>
                <w:rStyle w:val="714"/>
              </w:rPr>
            </w:r>
          </w:hyperlink>
          <w:r/>
        </w:p>
        <w:p w14:paraId="6E854343">
          <w:pPr>
            <w:pStyle w:val="190"/>
            <w:pBdr/>
            <w:tabs>
              <w:tab w:val="right" w:leader="dot" w:pos="9360"/>
            </w:tabs>
            <w:spacing/>
            <w:ind/>
            <w:rPr/>
          </w:pPr>
          <w:hyperlink w:tooltip="#_Toc5" w:anchor="_Toc5" w:history="1">
            <w:r>
              <w:rPr>
                <w:rStyle w:val="714"/>
              </w:rPr>
            </w:r>
            <w:r>
              <w:rPr>
                <w:rStyle w:val="714"/>
              </w:rPr>
              <w:t xml:space="preserve">Constants and Task Structure</w:t>
            </w:r>
            <w:r>
              <w:rPr>
                <w:rStyle w:val="714"/>
              </w:rPr>
            </w:r>
          </w:hyperlink>
          <w:r/>
        </w:p>
        <w:p w14:paraId="29DF34C7">
          <w:pPr>
            <w:pStyle w:val="190"/>
            <w:pBdr/>
            <w:tabs>
              <w:tab w:val="right" w:leader="dot" w:pos="9360"/>
            </w:tabs>
            <w:spacing/>
            <w:ind/>
            <w:rPr/>
          </w:pPr>
          <w:hyperlink w:tooltip="#_Toc6" w:anchor="_Toc6" w:history="1">
            <w:r>
              <w:rPr>
                <w:rStyle w:val="714"/>
              </w:rPr>
            </w:r>
            <w:r>
              <w:rPr>
                <w:rStyle w:val="714"/>
              </w:rPr>
              <w:t xml:space="preserve">Core pick_next Algorithm</w:t>
            </w:r>
            <w:r>
              <w:rPr>
                <w:rStyle w:val="714"/>
              </w:rPr>
            </w:r>
          </w:hyperlink>
          <w:r/>
        </w:p>
        <w:p w14:paraId="7BFAD679">
          <w:pPr>
            <w:pStyle w:val="190"/>
            <w:pBdr/>
            <w:tabs>
              <w:tab w:val="right" w:leader="dot" w:pos="9360"/>
            </w:tabs>
            <w:spacing/>
            <w:ind/>
            <w:rPr/>
          </w:pPr>
          <w:hyperlink w:tooltip="#_Toc7" w:anchor="_Toc7" w:history="1">
            <w:r>
              <w:rPr>
                <w:rStyle w:val="714"/>
              </w:rPr>
            </w:r>
            <w:r>
              <w:rPr>
                <w:rStyle w:val="714"/>
              </w:rPr>
              <w:t xml:space="preserve">Counter Accumulation</w:t>
            </w:r>
            <w:r>
              <w:rPr>
                <w:rStyle w:val="714"/>
              </w:rPr>
            </w:r>
          </w:hyperlink>
          <w:r/>
        </w:p>
        <w:p w14:paraId="20F31EE5">
          <w:pPr>
            <w:pStyle w:val="190"/>
            <w:pBdr/>
            <w:tabs>
              <w:tab w:val="right" w:leader="dot" w:pos="9360"/>
            </w:tabs>
            <w:spacing/>
            <w:ind/>
            <w:rPr/>
          </w:pPr>
          <w:hyperlink w:tooltip="#_Toc8" w:anchor="_Toc8" w:history="1">
            <w:r>
              <w:rPr>
                <w:rStyle w:val="714"/>
              </w:rPr>
            </w:r>
            <w:r>
              <w:rPr>
                <w:rStyle w:val="714"/>
              </w:rPr>
              <w:t xml:space="preserve">Post-Execution Handling</w:t>
            </w:r>
            <w:r>
              <w:rPr>
                <w:rStyle w:val="714"/>
              </w:rPr>
            </w:r>
          </w:hyperlink>
          <w:r/>
        </w:p>
        <w:p w14:paraId="3F8B95C9">
          <w:pPr>
            <w:pStyle w:val="190"/>
            <w:pBdr/>
            <w:tabs>
              <w:tab w:val="right" w:leader="dot" w:pos="9360"/>
            </w:tabs>
            <w:spacing/>
            <w:ind/>
            <w:rPr/>
          </w:pPr>
          <w:hyperlink w:tooltip="#_Toc9" w:anchor="_Toc9" w:history="1">
            <w:r>
              <w:rPr>
                <w:rStyle w:val="714"/>
              </w:rPr>
            </w:r>
            <w:r>
              <w:rPr>
                <w:rStyle w:val="714"/>
              </w:rPr>
              <w:t xml:space="preserve">Edge Cases and Robustness</w:t>
            </w:r>
            <w:r>
              <w:rPr>
                <w:rStyle w:val="714"/>
              </w:rPr>
            </w:r>
          </w:hyperlink>
          <w:r/>
        </w:p>
        <w:p w14:paraId="3E4A3C42">
          <w:pPr>
            <w:pStyle w:val="189"/>
            <w:pBdr/>
            <w:tabs>
              <w:tab w:val="right" w:leader="dot" w:pos="9360"/>
            </w:tabs>
            <w:spacing/>
            <w:ind/>
            <w:rPr/>
          </w:pPr>
          <w:hyperlink w:tooltip="#_Toc10" w:anchor="_Toc10" w:history="1">
            <w:r>
              <w:rPr>
                <w:rStyle w:val="714"/>
              </w:rPr>
            </w:r>
            <w:r>
              <w:rPr>
                <w:rStyle w:val="714"/>
              </w:rPr>
              <w:t xml:space="preserve">Claims</w:t>
            </w:r>
            <w:r>
              <w:rPr>
                <w:rStyle w:val="714"/>
              </w:rPr>
            </w:r>
          </w:hyperlink>
          <w:r/>
        </w:p>
        <w:p w14:paraId="7126F7E1">
          <w:pPr>
            <w:pStyle w:val="190"/>
            <w:pBdr/>
            <w:tabs>
              <w:tab w:val="right" w:leader="dot" w:pos="9360"/>
            </w:tabs>
            <w:spacing/>
            <w:ind/>
            <w:rPr/>
          </w:pPr>
          <w:hyperlink w:tooltip="#_Toc11" w:anchor="_Toc11" w:history="1">
            <w:r>
              <w:rPr>
                <w:rStyle w:val="714"/>
              </w:rPr>
            </w:r>
            <w:r>
              <w:rPr>
                <w:rStyle w:val="714"/>
              </w:rPr>
              <w:t xml:space="preserve">Advantages</w:t>
            </w:r>
            <w:r>
              <w:rPr>
                <w:rStyle w:val="714"/>
              </w:rPr>
            </w:r>
          </w:hyperlink>
          <w:r/>
        </w:p>
        <w:p w14:paraId="3B741EE8">
          <w:pPr>
            <w:pStyle w:val="190"/>
            <w:pBdr/>
            <w:tabs>
              <w:tab w:val="right" w:leader="dot" w:pos="9360"/>
            </w:tabs>
            <w:spacing/>
            <w:ind/>
            <w:rPr/>
          </w:pPr>
          <w:hyperlink w:tooltip="#_Toc12" w:anchor="_Toc12" w:history="1">
            <w:r>
              <w:rPr>
                <w:rStyle w:val="714"/>
              </w:rPr>
            </w:r>
            <w:r>
              <w:rPr>
                <w:rStyle w:val="714"/>
              </w:rPr>
              <w:t xml:space="preserve">Comparison to Prior Art</w:t>
            </w:r>
            <w:r>
              <w:rPr>
                <w:rStyle w:val="714"/>
              </w:rPr>
            </w:r>
          </w:hyperlink>
          <w:r/>
        </w:p>
        <w:p w14:paraId="4D4CE80E">
          <w:pPr>
            <w:pBdr/>
            <w:spacing/>
            <w:ind/>
            <w:rPr/>
          </w:pPr>
          <w:r/>
          <w:r>
            <w:fldChar w:fldCharType="end"/>
          </w:r>
          <w:r/>
          <w:r/>
        </w:p>
      </w:sdtContent>
    </w:sdt>
    <w:p>
      <w:pPr>
        <w:pBdr/>
        <w:spacing/>
        <w:ind/>
        <w:rPr/>
      </w:pPr>
      <w:r>
        <w:br w:type="page" w:clear="all"/>
      </w:r>
      <w:r/>
    </w:p>
    <w:p>
      <w:pPr>
        <w:pStyle w:val="721"/>
        <w:pBdr/>
        <w:spacing/>
        <w:ind/>
        <w:rPr/>
      </w:pPr>
      <w:r/>
      <w:bookmarkStart w:id="1" w:name="_Toc1"/>
      <w:r>
        <w:t xml:space="preserve">Abstract</w:t>
      </w:r>
      <w:bookmarkEnd w:id="1"/>
      <w:r/>
      <w:r/>
    </w:p>
    <w:p>
      <w:pPr>
        <w:pBdr/>
        <w:spacing/>
        <w:ind/>
        <w:rPr/>
      </w:pPr>
      <w:r>
        <w:t xml:space="preserve">A computer-implemented scheduling method and system for operating systems and real-time environments. The Sunburst RR Scheduler enhances traditional </w:t>
      </w:r>
      <w:r>
        <w:t xml:space="preserve">Round-Robin scheduling by introducing a bounded credit/debt counter mechanism modulated by nice priority values, dynamic burst behavior scores, starvation aging, and differential decay based on task behavior. High-priority tasks accumulate credits for earl</w:t>
      </w:r>
      <w:r>
        <w:t xml:space="preserve">y promotion, while low-priority tasks accumulate debt leading to conditional deferral with recovery mechanisms. This provides superior responsiveness for interactive tasks, fairness across workloads, and bounded starvation prevention with minimal overhead.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21"/>
        <w:pBdr/>
        <w:spacing/>
        <w:ind/>
        <w:rPr/>
      </w:pPr>
      <w:r/>
      <w:bookmarkStart w:id="2" w:name="_Toc2"/>
      <w:r>
        <w:t xml:space="preserve">Background of the Invention</w:t>
      </w:r>
      <w:bookmarkEnd w:id="2"/>
      <w:r/>
      <w:r/>
    </w:p>
    <w:p>
      <w:pPr>
        <w:pBdr/>
        <w:spacing/>
        <w:ind/>
        <w:rPr/>
      </w:pPr>
      <w:r>
        <w:t xml:space="preserve">Traditional Rou</w:t>
      </w:r>
      <w:r>
        <w:t xml:space="preserve">nd-Robin (RR) schedulers treat all tasks equally, leading to poor differentiation for priority-sensitive workloads. While nice values provide static priority hints in systems like Linux, they often result in either insufficient responsiveness or unfair dom</w:t>
      </w:r>
      <w:r>
        <w:t xml:space="preserve">inance. Advanced schedulers like Completely Fair Scheduler (CFS) use virtual runtime (vruntime) but introduce higher computational complexity and cache effects. The present Sunburst RR invention introduces a lightweight, RR-compatible augmentation layer fe</w:t>
      </w:r>
      <w:r>
        <w:t xml:space="preserve">aturing novel consideration-time credit accumulation, pre-accumulation starvation rescue, behavior-aware factors, and differential decay. These innovations achieve priority-aware fairness while preserving the simplicity and predictability of RR scheduling.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21"/>
        <w:pBdr/>
        <w:spacing/>
        <w:ind/>
        <w:rPr/>
      </w:pPr>
      <w:r/>
      <w:bookmarkStart w:id="3" w:name="_Toc3"/>
      <w:r>
        <w:t xml:space="preserve">Summary of the Invention</w:t>
      </w:r>
      <w:bookmarkEnd w:id="3"/>
      <w:r/>
      <w:r/>
    </w:p>
    <w:p>
      <w:pPr>
        <w:pBdr/>
        <w:spacing/>
        <w:ind/>
        <w:rPr/>
      </w:pPr>
      <w:r>
        <w:t xml:space="preserve">The Sunburst RR Scheduler maintains a ready queue of tasks, each with state including nice value, burst_score, quantum, bounded counter (credit/debt), last_run_tick, and aging guard. Key novel aspects include:</w:t>
      </w:r>
      <w:r/>
    </w:p>
    <w:p>
      <w:pPr>
        <w:pStyle w:val="713"/>
        <w:numPr>
          <w:ilvl w:val="0"/>
          <w:numId w:val="0"/>
        </w:numPr>
        <w:pBdr/>
        <w:spacing/>
        <w:ind/>
        <w:rPr/>
      </w:pPr>
      <w:r>
        <w:t xml:space="preserve">Credit/debt accumulation triggered on every dequeue consideration (not just execution)</w:t>
      </w:r>
      <w:r/>
    </w:p>
    <w:p>
      <w:pPr>
        <w:pStyle w:val="713"/>
        <w:numPr>
          <w:ilvl w:val="0"/>
          <w:numId w:val="0"/>
        </w:numPr>
        <w:pBdr/>
        <w:spacing/>
        <w:ind/>
        <w:rPr/>
      </w:pPr>
      <w:r>
        <w:t xml:space="preserve">Starvation aging boost applied before accumulation for rescue of penalized tasks</w:t>
      </w:r>
      <w:r/>
    </w:p>
    <w:p>
      <w:pPr>
        <w:pStyle w:val="713"/>
        <w:numPr>
          <w:ilvl w:val="0"/>
          <w:numId w:val="0"/>
        </w:numPr>
        <w:pBdr/>
        <w:spacing/>
        <w:ind/>
        <w:rPr/>
      </w:pPr>
      <w:r>
        <w:t xml:space="preserve">Promotion for high-priority tasks reaching credit threshold with quantum bonus</w:t>
      </w:r>
      <w:r/>
    </w:p>
    <w:p>
      <w:pPr>
        <w:pStyle w:val="713"/>
        <w:numPr>
          <w:ilvl w:val="0"/>
          <w:numId w:val="0"/>
        </w:numPr>
        <w:pBdr/>
        <w:spacing/>
        <w:ind/>
        <w:rPr/>
      </w:pPr>
      <w:r>
        <w:t xml:space="preserve">Conditional re-enqueue for low-priority indebted tasks with partial recovery</w:t>
      </w:r>
      <w:r/>
    </w:p>
    <w:p>
      <w:pPr>
        <w:pStyle w:val="713"/>
        <w:numPr>
          <w:ilvl w:val="0"/>
          <w:numId w:val="0"/>
        </w:numPr>
        <w:pBdr/>
        <w:spacing/>
        <w:ind/>
        <w:rPr/>
      </w:pPr>
      <w:r>
        <w:t xml:space="preserve">Differential decay in post-execution based on quantum utilization (fast for interactive, slow for CPU-bound)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21"/>
        <w:pBdr/>
        <w:spacing/>
        <w:ind/>
        <w:rPr/>
      </w:pPr>
      <w:r/>
      <w:bookmarkStart w:id="4" w:name="_Toc4"/>
      <w:r>
        <w:t xml:space="preserve">Detailed Description of the Preferred Embodiments</w:t>
      </w:r>
      <w:bookmarkEnd w:id="4"/>
      <w:r/>
      <w:r/>
    </w:p>
    <w:p>
      <w:pPr>
        <w:pStyle w:val="722"/>
        <w:pBdr/>
        <w:spacing/>
        <w:ind/>
        <w:rPr/>
      </w:pPr>
      <w:r/>
      <w:bookmarkStart w:id="5" w:name="_Toc5"/>
      <w:r>
        <w:t xml:space="preserve">Constants and Task Structure</w:t>
      </w:r>
      <w:bookmarkEnd w:id="5"/>
      <w:r/>
      <w:r/>
    </w:p>
    <w:p>
      <w:pPr>
        <w:pBdr/>
        <w:spacing/>
        <w:ind/>
        <w:rPr/>
      </w:pPr>
      <w:r>
        <w:t xml:space="preserve">const MAX_CREDIT = 6;
const MIN_COUNTER = -8;
const PROMOTE_LIMIT = 3;
const SKIP_LIMIT = -3;
const DECAY_RATE = 1;
const STARVATION_THRESHOLD = 200; // ticks
const STARVATION_BOOST = 2;
const CPU_BOUND_THRESHOLD = 768;</w:t>
      </w:r>
      <w:r/>
    </w:p>
    <w:p>
      <w:pPr>
        <w:pBdr/>
        <w:spacing/>
        <w:ind/>
        <w:rPr/>
      </w:pPr>
      <w:r>
        <w:t xml:space="preserve">struct Task</w:t>
      </w:r>
      <w:r>
        <w:t xml:space="preserve"> {
  int nice;               // priority hint
  u32 burst_score;        // dynamic CPU vs interactive
  u32 quantum;            // computed time slice
  i32 counter;            // credit/debt [-8, +6]
  u64 last_run_tick;
  bool aging_boosted_this_pick;
};</w:t>
      </w:r>
      <w:r/>
    </w:p>
    <w:p>
      <w:pPr>
        <w:pStyle w:val="722"/>
        <w:pBdr/>
        <w:spacing/>
        <w:ind/>
        <w:rPr/>
      </w:pPr>
      <w:r/>
      <w:bookmarkStart w:id="6" w:name="_Toc6"/>
      <w:r>
        <w:t xml:space="preserve">Core pick_next Algorithm</w:t>
      </w:r>
      <w:bookmarkEnd w:id="6"/>
      <w:r/>
      <w:r/>
    </w:p>
    <w:p>
      <w:pPr>
        <w:pBdr/>
        <w:spacing/>
        <w:ind/>
        <w:rPr/>
      </w:pPr>
      <w:r>
        <w:t xml:space="preserve">Task* pick_next(ReadyQueue* rq) {
  // Starvation check first
  if (starving &amp;&amp; !aging_boosted) {
    counter += STARVATION_BOOST;
    aging_boosted = true;
    update_burst_score(Aged);
  }
  accumulate_counter()</w:t>
      </w:r>
      <w:r>
        <w:t xml:space="preserve">;
  if (nice &lt; 0 &amp;&amp; counter &gt;= PROMOTE_LIMIT) {
    // promote with quantum bonus
    return candidate;
  }
  if (nice &gt; 0 &amp;&amp; counter &lt;= SKIP_LIMIT) {
    counter += DECAY_RATE;
    enqueue_back();
    continue;
  }
  return candidate; // normal
}</w:t>
      </w:r>
      <w:r/>
    </w:p>
    <w:p>
      <w:pPr>
        <w:pStyle w:val="722"/>
        <w:pBdr/>
        <w:spacing/>
        <w:ind/>
        <w:rPr/>
      </w:pPr>
      <w:r/>
      <w:bookmarkStart w:id="7" w:name="_Toc7"/>
      <w:r>
        <w:t xml:space="preserve">Counter Accumulation</w:t>
      </w:r>
      <w:bookmarkEnd w:id="7"/>
      <w:r/>
      <w:r/>
    </w:p>
    <w:p>
      <w:pPr>
        <w:pBdr/>
        <w:spacing/>
        <w:ind/>
        <w:rPr/>
      </w:pPr>
      <w:r>
        <w:t xml:space="preserve">void accumulate_counter(Task* t) {
  if (nice == 0) return;
  int fa</w:t>
      </w:r>
      <w:r>
        <w:t xml:space="preserve">ctor = 1 + (burst_score &gt; CPU_BOUND_THRESHOLD ? 1 : 0);
  if (nice &lt; 0) {
    gain = ((-nice)/4 + 1) * factor;
    counter = min(counter + gain, MAX_CREDIT);
  } else {
    loss = (nice/4 + 1) * factor;
    counter = max(counter - loss, MIN_COUNTER);
  }
}</w:t>
      </w:r>
      <w:r/>
    </w:p>
    <w:p>
      <w:pPr>
        <w:pStyle w:val="722"/>
        <w:pBdr/>
        <w:spacing/>
        <w:ind/>
        <w:rPr/>
      </w:pPr>
      <w:r/>
      <w:bookmarkStart w:id="8" w:name="_Toc8"/>
      <w:r>
        <w:t xml:space="preserve">Post-Execution Handling</w:t>
      </w:r>
      <w:bookmarkEnd w:id="8"/>
      <w:r/>
      <w:r/>
    </w:p>
    <w:p>
      <w:pPr>
        <w:pBdr/>
        <w:spacing/>
        <w:ind/>
        <w:rPr/>
      </w:pPr>
      <w:r>
        <w:t xml:space="preserve">void on_task_ran(...) {
  if (ticks_used &lt; quantum / 2) {
    counter /= 2;  // fast reset for interactive
  } else {
    // linear decay
  }
  quantum = recalculate();
}</w:t>
      </w:r>
      <w:r/>
    </w:p>
    <w:p>
      <w:pPr>
        <w:pStyle w:val="722"/>
        <w:pBdr/>
        <w:spacing/>
        <w:ind/>
        <w:rPr/>
      </w:pPr>
      <w:r/>
      <w:bookmarkStart w:id="9" w:name="_Toc9"/>
      <w:r>
        <w:t xml:space="preserve">Edge Cases and Robustness</w:t>
      </w:r>
      <w:bookmarkEnd w:id="9"/>
      <w:r/>
      <w:r/>
    </w:p>
    <w:p>
      <w:pPr>
        <w:pBdr/>
        <w:spacing/>
        <w:ind/>
        <w:rPr/>
      </w:pPr>
      <w:r>
        <w:t xml:space="preserve">The design explicitly addresses: nice value changes at runtime via reset_counter(), queue thrashing via attempt limits, fallback selection of least-indebted task, dynamic workloads via burst_score feedback, and starvation prevention with aging boosts.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21"/>
        <w:pBdr/>
        <w:spacing/>
        <w:ind/>
        <w:rPr/>
      </w:pPr>
      <w:r/>
      <w:bookmarkStart w:id="10" w:name="_Toc10"/>
      <w:r>
        <w:t xml:space="preserve">Claims</w:t>
      </w:r>
      <w:bookmarkEnd w:id="10"/>
      <w:r/>
      <w:r/>
    </w:p>
    <w:p>
      <w:pPr>
        <w:pBdr/>
        <w:spacing/>
        <w:ind/>
        <w:rPr/>
      </w:pPr>
      <w:r>
        <w:t xml:space="preserve">1. A computer-implemented method for task scheduling comprising: maintaining a ready queue; for each candidate task dequeued, performing a starvation aging check</w:t>
      </w:r>
      <w:r>
        <w:t xml:space="preserve"> prior to credit/debt accumulation; accumulating a bounded counter based on nice value and burst behavior; selectively promoting or deferring the task based on counter thresholds; and applying differential decay post-execution based on quantum utilization.</w:t>
      </w:r>
      <w:r/>
    </w:p>
    <w:p>
      <w:pPr>
        <w:pBdr/>
        <w:spacing/>
        <w:ind/>
        <w:rPr/>
      </w:pPr>
      <w:r>
        <w:t xml:space="preserve">2. The method of claim 1, further comprising applying a quantum bonus upon promotion for high-priority tasks.</w:t>
      </w:r>
      <w:r/>
    </w:p>
    <w:p>
      <w:pPr>
        <w:pBdr/>
        <w:spacing/>
        <w:ind/>
        <w:rPr/>
      </w:pPr>
      <w:r>
        <w:t xml:space="preserve">3. The method of claim 1, wherein low-priority tasks with accumulated debt are conditionally re-enqueued to the back of the ready queue with partial debt recovery.</w:t>
      </w:r>
      <w:r/>
    </w:p>
    <w:p>
      <w:pPr>
        <w:pStyle w:val="722"/>
        <w:pBdr/>
        <w:spacing/>
        <w:ind/>
        <w:rPr/>
      </w:pPr>
      <w:r/>
      <w:bookmarkStart w:id="11" w:name="_Toc11"/>
      <w:r>
        <w:t xml:space="preserve">Advantages</w:t>
      </w:r>
      <w:bookmarkEnd w:id="11"/>
      <w:r/>
      <w:r/>
    </w:p>
    <w:p>
      <w:pPr>
        <w:pBdr/>
        <w:spacing/>
        <w:ind/>
        <w:rPr/>
      </w:pPr>
      <w:r>
        <w:t xml:space="preserve">• Improved responsiveness for high-priority and interactive tasks
• Bounded starvation and fairness guarantees
• Low computational overhead compatible with existing RR implementations
• Adaptive to changing workloads via burst_score integration</w:t>
      </w:r>
      <w:r/>
    </w:p>
    <w:p>
      <w:pPr>
        <w:pStyle w:val="722"/>
        <w:pBdr/>
        <w:spacing/>
        <w:ind/>
        <w:rPr/>
      </w:pPr>
      <w:r/>
      <w:bookmarkStart w:id="12" w:name="_Toc12"/>
      <w:r>
        <w:t xml:space="preserve">Comparison to Prior Art</w:t>
      </w:r>
      <w:bookmarkEnd w:id="12"/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0"/>
        <w:gridCol w:w="3000"/>
        <w:gridCol w:w="3360"/>
      </w:tblGrid>
      <w:tr>
        <w:trPr/>
        <w:tc>
          <w:tcPr>
            <w:tcBorders/>
            <w:tcW w:w="3000" w:type="dxa"/>
          </w:tcPr>
          <w:p>
            <w:pPr>
              <w:pBdr/>
              <w:spacing/>
              <w:ind/>
              <w:rPr/>
            </w:pPr>
            <w:r>
              <w:t xml:space="preserve">Scheduler</w:t>
            </w:r>
            <w:r/>
          </w:p>
        </w:tc>
        <w:tc>
          <w:tcPr>
            <w:tcBorders/>
            <w:tcW w:w="3000" w:type="dxa"/>
          </w:tcPr>
          <w:p>
            <w:pPr>
              <w:pBdr/>
              <w:spacing/>
              <w:ind/>
              <w:rPr/>
            </w:pPr>
            <w:r>
              <w:t xml:space="preserve">Priority Handling</w:t>
            </w:r>
            <w:r/>
          </w:p>
        </w:tc>
        <w:tc>
          <w:tcPr>
            <w:tcBorders/>
            <w:tcW w:w="3360" w:type="dxa"/>
          </w:tcPr>
          <w:p>
            <w:pPr>
              <w:pBdr/>
              <w:spacing/>
              <w:ind/>
              <w:rPr/>
            </w:pPr>
            <w:r>
              <w:t xml:space="preserve">Key Innovation</w:t>
            </w:r>
            <w:r/>
          </w:p>
        </w:tc>
      </w:tr>
      <w:tr>
        <w:trPr/>
        <w:tc>
          <w:tcPr>
            <w:tcBorders/>
            <w:tcW w:w="3000" w:type="dxa"/>
          </w:tcPr>
          <w:p>
            <w:pPr>
              <w:pBdr/>
              <w:spacing/>
              <w:ind/>
              <w:rPr/>
            </w:pPr>
            <w:r>
              <w:t xml:space="preserve">Standard RR</w:t>
            </w:r>
            <w:r/>
          </w:p>
        </w:tc>
        <w:tc>
          <w:tcPr>
            <w:tcBorders/>
            <w:tcW w:w="3000" w:type="dxa"/>
          </w:tcPr>
          <w:p>
            <w:pPr>
              <w:pBdr/>
              <w:spacing/>
              <w:ind/>
              <w:rPr/>
            </w:pPr>
            <w:r>
              <w:t xml:space="preserve">None</w:t>
            </w:r>
            <w:r/>
          </w:p>
        </w:tc>
        <w:tc>
          <w:tcPr>
            <w:tcBorders/>
            <w:tcW w:w="3360" w:type="dxa"/>
          </w:tcPr>
          <w:p>
            <w:pPr>
              <w:pBdr/>
              <w:spacing/>
              <w:ind/>
              <w:rPr/>
            </w:pPr>
            <w:r>
              <w:t xml:space="preserve">Equal time slices</w:t>
            </w:r>
            <w:r/>
          </w:p>
        </w:tc>
      </w:tr>
      <w:tr>
        <w:trPr/>
        <w:tc>
          <w:tcPr>
            <w:tcBorders/>
            <w:tcW w:w="3000" w:type="dxa"/>
          </w:tcPr>
          <w:p>
            <w:pPr>
              <w:pBdr/>
              <w:spacing/>
              <w:ind/>
              <w:rPr/>
            </w:pPr>
            <w:r>
              <w:t xml:space="preserve">Linux CFS</w:t>
            </w:r>
            <w:r/>
          </w:p>
        </w:tc>
        <w:tc>
          <w:tcPr>
            <w:tcBorders/>
            <w:tcW w:w="3000" w:type="dxa"/>
          </w:tcPr>
          <w:p>
            <w:pPr>
              <w:pBdr/>
              <w:spacing/>
              <w:ind/>
              <w:rPr/>
            </w:pPr>
            <w:r>
              <w:t xml:space="preserve">vruntime weights</w:t>
            </w:r>
            <w:r/>
          </w:p>
        </w:tc>
        <w:tc>
          <w:tcPr>
            <w:tcBorders/>
            <w:tcW w:w="3360" w:type="dxa"/>
          </w:tcPr>
          <w:p>
            <w:pPr>
              <w:pBdr/>
              <w:spacing/>
              <w:ind/>
              <w:rPr/>
            </w:pPr>
            <w:r>
              <w:t xml:space="preserve">Red-black tree</w:t>
            </w:r>
            <w:r/>
          </w:p>
        </w:tc>
      </w:tr>
      <w:tr>
        <w:trPr/>
        <w:tc>
          <w:tcPr>
            <w:tcBorders/>
            <w:tcW w:w="3000" w:type="dxa"/>
          </w:tcPr>
          <w:p>
            <w:pPr>
              <w:pBdr/>
              <w:spacing/>
              <w:ind/>
              <w:rPr/>
            </w:pPr>
            <w:r>
              <w:t xml:space="preserve">Sunburst RR (Present)</w:t>
            </w:r>
            <w:r/>
          </w:p>
        </w:tc>
        <w:tc>
          <w:tcPr>
            <w:tcBorders/>
            <w:tcW w:w="3000" w:type="dxa"/>
          </w:tcPr>
          <w:p>
            <w:pPr>
              <w:pBdr/>
              <w:spacing/>
              <w:ind/>
              <w:rPr/>
            </w:pPr>
            <w:r>
              <w:t xml:space="preserve">Credit/Debt + Aging</w:t>
            </w:r>
            <w:r/>
          </w:p>
        </w:tc>
        <w:tc>
          <w:tcPr>
            <w:tcBorders/>
            <w:tcW w:w="3360" w:type="dxa"/>
          </w:tcPr>
          <w:p>
            <w:pPr>
              <w:pBdr/>
              <w:spacing/>
              <w:ind/>
              <w:rPr/>
            </w:pPr>
            <w:r>
              <w:t xml:space="preserve">Consideration-time accumulation + behavior decay</w:t>
            </w:r>
            <w:r/>
          </w:p>
        </w:tc>
      </w:tr>
    </w:tbl>
    <w:p w14:paraId="43C2407F">
      <w:pPr>
        <w:pBdr/>
        <w:spacing/>
        <w:ind/>
        <w:rPr/>
      </w:pPr>
      <w:r/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2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2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0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1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0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  <w:rPr>
      <w:color w:val="00c8c3" w:themeColor="hyperlink"/>
      <w:u w:val="single"/>
    </w:r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  <w:rPr>
      <w:color w:val="00c8c3" w:themeColor="hyperlink"/>
      <w:u w:val="single"/>
    </w:r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  <w:rPr>
      <w:color w:val="00c8c3" w:themeColor="hyperlink"/>
      <w:u w:val="single"/>
    </w:rPr>
  </w:style>
  <w:style w:type="paragraph" w:styleId="192">
    <w:name w:val="toc 4"/>
    <w:basedOn w:val="138"/>
    <w:next w:val="138"/>
    <w:uiPriority w:val="39"/>
    <w:unhideWhenUsed/>
    <w:pPr>
      <w:pBdr/>
      <w:spacing w:after="57"/>
      <w:ind w:left="850"/>
    </w:pPr>
    <w:rPr>
      <w:color w:val="00c8c3" w:themeColor="hyperlink"/>
      <w:u w:val="single"/>
    </w:rPr>
  </w:style>
  <w:style w:type="paragraph" w:styleId="193">
    <w:name w:val="toc 5"/>
    <w:basedOn w:val="138"/>
    <w:next w:val="138"/>
    <w:uiPriority w:val="39"/>
    <w:unhideWhenUsed/>
    <w:pPr>
      <w:pBdr/>
      <w:spacing w:after="57"/>
      <w:ind w:left="1134"/>
    </w:pPr>
    <w:rPr>
      <w:color w:val="00c8c3" w:themeColor="hyperlink"/>
      <w:u w:val="single"/>
    </w:rPr>
  </w:style>
  <w:style w:type="paragraph" w:styleId="194">
    <w:name w:val="toc 6"/>
    <w:basedOn w:val="138"/>
    <w:next w:val="138"/>
    <w:uiPriority w:val="39"/>
    <w:unhideWhenUsed/>
    <w:pPr>
      <w:pBdr/>
      <w:spacing w:after="57"/>
      <w:ind w:left="1417"/>
    </w:pPr>
    <w:rPr>
      <w:color w:val="00c8c3" w:themeColor="hyperlink"/>
      <w:u w:val="single"/>
    </w:rPr>
  </w:style>
  <w:style w:type="paragraph" w:styleId="195">
    <w:name w:val="toc 7"/>
    <w:basedOn w:val="138"/>
    <w:next w:val="138"/>
    <w:uiPriority w:val="39"/>
    <w:unhideWhenUsed/>
    <w:pPr>
      <w:pBdr/>
      <w:spacing w:after="57"/>
      <w:ind w:left="1701"/>
    </w:pPr>
    <w:rPr>
      <w:color w:val="00c8c3" w:themeColor="hyperlink"/>
      <w:u w:val="single"/>
    </w:rPr>
  </w:style>
  <w:style w:type="paragraph" w:styleId="196">
    <w:name w:val="toc 8"/>
    <w:basedOn w:val="138"/>
    <w:next w:val="138"/>
    <w:uiPriority w:val="39"/>
    <w:unhideWhenUsed/>
    <w:pPr>
      <w:pBdr/>
      <w:spacing w:after="57"/>
      <w:ind w:left="1984"/>
    </w:pPr>
    <w:rPr>
      <w:color w:val="00c8c3" w:themeColor="hyperlink"/>
      <w:u w:val="single"/>
    </w:rPr>
  </w:style>
  <w:style w:type="paragraph" w:styleId="197">
    <w:name w:val="toc 9"/>
    <w:basedOn w:val="138"/>
    <w:next w:val="138"/>
    <w:uiPriority w:val="39"/>
    <w:unhideWhenUsed/>
    <w:pPr>
      <w:pBdr/>
      <w:spacing w:after="57"/>
      <w:ind w:left="2268"/>
    </w:pPr>
    <w:rPr>
      <w:color w:val="00c8c3" w:themeColor="hyperlink"/>
      <w:u w:val="single"/>
    </w:r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05">
    <w:name w:val="Title"/>
    <w:qFormat/>
    <w:pPr>
      <w:pBdr/>
      <w:spacing/>
      <w:ind/>
    </w:pPr>
    <w:rPr>
      <w:sz w:val="56"/>
      <w:szCs w:val="56"/>
    </w:rPr>
  </w:style>
  <w:style w:type="paragraph" w:styleId="709">
    <w:name w:val="Heading 4"/>
    <w:qFormat/>
    <w:pPr>
      <w:pBdr/>
      <w:spacing/>
      <w:ind/>
    </w:pPr>
    <w:rPr>
      <w:i/>
      <w:iCs/>
      <w:color w:val="2e74b5"/>
    </w:rPr>
  </w:style>
  <w:style w:type="paragraph" w:styleId="710">
    <w:name w:val="Heading 5"/>
    <w:qFormat/>
    <w:pPr>
      <w:pBdr/>
      <w:spacing/>
      <w:ind/>
    </w:pPr>
    <w:rPr>
      <w:color w:val="2e74b5"/>
    </w:rPr>
  </w:style>
  <w:style w:type="paragraph" w:styleId="711">
    <w:name w:val="Heading 6"/>
    <w:qFormat/>
    <w:pPr>
      <w:pBdr/>
      <w:spacing/>
      <w:ind/>
    </w:pPr>
    <w:rPr>
      <w:color w:val="1f4d78"/>
    </w:rPr>
  </w:style>
  <w:style w:type="paragraph" w:styleId="712">
    <w:name w:val="Strong"/>
    <w:qFormat/>
    <w:pPr>
      <w:pBdr/>
      <w:spacing/>
      <w:ind/>
    </w:pPr>
    <w:rPr>
      <w:b/>
      <w:bCs/>
    </w:rPr>
  </w:style>
  <w:style w:type="paragraph" w:styleId="713">
    <w:name w:val="List Paragraph"/>
    <w:qFormat/>
    <w:pPr>
      <w:pBdr/>
      <w:spacing/>
      <w:ind/>
    </w:pPr>
  </w:style>
  <w:style w:type="character" w:styleId="714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15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16">
    <w:name w:val="footnote text"/>
    <w:link w:val="71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17">
    <w:name w:val="Footnote Text Char"/>
    <w:link w:val="716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18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19">
    <w:name w:val="endnote text"/>
    <w:link w:val="7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0">
    <w:name w:val="Endnote Text Char"/>
    <w:link w:val="719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21">
    <w:name w:val="Heading 1"/>
    <w:qFormat/>
    <w:pPr>
      <w:pBdr/>
      <w:spacing w:after="240" w:before="240"/>
      <w:ind/>
      <w:outlineLvl w:val="0"/>
    </w:pPr>
    <w:rPr>
      <w:rFonts w:ascii="Arial" w:hAnsi="Arial" w:eastAsia="Arial" w:cs="Arial"/>
      <w:b/>
      <w:bCs/>
      <w:sz w:val="32"/>
      <w:szCs w:val="32"/>
    </w:rPr>
  </w:style>
  <w:style w:type="paragraph" w:styleId="722">
    <w:name w:val="Heading 2"/>
    <w:qFormat/>
    <w:pPr>
      <w:pBdr/>
      <w:spacing w:after="180" w:before="180"/>
      <w:ind/>
      <w:outlineLvl w:val="1"/>
    </w:pPr>
    <w:rPr>
      <w:rFonts w:ascii="Arial" w:hAnsi="Arial" w:eastAsia="Arial" w:cs="Arial"/>
      <w:b/>
      <w:bCs/>
      <w:sz w:val="28"/>
      <w:szCs w:val="28"/>
    </w:rPr>
  </w:style>
  <w:style w:type="paragraph" w:styleId="723">
    <w:name w:val="Heading 3"/>
    <w:qFormat/>
    <w:pPr>
      <w:pBdr/>
      <w:spacing w:after="120" w:before="120"/>
      <w:ind/>
      <w:outlineLvl w:val="2"/>
    </w:pPr>
    <w:rPr>
      <w:rFonts w:ascii="Arial" w:hAnsi="Arial" w:eastAsia="Arial" w:cs="Arial"/>
      <w:b/>
      <w:bCs/>
      <w:sz w:val="26"/>
      <w:szCs w:val="2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98"/>
            </w:rPr>
            <w:t xml:space="preserve">Your text here</w:t>
          </w:r>
          <w:r/>
          <w:r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">
    <w:name w:val="Table Grid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Table Grid Light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1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2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Plain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Plain Table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1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2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3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4 - Accent 5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4 - Accent 6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Grid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Grid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4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4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st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st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 &amp; 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&amp; 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4">
    <w:name w:val="Bordered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5">
    <w:name w:val="Bordered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6" w:default="1">
    <w:name w:val="Normal"/>
    <w:qFormat/>
    <w:pPr>
      <w:pBdr/>
      <w:spacing/>
      <w:ind/>
    </w:pPr>
  </w:style>
  <w:style w:type="paragraph" w:styleId="397">
    <w:name w:val="Heading 1"/>
    <w:basedOn w:val="396"/>
    <w:next w:val="396"/>
    <w:link w:val="40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8">
    <w:name w:val="Heading 2"/>
    <w:basedOn w:val="396"/>
    <w:next w:val="396"/>
    <w:link w:val="40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9">
    <w:name w:val="Heading 3"/>
    <w:basedOn w:val="396"/>
    <w:next w:val="396"/>
    <w:link w:val="41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400">
    <w:name w:val="Heading 4"/>
    <w:basedOn w:val="396"/>
    <w:next w:val="396"/>
    <w:link w:val="41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401">
    <w:name w:val="Heading 5"/>
    <w:basedOn w:val="396"/>
    <w:next w:val="396"/>
    <w:link w:val="4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2">
    <w:name w:val="Heading 6"/>
    <w:basedOn w:val="396"/>
    <w:next w:val="396"/>
    <w:link w:val="41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3">
    <w:name w:val="Heading 7"/>
    <w:basedOn w:val="396"/>
    <w:next w:val="396"/>
    <w:link w:val="41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4">
    <w:name w:val="Heading 8"/>
    <w:basedOn w:val="396"/>
    <w:next w:val="396"/>
    <w:link w:val="41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5">
    <w:name w:val="Heading 9"/>
    <w:basedOn w:val="396"/>
    <w:next w:val="396"/>
    <w:link w:val="41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6" w:default="1">
    <w:name w:val="Default Paragraph Font"/>
    <w:uiPriority w:val="1"/>
    <w:semiHidden/>
    <w:unhideWhenUsed/>
    <w:pPr>
      <w:pBdr/>
      <w:spacing/>
      <w:ind/>
    </w:pPr>
  </w:style>
  <w:style w:type="numbering" w:styleId="407" w:default="1">
    <w:name w:val="No List"/>
    <w:uiPriority w:val="99"/>
    <w:semiHidden/>
    <w:unhideWhenUsed/>
    <w:pPr>
      <w:pBdr/>
      <w:spacing/>
      <w:ind/>
    </w:pPr>
  </w:style>
  <w:style w:type="character" w:styleId="408">
    <w:name w:val="Heading 1 Char"/>
    <w:basedOn w:val="406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406"/>
    <w:link w:val="3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406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406"/>
    <w:link w:val="4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406"/>
    <w:link w:val="4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406"/>
    <w:link w:val="4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406"/>
    <w:link w:val="4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406"/>
    <w:link w:val="4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406"/>
    <w:link w:val="4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7">
    <w:name w:val="Title"/>
    <w:basedOn w:val="396"/>
    <w:next w:val="396"/>
    <w:link w:val="41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8">
    <w:name w:val="Title Char"/>
    <w:basedOn w:val="406"/>
    <w:link w:val="4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9">
    <w:name w:val="Subtitle"/>
    <w:basedOn w:val="396"/>
    <w:next w:val="396"/>
    <w:link w:val="42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0">
    <w:name w:val="Subtitle Char"/>
    <w:basedOn w:val="406"/>
    <w:link w:val="4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21">
    <w:name w:val="Quote"/>
    <w:basedOn w:val="396"/>
    <w:next w:val="396"/>
    <w:link w:val="4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2">
    <w:name w:val="Quote Char"/>
    <w:basedOn w:val="406"/>
    <w:link w:val="4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3">
    <w:name w:val="List Paragraph"/>
    <w:basedOn w:val="396"/>
    <w:uiPriority w:val="34"/>
    <w:qFormat/>
    <w:pPr>
      <w:pBdr/>
      <w:spacing/>
      <w:ind w:left="720"/>
      <w:contextualSpacing w:val="true"/>
    </w:pPr>
  </w:style>
  <w:style w:type="character" w:styleId="424">
    <w:name w:val="Intense Emphasis"/>
    <w:basedOn w:val="4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5">
    <w:name w:val="Intense Quote"/>
    <w:basedOn w:val="396"/>
    <w:next w:val="396"/>
    <w:link w:val="4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6">
    <w:name w:val="Intense Quote Char"/>
    <w:basedOn w:val="406"/>
    <w:link w:val="4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7">
    <w:name w:val="Intense Reference"/>
    <w:basedOn w:val="4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8">
    <w:name w:val="No Spacing"/>
    <w:basedOn w:val="396"/>
    <w:uiPriority w:val="1"/>
    <w:qFormat/>
    <w:pPr>
      <w:pBdr/>
      <w:spacing w:after="0" w:line="240" w:lineRule="auto"/>
      <w:ind/>
    </w:pPr>
  </w:style>
  <w:style w:type="character" w:styleId="429">
    <w:name w:val="Subtle Emphasis"/>
    <w:basedOn w:val="4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30">
    <w:name w:val="Emphasis"/>
    <w:basedOn w:val="406"/>
    <w:uiPriority w:val="20"/>
    <w:qFormat/>
    <w:pPr>
      <w:pBdr/>
      <w:spacing/>
      <w:ind/>
    </w:pPr>
    <w:rPr>
      <w:i/>
      <w:iCs/>
    </w:rPr>
  </w:style>
  <w:style w:type="character" w:styleId="431">
    <w:name w:val="Strong"/>
    <w:basedOn w:val="406"/>
    <w:uiPriority w:val="22"/>
    <w:qFormat/>
    <w:pPr>
      <w:pBdr/>
      <w:spacing/>
      <w:ind/>
    </w:pPr>
    <w:rPr>
      <w:b/>
      <w:bCs/>
    </w:rPr>
  </w:style>
  <w:style w:type="character" w:styleId="432">
    <w:name w:val="Subtle Reference"/>
    <w:basedOn w:val="4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3">
    <w:name w:val="Book Title"/>
    <w:basedOn w:val="4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4">
    <w:name w:val="Header"/>
    <w:basedOn w:val="396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Header Char"/>
    <w:basedOn w:val="406"/>
    <w:link w:val="434"/>
    <w:uiPriority w:val="99"/>
    <w:pPr>
      <w:pBdr/>
      <w:spacing/>
      <w:ind/>
    </w:pPr>
  </w:style>
  <w:style w:type="paragraph" w:styleId="436">
    <w:name w:val="Footer"/>
    <w:basedOn w:val="396"/>
    <w:link w:val="43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7">
    <w:name w:val="Footer Char"/>
    <w:basedOn w:val="406"/>
    <w:link w:val="436"/>
    <w:uiPriority w:val="99"/>
    <w:pPr>
      <w:pBdr/>
      <w:spacing/>
      <w:ind/>
    </w:pPr>
  </w:style>
  <w:style w:type="paragraph" w:styleId="438">
    <w:name w:val="Caption"/>
    <w:basedOn w:val="396"/>
    <w:next w:val="3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9">
    <w:name w:val="footnote text"/>
    <w:basedOn w:val="396"/>
    <w:link w:val="4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0">
    <w:name w:val="Footnote Text Char"/>
    <w:basedOn w:val="406"/>
    <w:link w:val="439"/>
    <w:uiPriority w:val="99"/>
    <w:semiHidden/>
    <w:pPr>
      <w:pBdr/>
      <w:spacing/>
      <w:ind/>
    </w:pPr>
    <w:rPr>
      <w:sz w:val="20"/>
      <w:szCs w:val="20"/>
    </w:rPr>
  </w:style>
  <w:style w:type="character" w:styleId="441">
    <w:name w:val="foot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paragraph" w:styleId="442">
    <w:name w:val="endnote text"/>
    <w:basedOn w:val="396"/>
    <w:link w:val="4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3">
    <w:name w:val="Endnote Text Char"/>
    <w:basedOn w:val="406"/>
    <w:link w:val="442"/>
    <w:uiPriority w:val="99"/>
    <w:semiHidden/>
    <w:pPr>
      <w:pBdr/>
      <w:spacing/>
      <w:ind/>
    </w:pPr>
    <w:rPr>
      <w:sz w:val="20"/>
      <w:szCs w:val="20"/>
    </w:rPr>
  </w:style>
  <w:style w:type="character" w:styleId="444">
    <w:name w:val="end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character" w:styleId="445">
    <w:name w:val="Hyperlink"/>
    <w:basedOn w:val="4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6">
    <w:name w:val="FollowedHyperlink"/>
    <w:basedOn w:val="4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7">
    <w:name w:val="toc 1"/>
    <w:basedOn w:val="396"/>
    <w:next w:val="396"/>
    <w:uiPriority w:val="39"/>
    <w:unhideWhenUsed/>
    <w:pPr>
      <w:pBdr/>
      <w:spacing w:after="100"/>
      <w:ind/>
    </w:pPr>
  </w:style>
  <w:style w:type="paragraph" w:styleId="448">
    <w:name w:val="toc 2"/>
    <w:basedOn w:val="396"/>
    <w:next w:val="396"/>
    <w:uiPriority w:val="39"/>
    <w:unhideWhenUsed/>
    <w:pPr>
      <w:pBdr/>
      <w:spacing w:after="100"/>
      <w:ind w:left="220"/>
    </w:pPr>
  </w:style>
  <w:style w:type="paragraph" w:styleId="449">
    <w:name w:val="toc 3"/>
    <w:basedOn w:val="396"/>
    <w:next w:val="396"/>
    <w:uiPriority w:val="39"/>
    <w:unhideWhenUsed/>
    <w:pPr>
      <w:pBdr/>
      <w:spacing w:after="100"/>
      <w:ind w:left="440"/>
    </w:pPr>
  </w:style>
  <w:style w:type="paragraph" w:styleId="450">
    <w:name w:val="toc 4"/>
    <w:basedOn w:val="396"/>
    <w:next w:val="396"/>
    <w:uiPriority w:val="39"/>
    <w:unhideWhenUsed/>
    <w:pPr>
      <w:pBdr/>
      <w:spacing w:after="100"/>
      <w:ind w:left="660"/>
    </w:pPr>
  </w:style>
  <w:style w:type="paragraph" w:styleId="451">
    <w:name w:val="toc 5"/>
    <w:basedOn w:val="396"/>
    <w:next w:val="396"/>
    <w:uiPriority w:val="39"/>
    <w:unhideWhenUsed/>
    <w:pPr>
      <w:pBdr/>
      <w:spacing w:after="100"/>
      <w:ind w:left="880"/>
    </w:pPr>
  </w:style>
  <w:style w:type="paragraph" w:styleId="452">
    <w:name w:val="toc 6"/>
    <w:basedOn w:val="396"/>
    <w:next w:val="396"/>
    <w:uiPriority w:val="39"/>
    <w:unhideWhenUsed/>
    <w:pPr>
      <w:pBdr/>
      <w:spacing w:after="100"/>
      <w:ind w:left="1100"/>
    </w:pPr>
  </w:style>
  <w:style w:type="paragraph" w:styleId="453">
    <w:name w:val="toc 7"/>
    <w:basedOn w:val="396"/>
    <w:next w:val="396"/>
    <w:uiPriority w:val="39"/>
    <w:unhideWhenUsed/>
    <w:pPr>
      <w:pBdr/>
      <w:spacing w:after="100"/>
      <w:ind w:left="1320"/>
    </w:pPr>
  </w:style>
  <w:style w:type="paragraph" w:styleId="454">
    <w:name w:val="toc 8"/>
    <w:basedOn w:val="396"/>
    <w:next w:val="396"/>
    <w:uiPriority w:val="39"/>
    <w:unhideWhenUsed/>
    <w:pPr>
      <w:pBdr/>
      <w:spacing w:after="100"/>
      <w:ind w:left="1540"/>
    </w:pPr>
  </w:style>
  <w:style w:type="paragraph" w:styleId="455">
    <w:name w:val="toc 9"/>
    <w:basedOn w:val="396"/>
    <w:next w:val="396"/>
    <w:uiPriority w:val="39"/>
    <w:unhideWhenUsed/>
    <w:pPr>
      <w:pBdr/>
      <w:spacing w:after="100"/>
      <w:ind w:left="1760"/>
    </w:pPr>
  </w:style>
  <w:style w:type="character" w:styleId="456">
    <w:name w:val="Placeholder Text"/>
    <w:basedOn w:val="406"/>
    <w:uiPriority w:val="99"/>
    <w:semiHidden/>
    <w:pPr>
      <w:pBdr/>
      <w:spacing/>
      <w:ind/>
    </w:pPr>
    <w:rPr>
      <w:color w:val="666666"/>
    </w:rPr>
  </w:style>
  <w:style w:type="paragraph" w:styleId="466">
    <w:name w:val="TOC Heading"/>
    <w:uiPriority w:val="39"/>
    <w:unhideWhenUsed/>
    <w:pPr>
      <w:pBdr/>
      <w:spacing/>
      <w:ind/>
    </w:pPr>
  </w:style>
  <w:style w:type="paragraph" w:styleId="467">
    <w:name w:val="table of figures"/>
    <w:basedOn w:val="396"/>
    <w:next w:val="39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2026-06-15T19:45:00Z</dcterms:created>
  <dcterms:modified xsi:type="dcterms:W3CDTF">2026-06-15T19:48:30Z</dcterms:modified>
</cp:coreProperties>
</file>