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Selecciona todas las filas de la tabla de empleados.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EmployeeID FROM Northwind.Employees;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2. Repite lo anterior, pero mostrando sólo el nombre y primer apellido de cada empleado.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FirstName, LastName FROM Northwind.Employees;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Repite lo anterior, pero mostrando la cabecera de las columnas en español.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FirstName "Nombre", LastName "Apellido" FROM Northwind.Employees;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/*4. Selecciona todas las filas de la tabla de pedidos 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anota cuantas hay en total.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 continuación, selecciona de nuevo todas las filas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pero mostrando únicamente el ID de pedido, contando de nuevo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cuantas hay. ¿Coincide con la anotación anterior? ¿Por qué?*/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Northwind.Orders;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5. Muestra el nombre de las distintas compañías proveedoras,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renombrando la cabecera de la columna como Nombre de compañía (respeta los espacios).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CompanyName "Nombre de compañía" FROM Northwind.Suppliers;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6. Muestra el ID de producto y nombre de producto de todos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los productos.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ProductID, ProductName FROM Northwind.Products;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7. Visualiza todo el contenido de la tabla de productos. A continuación haz lo mismo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 la tabla de pedidos, y de nuevo, haz lo mismo con la tabla de detalle de pedidos.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¿El contenido de las tres tablas guarda alguna similitud o relación? ¿Crees que tienen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algo que ver?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Todas tienen en común algunas columnas como ProductID.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