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6298D" w14:textId="77777777" w:rsidR="00A409DF" w:rsidRPr="007A0F9B" w:rsidRDefault="00A409DF">
      <w:pPr>
        <w:rPr>
          <w:b/>
          <w:sz w:val="28"/>
          <w:szCs w:val="28"/>
        </w:rPr>
      </w:pPr>
      <w:r w:rsidRPr="007A0F9B">
        <w:rPr>
          <w:b/>
          <w:sz w:val="28"/>
          <w:szCs w:val="28"/>
        </w:rPr>
        <w:t>Experimental Data:</w:t>
      </w:r>
    </w:p>
    <w:p w14:paraId="6824FFAE" w14:textId="77777777" w:rsidR="007A0F9B" w:rsidRPr="007A0F9B" w:rsidRDefault="007A0F9B">
      <w:pPr>
        <w:rPr>
          <w:b/>
          <w:sz w:val="24"/>
          <w:szCs w:val="24"/>
        </w:rPr>
      </w:pPr>
      <w:r w:rsidRPr="007A0F9B">
        <w:rPr>
          <w:b/>
          <w:sz w:val="24"/>
          <w:szCs w:val="24"/>
        </w:rPr>
        <w:t>All components: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1580"/>
        <w:gridCol w:w="1180"/>
        <w:gridCol w:w="712"/>
        <w:gridCol w:w="1325"/>
      </w:tblGrid>
      <w:tr w:rsidR="00B90281" w:rsidRPr="00B164D0" w14:paraId="161E45DB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0F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pre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-emphasis: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B72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low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-pass: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BB5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01AD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118.6KΩ</w:t>
            </w:r>
          </w:p>
        </w:tc>
      </w:tr>
      <w:tr w:rsidR="00B90281" w:rsidRPr="00B164D0" w14:paraId="67E32384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ADB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001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B46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31E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119.3KΩ</w:t>
            </w:r>
          </w:p>
        </w:tc>
      </w:tr>
      <w:tr w:rsidR="00B90281" w:rsidRPr="00B164D0" w14:paraId="7DC71573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77AA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802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8E3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A31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1nF</w:t>
            </w:r>
          </w:p>
        </w:tc>
      </w:tr>
      <w:tr w:rsidR="00B90281" w:rsidRPr="00B164D0" w14:paraId="06CEEC14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EA6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3D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71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8C9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503pF</w:t>
            </w:r>
          </w:p>
        </w:tc>
      </w:tr>
      <w:tr w:rsidR="00B90281" w:rsidRPr="00B164D0" w14:paraId="106A4E37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6B5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68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high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-pass: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28FA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BC3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106.4KΩ</w:t>
            </w:r>
          </w:p>
        </w:tc>
      </w:tr>
      <w:tr w:rsidR="00B90281" w:rsidRPr="00B164D0" w14:paraId="48D34635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01D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71DA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7F7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550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210KΩ</w:t>
            </w:r>
          </w:p>
        </w:tc>
      </w:tr>
      <w:tr w:rsidR="00B90281" w:rsidRPr="00B164D0" w14:paraId="140F59EC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2B3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575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930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036D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2nF</w:t>
            </w:r>
          </w:p>
        </w:tc>
      </w:tr>
      <w:tr w:rsidR="00B90281" w:rsidRPr="00B164D0" w14:paraId="05D735BD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66D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F64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FA66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EC46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2nF</w:t>
            </w:r>
          </w:p>
        </w:tc>
      </w:tr>
      <w:tr w:rsidR="00B90281" w:rsidRPr="00B164D0" w14:paraId="73E68836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545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C4A1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gain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0B1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Ri</w:t>
            </w:r>
            <w:proofErr w:type="spell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1AF8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1.01KΩ</w:t>
            </w:r>
          </w:p>
        </w:tc>
      </w:tr>
      <w:tr w:rsidR="00B90281" w:rsidRPr="00B164D0" w14:paraId="361B76BC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83F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60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728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Rf</w:t>
            </w:r>
            <w:proofErr w:type="spell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B98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28.3KΩ</w:t>
            </w:r>
          </w:p>
        </w:tc>
      </w:tr>
      <w:tr w:rsidR="00B90281" w:rsidRPr="00B164D0" w14:paraId="5FBDD4E1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E136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C96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619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D061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B90281" w:rsidRPr="00B164D0" w14:paraId="51555B39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AC0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-emphasis: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79A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low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-pass: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594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C45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119.2KΩ</w:t>
            </w:r>
          </w:p>
        </w:tc>
      </w:tr>
      <w:tr w:rsidR="00B90281" w:rsidRPr="00B164D0" w14:paraId="5952DCA3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86F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1209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C379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01D9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119.3KΩ</w:t>
            </w:r>
          </w:p>
        </w:tc>
      </w:tr>
      <w:tr w:rsidR="00B90281" w:rsidRPr="00B164D0" w14:paraId="0214B951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4E54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C2A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91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34C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20nF</w:t>
            </w:r>
          </w:p>
        </w:tc>
      </w:tr>
      <w:tr w:rsidR="00B90281" w:rsidRPr="00B164D0" w14:paraId="15BF760B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0CC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ED0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7E0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09B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10nF</w:t>
            </w:r>
          </w:p>
        </w:tc>
      </w:tr>
      <w:tr w:rsidR="00B90281" w:rsidRPr="00B164D0" w14:paraId="4A905861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3F3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015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high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-pass: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0AB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FDB8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5.50KΩ</w:t>
            </w:r>
          </w:p>
        </w:tc>
      </w:tr>
      <w:tr w:rsidR="00B90281" w:rsidRPr="00B164D0" w14:paraId="3E3B34A6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6798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A5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E751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F4DA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10.90KΩ</w:t>
            </w:r>
          </w:p>
        </w:tc>
      </w:tr>
      <w:tr w:rsidR="00B90281" w:rsidRPr="00B164D0" w14:paraId="7EB8869C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C0D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46B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73F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831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2nF</w:t>
            </w:r>
          </w:p>
        </w:tc>
      </w:tr>
      <w:tr w:rsidR="00B90281" w:rsidRPr="00B164D0" w14:paraId="28F25572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0CC8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FCB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E5A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2A31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2nF</w:t>
            </w:r>
          </w:p>
        </w:tc>
      </w:tr>
      <w:tr w:rsidR="00B90281" w:rsidRPr="00B164D0" w14:paraId="73C6F451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C05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BAB3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gain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5C3D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Ri</w:t>
            </w:r>
            <w:proofErr w:type="spell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69A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0.955KΩ</w:t>
            </w:r>
          </w:p>
        </w:tc>
      </w:tr>
      <w:tr w:rsidR="00B90281" w:rsidRPr="00B164D0" w14:paraId="1183ACF9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B56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BC97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A3DB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Rf</w:t>
            </w:r>
            <w:proofErr w:type="spell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C879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1.483KΩ</w:t>
            </w:r>
          </w:p>
        </w:tc>
      </w:tr>
      <w:tr w:rsidR="00B90281" w:rsidRPr="00B164D0" w14:paraId="23A74C07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8CF9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EEFF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gram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sum</w:t>
            </w:r>
            <w:proofErr w:type="gram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6B81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R1=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F68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99.3KΩ</w:t>
            </w:r>
          </w:p>
        </w:tc>
      </w:tr>
      <w:tr w:rsidR="00B90281" w:rsidRPr="00B164D0" w14:paraId="280FAF19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2FC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176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F5A2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128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98.8KΩ</w:t>
            </w:r>
          </w:p>
        </w:tc>
      </w:tr>
      <w:tr w:rsidR="00B90281" w:rsidRPr="00B164D0" w14:paraId="5EFA36FB" w14:textId="77777777" w:rsidTr="00B90281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1FEE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E318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16D0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Rf</w:t>
            </w:r>
            <w:proofErr w:type="spellEnd"/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1695" w14:textId="77777777" w:rsidR="00B90281" w:rsidRPr="00B164D0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164D0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98.8KΩ</w:t>
            </w:r>
          </w:p>
        </w:tc>
      </w:tr>
    </w:tbl>
    <w:p w14:paraId="401C27C1" w14:textId="77777777" w:rsidR="00B90281" w:rsidRDefault="00B90281"/>
    <w:p w14:paraId="132DF886" w14:textId="77777777" w:rsidR="00B164D0" w:rsidRDefault="00B164D0"/>
    <w:p w14:paraId="65A3E540" w14:textId="77777777" w:rsidR="00B90281" w:rsidRPr="007A0F9B" w:rsidRDefault="007A0F9B">
      <w:pPr>
        <w:rPr>
          <w:b/>
          <w:sz w:val="24"/>
          <w:szCs w:val="24"/>
        </w:rPr>
      </w:pPr>
      <w:bookmarkStart w:id="0" w:name="_GoBack"/>
      <w:bookmarkEnd w:id="0"/>
      <w:r w:rsidRPr="007A0F9B">
        <w:rPr>
          <w:b/>
          <w:sz w:val="24"/>
          <w:szCs w:val="24"/>
        </w:rPr>
        <w:t>Pre-emphasis filter:</w:t>
      </w:r>
    </w:p>
    <w:tbl>
      <w:tblPr>
        <w:tblW w:w="5800" w:type="dxa"/>
        <w:tblInd w:w="93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276"/>
        <w:gridCol w:w="1276"/>
      </w:tblGrid>
      <w:tr w:rsidR="00B90281" w:rsidRPr="00B90281" w14:paraId="453F76A8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EA768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934D8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Vin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D2A2B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Vout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79C73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Vg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99FAD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Vdb</w:t>
            </w:r>
            <w:proofErr w:type="spellEnd"/>
          </w:p>
        </w:tc>
      </w:tr>
      <w:tr w:rsidR="00B90281" w:rsidRPr="00B90281" w14:paraId="38BFD334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7D77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187D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4D88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1.656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D7A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1.35849057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54AB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2.66113254</w:t>
            </w:r>
          </w:p>
        </w:tc>
      </w:tr>
      <w:tr w:rsidR="00B90281" w:rsidRPr="00B90281" w14:paraId="75DEFFCA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6366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0DB7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02ED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3.688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2847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3.02543068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9B3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9.61574414</w:t>
            </w:r>
          </w:p>
        </w:tc>
      </w:tr>
      <w:tr w:rsidR="00B90281" w:rsidRPr="00B90281" w14:paraId="677575BE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E9C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0922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466C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6.215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763A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5.09844135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7514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14.1487485</w:t>
            </w:r>
          </w:p>
        </w:tc>
      </w:tr>
      <w:tr w:rsidR="00B90281" w:rsidRPr="00B90281" w14:paraId="0CB1A144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2E44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C1AA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6A47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1.375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FA35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96EE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20.8278537</w:t>
            </w:r>
          </w:p>
        </w:tc>
      </w:tr>
      <w:tr w:rsidR="00B90281" w:rsidRPr="00B90281" w14:paraId="04ADDA16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46A6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2837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AB08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2.062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39A7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16.109375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8A1A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24.1415738</w:t>
            </w:r>
          </w:p>
        </w:tc>
      </w:tr>
      <w:tr w:rsidR="00B90281" w:rsidRPr="00B90281" w14:paraId="09BE0ECF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438B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436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16DB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B1B7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56C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F543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24.6089784</w:t>
            </w:r>
          </w:p>
        </w:tc>
      </w:tr>
      <w:tr w:rsidR="00B90281" w:rsidRPr="00B90281" w14:paraId="739B1CEF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ACC5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E788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2B91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4.875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3B6B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4909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25.8006922</w:t>
            </w:r>
          </w:p>
        </w:tc>
      </w:tr>
      <w:tr w:rsidR="00B90281" w:rsidRPr="00B90281" w14:paraId="46DCA4D0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1EC3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0E44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19AB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2.781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9E13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22.248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18FF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26.9458195</w:t>
            </w:r>
          </w:p>
        </w:tc>
      </w:tr>
      <w:tr w:rsidR="00B90281" w:rsidRPr="00B90281" w14:paraId="35C3EF35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B8E5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F693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4D1E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2.906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6549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23.248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87A2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27.3277119</w:t>
            </w:r>
          </w:p>
        </w:tc>
      </w:tr>
      <w:tr w:rsidR="00B90281" w:rsidRPr="00B90281" w14:paraId="3B9A315B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C9C7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933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F4C2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82D9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A862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27.6042248</w:t>
            </w:r>
          </w:p>
        </w:tc>
      </w:tr>
      <w:tr w:rsidR="00B90281" w:rsidRPr="00B90281" w14:paraId="655237FE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4551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01AF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7022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3.031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B0B4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24.248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D877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27.6935185</w:t>
            </w:r>
          </w:p>
        </w:tc>
      </w:tr>
      <w:tr w:rsidR="00B90281" w:rsidRPr="00B90281" w14:paraId="26B8C7DE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AF6B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940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7DCD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F0DF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5.938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FCD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23.752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BA1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27.5140037</w:t>
            </w:r>
          </w:p>
        </w:tc>
      </w:tr>
      <w:tr w:rsidR="00B90281" w:rsidRPr="00B90281" w14:paraId="22DD33F3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85C6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CB71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92D5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5.875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8A9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23.5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A61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27.4213572</w:t>
            </w:r>
          </w:p>
        </w:tc>
      </w:tr>
      <w:tr w:rsidR="00B90281" w:rsidRPr="00B90281" w14:paraId="56F4F413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EB87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1980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74FC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C2EA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A0B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FB94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24.6089784</w:t>
            </w:r>
          </w:p>
        </w:tc>
      </w:tr>
      <w:tr w:rsidR="00B90281" w:rsidRPr="00B90281" w14:paraId="5958BD5A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457C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8C6E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2B88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DC03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438E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24.6089784</w:t>
            </w:r>
          </w:p>
        </w:tc>
      </w:tr>
      <w:tr w:rsidR="00B90281" w:rsidRPr="00B90281" w14:paraId="58061BF9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51D0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8897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F4D5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7B12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9.752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483E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19.7818739</w:t>
            </w:r>
          </w:p>
        </w:tc>
      </w:tr>
      <w:tr w:rsidR="00B90281" w:rsidRPr="00B90281" w14:paraId="1FEEA4A3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C097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48E5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5BE1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0.7812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9E59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6.2496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AF53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15.9170444</w:t>
            </w:r>
          </w:p>
        </w:tc>
      </w:tr>
      <w:tr w:rsidR="00B90281" w:rsidRPr="00B90281" w14:paraId="2098B4F9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ED0A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6EBB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1.203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E621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4.312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4E6B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3.5843724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2D6D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11.0882625</w:t>
            </w:r>
          </w:p>
        </w:tc>
      </w:tr>
      <w:tr w:rsidR="00B90281" w:rsidRPr="00B90281" w14:paraId="3890DD60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382A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7CF6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0.375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C108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0.9531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3AB8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2.5416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93CD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8.10214404</w:t>
            </w:r>
          </w:p>
        </w:tc>
      </w:tr>
      <w:tr w:rsidR="00B90281" w:rsidRPr="00B90281" w14:paraId="3C41236C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985B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B8F2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FA49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2.125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8D02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1.74323216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71A1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4.82710458</w:t>
            </w:r>
          </w:p>
        </w:tc>
      </w:tr>
      <w:tr w:rsidR="00B90281" w:rsidRPr="00B90281" w14:paraId="5B2A4BCC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8C71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B9E6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9448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1.594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6470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1.3076292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FD7E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2.32969223</w:t>
            </w:r>
          </w:p>
        </w:tc>
      </w:tr>
      <w:tr w:rsidR="00B90281" w:rsidRPr="00B90281" w14:paraId="52773933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AC8A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F4AB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2F95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5862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1.02543068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8065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0.21812615</w:t>
            </w:r>
          </w:p>
        </w:tc>
      </w:tr>
      <w:tr w:rsidR="00B90281" w:rsidRPr="00B90281" w14:paraId="24051E9E" w14:textId="77777777" w:rsidTr="00B90281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A495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10000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BA8E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1.188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C79A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377D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0.84175084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8F8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-1.4963288</w:t>
            </w:r>
          </w:p>
        </w:tc>
      </w:tr>
    </w:tbl>
    <w:p w14:paraId="737459C1" w14:textId="77777777" w:rsidR="00A409DF" w:rsidRDefault="00A409DF"/>
    <w:p w14:paraId="51A43075" w14:textId="77777777" w:rsidR="00B90281" w:rsidRDefault="00B90281">
      <w:r>
        <w:rPr>
          <w:noProof/>
          <w:lang w:eastAsia="en-US"/>
        </w:rPr>
        <w:lastRenderedPageBreak/>
        <w:drawing>
          <wp:inline distT="0" distB="0" distL="0" distR="0" wp14:anchorId="34EF90E2" wp14:editId="65961101">
            <wp:extent cx="5486400" cy="28289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E3CF59" w14:textId="77777777" w:rsidR="005F3E3F" w:rsidRDefault="005F3E3F">
      <w:pPr>
        <w:rPr>
          <w:b/>
          <w:sz w:val="24"/>
          <w:szCs w:val="24"/>
        </w:rPr>
      </w:pPr>
    </w:p>
    <w:p w14:paraId="189650D1" w14:textId="77777777" w:rsidR="005F3E3F" w:rsidRDefault="005F3E3F">
      <w:pPr>
        <w:rPr>
          <w:b/>
          <w:sz w:val="24"/>
          <w:szCs w:val="24"/>
        </w:rPr>
      </w:pPr>
    </w:p>
    <w:p w14:paraId="59A72057" w14:textId="77777777" w:rsidR="005F3E3F" w:rsidRDefault="005F3E3F">
      <w:pPr>
        <w:rPr>
          <w:b/>
          <w:sz w:val="24"/>
          <w:szCs w:val="24"/>
        </w:rPr>
      </w:pPr>
    </w:p>
    <w:p w14:paraId="7B908F34" w14:textId="77777777" w:rsidR="005F3E3F" w:rsidRDefault="005F3E3F">
      <w:pPr>
        <w:rPr>
          <w:b/>
          <w:sz w:val="24"/>
          <w:szCs w:val="24"/>
        </w:rPr>
      </w:pPr>
    </w:p>
    <w:p w14:paraId="73D2C9C7" w14:textId="77777777" w:rsidR="005F3E3F" w:rsidRDefault="005F3E3F">
      <w:pPr>
        <w:rPr>
          <w:b/>
          <w:sz w:val="24"/>
          <w:szCs w:val="24"/>
        </w:rPr>
      </w:pPr>
    </w:p>
    <w:p w14:paraId="7893DC4A" w14:textId="77777777" w:rsidR="005F3E3F" w:rsidRDefault="005F3E3F">
      <w:pPr>
        <w:rPr>
          <w:b/>
          <w:sz w:val="24"/>
          <w:szCs w:val="24"/>
        </w:rPr>
      </w:pPr>
    </w:p>
    <w:p w14:paraId="5B76EC9B" w14:textId="77777777" w:rsidR="005F3E3F" w:rsidRDefault="005F3E3F">
      <w:pPr>
        <w:rPr>
          <w:b/>
          <w:sz w:val="24"/>
          <w:szCs w:val="24"/>
        </w:rPr>
      </w:pPr>
    </w:p>
    <w:p w14:paraId="7C5FDB89" w14:textId="77777777" w:rsidR="005F3E3F" w:rsidRDefault="005F3E3F">
      <w:pPr>
        <w:rPr>
          <w:b/>
          <w:sz w:val="24"/>
          <w:szCs w:val="24"/>
        </w:rPr>
      </w:pPr>
    </w:p>
    <w:p w14:paraId="0475FFD3" w14:textId="77777777" w:rsidR="005F3E3F" w:rsidRDefault="005F3E3F">
      <w:pPr>
        <w:rPr>
          <w:b/>
          <w:sz w:val="24"/>
          <w:szCs w:val="24"/>
        </w:rPr>
      </w:pPr>
    </w:p>
    <w:p w14:paraId="3DE3E83E" w14:textId="77777777" w:rsidR="005F3E3F" w:rsidRDefault="005F3E3F">
      <w:pPr>
        <w:rPr>
          <w:b/>
          <w:sz w:val="24"/>
          <w:szCs w:val="24"/>
        </w:rPr>
      </w:pPr>
    </w:p>
    <w:p w14:paraId="6B515AE7" w14:textId="77777777" w:rsidR="005F3E3F" w:rsidRDefault="005F3E3F">
      <w:pPr>
        <w:rPr>
          <w:b/>
          <w:sz w:val="24"/>
          <w:szCs w:val="24"/>
        </w:rPr>
      </w:pPr>
    </w:p>
    <w:p w14:paraId="2B193B97" w14:textId="77777777" w:rsidR="005F3E3F" w:rsidRDefault="005F3E3F">
      <w:pPr>
        <w:rPr>
          <w:b/>
          <w:sz w:val="24"/>
          <w:szCs w:val="24"/>
        </w:rPr>
      </w:pPr>
    </w:p>
    <w:p w14:paraId="020FEA73" w14:textId="77777777" w:rsidR="005F3E3F" w:rsidRDefault="005F3E3F">
      <w:pPr>
        <w:rPr>
          <w:b/>
          <w:sz w:val="24"/>
          <w:szCs w:val="24"/>
        </w:rPr>
      </w:pPr>
    </w:p>
    <w:p w14:paraId="37A1E20B" w14:textId="77777777" w:rsidR="005F3E3F" w:rsidRDefault="005F3E3F">
      <w:pPr>
        <w:rPr>
          <w:b/>
          <w:sz w:val="24"/>
          <w:szCs w:val="24"/>
        </w:rPr>
      </w:pPr>
    </w:p>
    <w:p w14:paraId="5869968A" w14:textId="77777777" w:rsidR="005F3E3F" w:rsidRDefault="005F3E3F">
      <w:pPr>
        <w:rPr>
          <w:b/>
          <w:sz w:val="24"/>
          <w:szCs w:val="24"/>
        </w:rPr>
      </w:pPr>
    </w:p>
    <w:p w14:paraId="65C1151B" w14:textId="77777777" w:rsidR="007A0F9B" w:rsidRPr="007A0F9B" w:rsidRDefault="007A0F9B">
      <w:pPr>
        <w:rPr>
          <w:b/>
          <w:sz w:val="24"/>
          <w:szCs w:val="24"/>
        </w:rPr>
      </w:pPr>
      <w:r w:rsidRPr="007A0F9B">
        <w:rPr>
          <w:b/>
          <w:sz w:val="24"/>
          <w:szCs w:val="24"/>
        </w:rPr>
        <w:lastRenderedPageBreak/>
        <w:t>De-emphasis filter:</w:t>
      </w:r>
    </w:p>
    <w:tbl>
      <w:tblPr>
        <w:tblW w:w="6040" w:type="dxa"/>
        <w:tblInd w:w="93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250"/>
        <w:gridCol w:w="1250"/>
      </w:tblGrid>
      <w:tr w:rsidR="00B90281" w:rsidRPr="00B90281" w14:paraId="15438CC4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39901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1A04B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Vin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F2A6C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Vout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B4E86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Vg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023A0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Vdb</w:t>
            </w:r>
            <w:proofErr w:type="spellEnd"/>
          </w:p>
        </w:tc>
      </w:tr>
      <w:tr w:rsidR="00B90281" w:rsidRPr="00B90281" w14:paraId="309C2DF2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BF44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7F12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C6F4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6543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0.707137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9458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-3.009929</w:t>
            </w:r>
          </w:p>
        </w:tc>
      </w:tr>
      <w:tr w:rsidR="00B90281" w:rsidRPr="00B90281" w14:paraId="75259C37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B6CB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66D1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4DA0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5A3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0.7178015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72DD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-2.879913</w:t>
            </w:r>
          </w:p>
        </w:tc>
      </w:tr>
      <w:tr w:rsidR="00B90281" w:rsidRPr="00B90281" w14:paraId="4530071A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6DC6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1F69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E2C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0.5625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E4B1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0.4614438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3EC6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-6.717624</w:t>
            </w:r>
          </w:p>
        </w:tc>
      </w:tr>
      <w:tr w:rsidR="00B90281" w:rsidRPr="00B90281" w14:paraId="423A1FEC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D3D5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65A9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D361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0.425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183F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0.3486464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FC87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-9.152296</w:t>
            </w:r>
          </w:p>
        </w:tc>
      </w:tr>
      <w:tr w:rsidR="00B90281" w:rsidRPr="00B90281" w14:paraId="0B5BFA3C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77E7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BA45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CD39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0.2563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C30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0.2102543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C44E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-13.5451</w:t>
            </w:r>
          </w:p>
        </w:tc>
      </w:tr>
      <w:tr w:rsidR="00B90281" w:rsidRPr="00B90281" w14:paraId="344E944F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B78A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FB87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4905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2FF2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0.0923191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439E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-20.69417</w:t>
            </w:r>
          </w:p>
        </w:tc>
      </w:tr>
      <w:tr w:rsidR="00B90281" w:rsidRPr="00B90281" w14:paraId="16A25CA7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C6D6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E901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AA39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0.2312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38F0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0.0569178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30D4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-24.89504</w:t>
            </w:r>
          </w:p>
        </w:tc>
      </w:tr>
      <w:tr w:rsidR="00B90281" w:rsidRPr="00B90281" w14:paraId="757CAC5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93B0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B270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5387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0.1594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52AC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0.0392418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677B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-28.12503</w:t>
            </w:r>
          </w:p>
        </w:tc>
      </w:tr>
      <w:tr w:rsidR="00B90281" w:rsidRPr="00B90281" w14:paraId="5CB2A8EF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D145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171F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E0B4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4DC3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0.0308574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045C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-30.21282</w:t>
            </w:r>
          </w:p>
        </w:tc>
      </w:tr>
      <w:tr w:rsidR="00B90281" w:rsidRPr="00B90281" w14:paraId="583C82E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7B30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700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C54C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D67C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419F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0.0277756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3C65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-31.12674</w:t>
            </w:r>
          </w:p>
        </w:tc>
      </w:tr>
      <w:tr w:rsidR="00B90281" w:rsidRPr="00B90281" w14:paraId="7F377A81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75B9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2ABF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C0E5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0.1344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E801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0.0265508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3AD9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-31.51846</w:t>
            </w:r>
          </w:p>
        </w:tc>
      </w:tr>
      <w:tr w:rsidR="00B90281" w:rsidRPr="00B90281" w14:paraId="6BB1A4A3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3A25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900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7F0F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5371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0.1345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00A2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0.0265705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28A5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-31.512</w:t>
            </w:r>
          </w:p>
        </w:tc>
      </w:tr>
      <w:tr w:rsidR="00B90281" w:rsidRPr="00B90281" w14:paraId="6164178E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5DF2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910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F92C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F609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981C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0.0273018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5ACD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-31.27617</w:t>
            </w:r>
          </w:p>
        </w:tc>
      </w:tr>
      <w:tr w:rsidR="00B90281" w:rsidRPr="00B90281" w14:paraId="54A190D6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89AE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C1EA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010F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0.1125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544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0.0276957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25D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-31.15175</w:t>
            </w:r>
          </w:p>
        </w:tc>
      </w:tr>
      <w:tr w:rsidR="00B90281" w:rsidRPr="00B90281" w14:paraId="4C0220E1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E3DD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6D0E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9BE9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0.1172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1339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0.0288528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5239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-30.79625</w:t>
            </w:r>
          </w:p>
        </w:tc>
      </w:tr>
      <w:tr w:rsidR="00B90281" w:rsidRPr="00B90281" w14:paraId="4FDC9053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4423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CEFB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591C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0.4063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7608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0.0802647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E187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-21.90951</w:t>
            </w:r>
          </w:p>
        </w:tc>
      </w:tr>
      <w:tr w:rsidR="00B90281" w:rsidRPr="00B90281" w14:paraId="523B7E54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9A1D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3000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3495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269D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292D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0.1728566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8EC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-15.24628</w:t>
            </w:r>
          </w:p>
        </w:tc>
      </w:tr>
      <w:tr w:rsidR="00B90281" w:rsidRPr="00B90281" w14:paraId="2F5EEC5C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A425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FFE0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197D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A83D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0.2963256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FE70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-10.56462</w:t>
            </w:r>
          </w:p>
        </w:tc>
      </w:tr>
      <w:tr w:rsidR="00B90281" w:rsidRPr="00B90281" w14:paraId="4B4D526C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E3FB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F357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2AB8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1.812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A8A8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0.4460857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1DB0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-7.011635</w:t>
            </w:r>
          </w:p>
        </w:tc>
      </w:tr>
      <w:tr w:rsidR="00B90281" w:rsidRPr="00B90281" w14:paraId="0DFEB6AC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FC4C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6000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C4A4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A4CC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F3C1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0.6112209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200A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-4.276037</w:t>
            </w:r>
          </w:p>
        </w:tc>
      </w:tr>
      <w:tr w:rsidR="00B90281" w:rsidRPr="00B90281" w14:paraId="1550768D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28EF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6600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3999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6D84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2.875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48AD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0.7077794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E466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-3.002041</w:t>
            </w:r>
          </w:p>
        </w:tc>
      </w:tr>
      <w:tr w:rsidR="00B90281" w:rsidRPr="00B90281" w14:paraId="44BBD818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0C67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7000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2C8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9358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3.938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846A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0.7779534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A513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-2.180929</w:t>
            </w:r>
          </w:p>
        </w:tc>
      </w:tr>
      <w:tr w:rsidR="00B90281" w:rsidRPr="00B90281" w14:paraId="1519FF31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DF47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7674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7B08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E3D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EA2E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0.8616445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C371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-1.293437</w:t>
            </w:r>
          </w:p>
        </w:tc>
      </w:tr>
      <w:tr w:rsidR="00B90281" w:rsidRPr="00B90281" w14:paraId="4F9A9175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FB71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8000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0DC3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9CB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4.562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512F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0.9012248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64D2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-0.903337</w:t>
            </w:r>
          </w:p>
        </w:tc>
      </w:tr>
      <w:tr w:rsidR="00B90281" w:rsidRPr="00B90281" w14:paraId="13B26E82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B097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84A3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319C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5.188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101A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1.0248913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8F7A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0.2135565</w:t>
            </w:r>
          </w:p>
        </w:tc>
      </w:tr>
      <w:tr w:rsidR="00B90281" w:rsidRPr="00B90281" w14:paraId="30C2A741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62FB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16C0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B102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4.625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6A0E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1.1386017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873E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1.1274364</w:t>
            </w:r>
          </w:p>
        </w:tc>
      </w:tr>
    </w:tbl>
    <w:p w14:paraId="36972FA5" w14:textId="77777777" w:rsidR="005F3E3F" w:rsidRDefault="005F3E3F"/>
    <w:p w14:paraId="610BAE46" w14:textId="77777777" w:rsidR="005F3E3F" w:rsidRDefault="005F3E3F"/>
    <w:p w14:paraId="18298B66" w14:textId="77777777" w:rsidR="00B90281" w:rsidRDefault="00B90281">
      <w:r>
        <w:rPr>
          <w:noProof/>
          <w:lang w:eastAsia="en-US"/>
        </w:rPr>
        <w:lastRenderedPageBreak/>
        <w:drawing>
          <wp:inline distT="0" distB="0" distL="0" distR="0" wp14:anchorId="49174A93" wp14:editId="1D94C2DF">
            <wp:extent cx="52197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D584FA" w14:textId="77777777" w:rsidR="007A0F9B" w:rsidRDefault="007A0F9B"/>
    <w:p w14:paraId="765B11C8" w14:textId="77777777" w:rsidR="007A0F9B" w:rsidRDefault="007A0F9B"/>
    <w:p w14:paraId="1EC610E2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2F825EE2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377EC118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14C28A04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06357C32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4CEA3B3E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50EF9263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11CFCA24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6B8A8950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3CC2B1C8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142B18E8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54672830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147DA437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33117F3D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414B15E9" w14:textId="77777777" w:rsidR="005F3E3F" w:rsidRDefault="005F3E3F">
      <w:pPr>
        <w:rPr>
          <w:rFonts w:ascii="Times New Roman" w:hAnsi="Times New Roman" w:cs="Times New Roman"/>
          <w:b/>
          <w:sz w:val="24"/>
          <w:szCs w:val="24"/>
        </w:rPr>
      </w:pPr>
    </w:p>
    <w:p w14:paraId="789461CF" w14:textId="77777777" w:rsidR="00B90281" w:rsidRDefault="007A0F9B">
      <w:r w:rsidRPr="00F87CC2">
        <w:rPr>
          <w:rFonts w:ascii="Times New Roman" w:hAnsi="Times New Roman" w:cs="Times New Roman"/>
          <w:b/>
          <w:sz w:val="24"/>
          <w:szCs w:val="24"/>
        </w:rPr>
        <w:t>Combination of Pre-emphasis and De-emphasis filter</w:t>
      </w:r>
    </w:p>
    <w:tbl>
      <w:tblPr>
        <w:tblW w:w="5900" w:type="dxa"/>
        <w:tblInd w:w="93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276"/>
        <w:gridCol w:w="1276"/>
      </w:tblGrid>
      <w:tr w:rsidR="00B90281" w:rsidRPr="00B90281" w14:paraId="09261170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93E0E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E82AB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Vin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79D07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Vout</w:t>
            </w:r>
            <w:proofErr w:type="spellEnd"/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01D9C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Vg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CE47C" w14:textId="77777777" w:rsidR="00B90281" w:rsidRPr="00B90281" w:rsidRDefault="00B90281" w:rsidP="00B90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Vdb</w:t>
            </w:r>
            <w:proofErr w:type="spellEnd"/>
          </w:p>
        </w:tc>
      </w:tr>
      <w:tr w:rsidR="00B90281" w:rsidRPr="00B90281" w14:paraId="79579A9E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7A57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4A84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1C3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1.141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EFF7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0.93601313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C16E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-0.5743612</w:t>
            </w:r>
          </w:p>
        </w:tc>
      </w:tr>
      <w:tr w:rsidR="00B90281" w:rsidRPr="00B90281" w14:paraId="73F822E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3A58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120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BE8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7FBE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73D6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BA7F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90281" w:rsidRPr="00B90281" w14:paraId="620ECB4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0904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150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CA86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617E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1.281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F6BC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1.0248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79FE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0.21278233</w:t>
            </w:r>
          </w:p>
        </w:tc>
      </w:tr>
      <w:tr w:rsidR="00B90281" w:rsidRPr="00B90281" w14:paraId="63B2EF8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9DCA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D04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A48A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1.234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2EB9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1.01230517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5CCE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0.10622908</w:t>
            </w:r>
          </w:p>
        </w:tc>
      </w:tr>
      <w:tr w:rsidR="00B90281" w:rsidRPr="00B90281" w14:paraId="52669366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8CB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F7E4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B76C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1.188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8911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0.97456932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35FF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-0.2237453</w:t>
            </w:r>
          </w:p>
        </w:tc>
      </w:tr>
      <w:tr w:rsidR="00B90281" w:rsidRPr="00B90281" w14:paraId="7BC454D1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1A14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4BF8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3F09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0945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0.87120591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780C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-1.1975838</w:t>
            </w:r>
          </w:p>
        </w:tc>
      </w:tr>
      <w:tr w:rsidR="00B90281" w:rsidRPr="00B90281" w14:paraId="53F1E89E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6BFF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500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EA80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07A0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0.9531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5E01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0.78187039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3B19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-2.1373047</w:t>
            </w:r>
          </w:p>
        </w:tc>
      </w:tr>
      <w:tr w:rsidR="00B90281" w:rsidRPr="00B90281" w14:paraId="2D56E28A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5D6A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600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8BC0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3FF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0.8438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C0AF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0.69220673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CAC3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-3.1952837</w:t>
            </w:r>
          </w:p>
        </w:tc>
      </w:tr>
      <w:tr w:rsidR="00B90281" w:rsidRPr="00B90281" w14:paraId="5F197A82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DA2F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700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0FD7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7EF0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9DFF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0.64259598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213A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-3.8412399</w:t>
            </w:r>
          </w:p>
        </w:tc>
      </w:tr>
      <w:tr w:rsidR="00B90281" w:rsidRPr="00B90281" w14:paraId="751FF56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DC2F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C58B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525B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0.7031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4121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0.64268739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753A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-3.8400045</w:t>
            </w:r>
          </w:p>
        </w:tc>
      </w:tr>
      <w:tr w:rsidR="00B90281" w:rsidRPr="00B90281" w14:paraId="3A2EAEF0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6F0F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900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757E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3EB6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B520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0.68555759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7589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-3.2791212</w:t>
            </w:r>
          </w:p>
        </w:tc>
      </w:tr>
      <w:tr w:rsidR="00B90281" w:rsidRPr="00B90281" w14:paraId="133537B0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A005C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C94B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26C1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0.871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9F4B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0.79616088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CFCA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-1.9799833</w:t>
            </w:r>
          </w:p>
        </w:tc>
      </w:tr>
      <w:tr w:rsidR="00B90281" w:rsidRPr="00B90281" w14:paraId="400360F0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60F8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1300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EE83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0548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1.062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7E69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0.87120591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5C1A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-1.1975838</w:t>
            </w:r>
          </w:p>
        </w:tc>
      </w:tr>
      <w:tr w:rsidR="00B90281" w:rsidRPr="00B90281" w14:paraId="273176E8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AAA4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1500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376D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37C3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0F67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CEF3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90281" w:rsidRPr="00B90281" w14:paraId="1F3267D0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B740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1800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F10E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8380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1.438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A0A4F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1.17965546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A412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1.43510361</w:t>
            </w:r>
          </w:p>
        </w:tc>
      </w:tr>
      <w:tr w:rsidR="00B90281" w:rsidRPr="00B90281" w14:paraId="5FCCD2A4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5469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2000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1F94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409C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1.456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7147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1.3308958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913E4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2.48288106</w:t>
            </w:r>
          </w:p>
        </w:tc>
      </w:tr>
      <w:tr w:rsidR="00B90281" w:rsidRPr="00B90281" w14:paraId="17F78EA4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9BBF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2500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DC4A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E4283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1.812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A817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1.48646432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699D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3.44308975</w:t>
            </w:r>
          </w:p>
        </w:tc>
      </w:tr>
      <w:tr w:rsidR="00B90281" w:rsidRPr="00B90281" w14:paraId="003DF40F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E76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3000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4E1E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0.609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B87C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1.031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4B8D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1.69293924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4820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4.57282745</w:t>
            </w:r>
          </w:p>
        </w:tc>
      </w:tr>
      <w:tr w:rsidR="00B90281" w:rsidRPr="00B90281" w14:paraId="783D6D29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893E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4000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D8F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88B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1.844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3B549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1.68555759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EA57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4.53487189</w:t>
            </w:r>
          </w:p>
        </w:tc>
      </w:tr>
      <w:tr w:rsidR="00B90281" w:rsidRPr="00B90281" w14:paraId="0E988017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1B5ED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D450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CED2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2.031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327C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1.66611977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D4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4.43412436</w:t>
            </w:r>
          </w:p>
        </w:tc>
      </w:tr>
      <w:tr w:rsidR="00B90281" w:rsidRPr="00B90281" w14:paraId="14376A66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69DA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6000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B5C2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1.219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EC0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1.875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DBAA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1.53814602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EB160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3.73995133</w:t>
            </w:r>
          </w:p>
        </w:tc>
      </w:tr>
      <w:tr w:rsidR="00B90281" w:rsidRPr="00B90281" w14:paraId="09E23E57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9793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7000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BE24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1.203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3EF6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1.656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4B60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1.3765586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584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2.7758941</w:t>
            </w:r>
          </w:p>
        </w:tc>
      </w:tr>
      <w:tr w:rsidR="00B90281" w:rsidRPr="00B90281" w14:paraId="05DF12F3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E38F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8000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C3FC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1.203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6E21E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1.469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DA7A2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1.22111388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4F31B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1.73512337</w:t>
            </w:r>
          </w:p>
        </w:tc>
      </w:tr>
      <w:tr w:rsidR="00B90281" w:rsidRPr="00B90281" w14:paraId="2455CF7B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6BA56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9000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748B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1.203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D554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1.281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DFCA8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1.06483791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28DC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0.54567005</w:t>
            </w:r>
          </w:p>
        </w:tc>
      </w:tr>
      <w:tr w:rsidR="00B90281" w:rsidRPr="00B90281" w14:paraId="329F1BEE" w14:textId="77777777" w:rsidTr="00B90281">
        <w:trPr>
          <w:trHeight w:val="31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56067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b/>
                <w:bCs/>
                <w:color w:val="000000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0042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1.203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CBAAA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1.094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1EBD1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0.90939318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08585" w14:textId="77777777" w:rsidR="00B90281" w:rsidRPr="00B90281" w:rsidRDefault="00B90281" w:rsidP="00B90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281">
              <w:rPr>
                <w:rFonts w:ascii="Calibri" w:eastAsia="Times New Roman" w:hAnsi="Calibri" w:cs="Times New Roman"/>
                <w:color w:val="000000"/>
              </w:rPr>
              <w:t>-0.8249661</w:t>
            </w:r>
          </w:p>
        </w:tc>
      </w:tr>
    </w:tbl>
    <w:p w14:paraId="1CFF406C" w14:textId="77777777" w:rsidR="00B90281" w:rsidRDefault="00B90281"/>
    <w:p w14:paraId="0757233D" w14:textId="77777777" w:rsidR="00B90281" w:rsidRDefault="00B90281">
      <w:r>
        <w:rPr>
          <w:noProof/>
          <w:lang w:eastAsia="en-US"/>
        </w:rPr>
        <w:lastRenderedPageBreak/>
        <w:drawing>
          <wp:inline distT="0" distB="0" distL="0" distR="0" wp14:anchorId="6F0493D7" wp14:editId="1DA88D1A">
            <wp:extent cx="5486400" cy="3168015"/>
            <wp:effectExtent l="0" t="0" r="1905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90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DF"/>
    <w:rsid w:val="005F3E3F"/>
    <w:rsid w:val="007A0F9B"/>
    <w:rsid w:val="00A409DF"/>
    <w:rsid w:val="00B164D0"/>
    <w:rsid w:val="00B90281"/>
    <w:rsid w:val="00D4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50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Preemp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Deemp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NRS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1">
                <a:effectLst/>
              </a:rPr>
              <a:t>Pre-emphasis filter</a:t>
            </a:r>
            <a:endParaRPr lang="en-US" sz="1600">
              <a:effectLst/>
            </a:endParaRP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825854578024945"/>
          <c:y val="0.136751304963284"/>
          <c:w val="0.78469924930495"/>
          <c:h val="0.761182576896989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Sheet1!$B$3:$B$25</c:f>
              <c:numCache>
                <c:formatCode>General</c:formatCode>
                <c:ptCount val="23"/>
                <c:pt idx="0">
                  <c:v>100.0</c:v>
                </c:pt>
                <c:pt idx="1">
                  <c:v>150.0</c:v>
                </c:pt>
                <c:pt idx="2">
                  <c:v>200.0</c:v>
                </c:pt>
                <c:pt idx="3">
                  <c:v>300.0</c:v>
                </c:pt>
                <c:pt idx="4">
                  <c:v>400.0</c:v>
                </c:pt>
                <c:pt idx="5">
                  <c:v>436.0</c:v>
                </c:pt>
                <c:pt idx="6">
                  <c:v>500.0</c:v>
                </c:pt>
                <c:pt idx="7">
                  <c:v>600.0</c:v>
                </c:pt>
                <c:pt idx="8">
                  <c:v>700.0</c:v>
                </c:pt>
                <c:pt idx="9">
                  <c:v>800.0</c:v>
                </c:pt>
                <c:pt idx="10">
                  <c:v>900.0</c:v>
                </c:pt>
                <c:pt idx="11">
                  <c:v>940.0</c:v>
                </c:pt>
                <c:pt idx="12">
                  <c:v>1000.0</c:v>
                </c:pt>
                <c:pt idx="13">
                  <c:v>1980.0</c:v>
                </c:pt>
                <c:pt idx="14">
                  <c:v>2000.0</c:v>
                </c:pt>
                <c:pt idx="15">
                  <c:v>3000.0</c:v>
                </c:pt>
                <c:pt idx="16">
                  <c:v>4000.0</c:v>
                </c:pt>
                <c:pt idx="17">
                  <c:v>5000.0</c:v>
                </c:pt>
                <c:pt idx="18">
                  <c:v>6000.0</c:v>
                </c:pt>
                <c:pt idx="19">
                  <c:v>7000.0</c:v>
                </c:pt>
                <c:pt idx="20">
                  <c:v>8000.0</c:v>
                </c:pt>
                <c:pt idx="21">
                  <c:v>9000.0</c:v>
                </c:pt>
                <c:pt idx="22">
                  <c:v>10000.0</c:v>
                </c:pt>
              </c:numCache>
            </c:numRef>
          </c:xVal>
          <c:yVal>
            <c:numRef>
              <c:f>Sheet1!$F$3</c:f>
              <c:numCache>
                <c:formatCode>General</c:formatCode>
                <c:ptCount val="1"/>
                <c:pt idx="0">
                  <c:v>2.661132536609588</c:v>
                </c:pt>
              </c:numCache>
            </c:numRef>
          </c:yVal>
          <c:smooth val="1"/>
        </c:ser>
        <c:ser>
          <c:idx val="1"/>
          <c:order val="1"/>
          <c:spPr>
            <a:ln>
              <a:solidFill>
                <a:schemeClr val="tx1"/>
              </a:solidFill>
            </a:ln>
          </c:spPr>
          <c:marker>
            <c:spPr>
              <a:noFill/>
              <a:ln>
                <a:solidFill>
                  <a:schemeClr val="tx1"/>
                </a:solidFill>
              </a:ln>
            </c:spPr>
          </c:marker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100, 2.661132537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1"/>
              <c:layout>
                <c:manualLayout>
                  <c:x val="0.0"/>
                  <c:y val="-0.022471910112359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10000, -1.49633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Sheet1!$B$3:$B$25</c:f>
              <c:numCache>
                <c:formatCode>General</c:formatCode>
                <c:ptCount val="23"/>
                <c:pt idx="0">
                  <c:v>100.0</c:v>
                </c:pt>
                <c:pt idx="1">
                  <c:v>150.0</c:v>
                </c:pt>
                <c:pt idx="2">
                  <c:v>200.0</c:v>
                </c:pt>
                <c:pt idx="3">
                  <c:v>300.0</c:v>
                </c:pt>
                <c:pt idx="4">
                  <c:v>400.0</c:v>
                </c:pt>
                <c:pt idx="5">
                  <c:v>436.0</c:v>
                </c:pt>
                <c:pt idx="6">
                  <c:v>500.0</c:v>
                </c:pt>
                <c:pt idx="7">
                  <c:v>600.0</c:v>
                </c:pt>
                <c:pt idx="8">
                  <c:v>700.0</c:v>
                </c:pt>
                <c:pt idx="9">
                  <c:v>800.0</c:v>
                </c:pt>
                <c:pt idx="10">
                  <c:v>900.0</c:v>
                </c:pt>
                <c:pt idx="11">
                  <c:v>940.0</c:v>
                </c:pt>
                <c:pt idx="12">
                  <c:v>1000.0</c:v>
                </c:pt>
                <c:pt idx="13">
                  <c:v>1980.0</c:v>
                </c:pt>
                <c:pt idx="14">
                  <c:v>2000.0</c:v>
                </c:pt>
                <c:pt idx="15">
                  <c:v>3000.0</c:v>
                </c:pt>
                <c:pt idx="16">
                  <c:v>4000.0</c:v>
                </c:pt>
                <c:pt idx="17">
                  <c:v>5000.0</c:v>
                </c:pt>
                <c:pt idx="18">
                  <c:v>6000.0</c:v>
                </c:pt>
                <c:pt idx="19">
                  <c:v>7000.0</c:v>
                </c:pt>
                <c:pt idx="20">
                  <c:v>8000.0</c:v>
                </c:pt>
                <c:pt idx="21">
                  <c:v>9000.0</c:v>
                </c:pt>
                <c:pt idx="22">
                  <c:v>10000.0</c:v>
                </c:pt>
              </c:numCache>
            </c:numRef>
          </c:xVal>
          <c:yVal>
            <c:numRef>
              <c:f>Sheet1!$F$3:$F$25</c:f>
              <c:numCache>
                <c:formatCode>General</c:formatCode>
                <c:ptCount val="23"/>
                <c:pt idx="0">
                  <c:v>2.661132536609588</c:v>
                </c:pt>
                <c:pt idx="1">
                  <c:v>9.615744135264197</c:v>
                </c:pt>
                <c:pt idx="2">
                  <c:v>14.14874854718563</c:v>
                </c:pt>
                <c:pt idx="3">
                  <c:v>20.82785370316451</c:v>
                </c:pt>
                <c:pt idx="4">
                  <c:v>24.1415738259926</c:v>
                </c:pt>
                <c:pt idx="5">
                  <c:v>24.60897842756548</c:v>
                </c:pt>
                <c:pt idx="6">
                  <c:v>25.80069222725036</c:v>
                </c:pt>
                <c:pt idx="7">
                  <c:v>26.94581951712205</c:v>
                </c:pt>
                <c:pt idx="8">
                  <c:v>27.32771193907892</c:v>
                </c:pt>
                <c:pt idx="9">
                  <c:v>27.60422483423212</c:v>
                </c:pt>
                <c:pt idx="10">
                  <c:v>27.69351846719132</c:v>
                </c:pt>
                <c:pt idx="11">
                  <c:v>27.51400369175976</c:v>
                </c:pt>
                <c:pt idx="12">
                  <c:v>27.42135724543473</c:v>
                </c:pt>
                <c:pt idx="13">
                  <c:v>24.60897842756548</c:v>
                </c:pt>
                <c:pt idx="14">
                  <c:v>24.60897842756548</c:v>
                </c:pt>
                <c:pt idx="15">
                  <c:v>19.78187385220651</c:v>
                </c:pt>
                <c:pt idx="16">
                  <c:v>15.91704443215521</c:v>
                </c:pt>
                <c:pt idx="17">
                  <c:v>11.08826249677675</c:v>
                </c:pt>
                <c:pt idx="18">
                  <c:v>8.10214403638182</c:v>
                </c:pt>
                <c:pt idx="19">
                  <c:v>4.827104575358966</c:v>
                </c:pt>
                <c:pt idx="20">
                  <c:v>2.329692228834232</c:v>
                </c:pt>
                <c:pt idx="21">
                  <c:v>0.21812614779349</c:v>
                </c:pt>
                <c:pt idx="22">
                  <c:v>-1.496328812903494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909752"/>
        <c:axId val="2119525640"/>
      </c:scatterChart>
      <c:valAx>
        <c:axId val="2112909752"/>
        <c:scaling>
          <c:logBase val="10.0"/>
          <c:orientation val="minMax"/>
          <c:min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Frequency (Hz)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3092478465659"/>
              <c:y val="0.9316417470288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119525640"/>
        <c:crosses val="autoZero"/>
        <c:crossBetween val="midCat"/>
      </c:valAx>
      <c:valAx>
        <c:axId val="2119525640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baseline="0">
                    <a:effectLst/>
                  </a:rPr>
                  <a:t>20log│H(j</a:t>
                </a:r>
                <a:r>
                  <a:rPr lang="el-GR" sz="1000" b="1" i="0" baseline="0">
                    <a:effectLst/>
                  </a:rPr>
                  <a:t>ω)│ (</a:t>
                </a:r>
                <a:r>
                  <a:rPr lang="en-US" sz="1000" b="1" i="0" baseline="0">
                    <a:effectLst/>
                  </a:rPr>
                  <a:t>dB)</a:t>
                </a:r>
                <a:endParaRPr lang="en-US" sz="10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29097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1" i="0" u="none" strike="noStrike" baseline="0">
                <a:effectLst/>
              </a:rPr>
              <a:t>De-emphasis filter</a:t>
            </a:r>
            <a:endParaRPr lang="en-US" sz="16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Sheet1!$B$3:$B$28</c:f>
              <c:numCache>
                <c:formatCode>General</c:formatCode>
                <c:ptCount val="26"/>
                <c:pt idx="0">
                  <c:v>99.0</c:v>
                </c:pt>
                <c:pt idx="1">
                  <c:v>100.0</c:v>
                </c:pt>
                <c:pt idx="2">
                  <c:v>130.0</c:v>
                </c:pt>
                <c:pt idx="3">
                  <c:v>150.0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910.0</c:v>
                </c:pt>
                <c:pt idx="13">
                  <c:v>940.0</c:v>
                </c:pt>
                <c:pt idx="14">
                  <c:v>1000.0</c:v>
                </c:pt>
                <c:pt idx="15">
                  <c:v>2000.0</c:v>
                </c:pt>
                <c:pt idx="16">
                  <c:v>3000.0</c:v>
                </c:pt>
                <c:pt idx="17">
                  <c:v>4000.0</c:v>
                </c:pt>
                <c:pt idx="18">
                  <c:v>5000.0</c:v>
                </c:pt>
                <c:pt idx="19">
                  <c:v>6000.0</c:v>
                </c:pt>
                <c:pt idx="20">
                  <c:v>6600.0</c:v>
                </c:pt>
                <c:pt idx="21">
                  <c:v>7000.0</c:v>
                </c:pt>
                <c:pt idx="22">
                  <c:v>7674.0</c:v>
                </c:pt>
                <c:pt idx="23">
                  <c:v>8000.0</c:v>
                </c:pt>
                <c:pt idx="24">
                  <c:v>9000.0</c:v>
                </c:pt>
                <c:pt idx="25">
                  <c:v>10000.0</c:v>
                </c:pt>
              </c:numCache>
            </c:numRef>
          </c:xVal>
          <c:yVal>
            <c:numRef>
              <c:f>Sheet1!$F$3</c:f>
              <c:numCache>
                <c:formatCode>General</c:formatCode>
                <c:ptCount val="1"/>
                <c:pt idx="0">
                  <c:v>-3.009928795873384</c:v>
                </c:pt>
              </c:numCache>
            </c:numRef>
          </c:yVal>
          <c:smooth val="1"/>
        </c:ser>
        <c:ser>
          <c:idx val="1"/>
          <c:order val="1"/>
          <c:spPr>
            <a:ln>
              <a:solidFill>
                <a:schemeClr val="tx1"/>
              </a:solidFill>
            </a:ln>
          </c:spPr>
          <c:marker>
            <c:spPr>
              <a:noFill/>
              <a:ln>
                <a:solidFill>
                  <a:schemeClr val="tx1"/>
                </a:solidFill>
              </a:ln>
            </c:spPr>
          </c:marker>
          <c:dLbls>
            <c:dLbl>
              <c:idx val="7"/>
              <c:layout>
                <c:manualLayout>
                  <c:x val="-0.170802919708029"/>
                  <c:y val="0.050925561388159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500, -28.125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5"/>
              <c:layout/>
              <c:tx>
                <c:rich>
                  <a:bodyPr/>
                  <a:lstStyle/>
                  <a:p>
                    <a:r>
                      <a:rPr lang="en-US"/>
                      <a:t>2000, -21.909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Sheet1!$B$3:$B$28</c:f>
              <c:numCache>
                <c:formatCode>General</c:formatCode>
                <c:ptCount val="26"/>
                <c:pt idx="0">
                  <c:v>99.0</c:v>
                </c:pt>
                <c:pt idx="1">
                  <c:v>100.0</c:v>
                </c:pt>
                <c:pt idx="2">
                  <c:v>130.0</c:v>
                </c:pt>
                <c:pt idx="3">
                  <c:v>150.0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910.0</c:v>
                </c:pt>
                <c:pt idx="13">
                  <c:v>940.0</c:v>
                </c:pt>
                <c:pt idx="14">
                  <c:v>1000.0</c:v>
                </c:pt>
                <c:pt idx="15">
                  <c:v>2000.0</c:v>
                </c:pt>
                <c:pt idx="16">
                  <c:v>3000.0</c:v>
                </c:pt>
                <c:pt idx="17">
                  <c:v>4000.0</c:v>
                </c:pt>
                <c:pt idx="18">
                  <c:v>5000.0</c:v>
                </c:pt>
                <c:pt idx="19">
                  <c:v>6000.0</c:v>
                </c:pt>
                <c:pt idx="20">
                  <c:v>6600.0</c:v>
                </c:pt>
                <c:pt idx="21">
                  <c:v>7000.0</c:v>
                </c:pt>
                <c:pt idx="22">
                  <c:v>7674.0</c:v>
                </c:pt>
                <c:pt idx="23">
                  <c:v>8000.0</c:v>
                </c:pt>
                <c:pt idx="24">
                  <c:v>9000.0</c:v>
                </c:pt>
                <c:pt idx="25">
                  <c:v>10000.0</c:v>
                </c:pt>
              </c:numCache>
            </c:numRef>
          </c:xVal>
          <c:yVal>
            <c:numRef>
              <c:f>Sheet1!$F$3:$F$28</c:f>
              <c:numCache>
                <c:formatCode>General</c:formatCode>
                <c:ptCount val="26"/>
                <c:pt idx="0">
                  <c:v>-3.009928795873384</c:v>
                </c:pt>
                <c:pt idx="1">
                  <c:v>-2.879913051921374</c:v>
                </c:pt>
                <c:pt idx="2">
                  <c:v>-6.717623576699637</c:v>
                </c:pt>
                <c:pt idx="3">
                  <c:v>-9.15229551136141</c:v>
                </c:pt>
                <c:pt idx="4">
                  <c:v>-13.54510198868276</c:v>
                </c:pt>
                <c:pt idx="5">
                  <c:v>-20.69417302682139</c:v>
                </c:pt>
                <c:pt idx="6">
                  <c:v>-24.89504178640593</c:v>
                </c:pt>
                <c:pt idx="7">
                  <c:v>-28.12503204017388</c:v>
                </c:pt>
                <c:pt idx="8">
                  <c:v>-30.21282222561908</c:v>
                </c:pt>
                <c:pt idx="9">
                  <c:v>-31.1267364027686</c:v>
                </c:pt>
                <c:pt idx="10">
                  <c:v>-31.51845744208858</c:v>
                </c:pt>
                <c:pt idx="11">
                  <c:v>-31.51199712967618</c:v>
                </c:pt>
                <c:pt idx="12">
                  <c:v>-31.27616745839256</c:v>
                </c:pt>
                <c:pt idx="13">
                  <c:v>-31.15174793242813</c:v>
                </c:pt>
                <c:pt idx="14">
                  <c:v>-30.79624614773432</c:v>
                </c:pt>
                <c:pt idx="15">
                  <c:v>-21.90950636991648</c:v>
                </c:pt>
                <c:pt idx="16">
                  <c:v>-15.24628175599844</c:v>
                </c:pt>
                <c:pt idx="17">
                  <c:v>-10.56461763533108</c:v>
                </c:pt>
                <c:pt idx="18">
                  <c:v>-7.011634514559874</c:v>
                </c:pt>
                <c:pt idx="19">
                  <c:v>-4.276036629177734</c:v>
                </c:pt>
                <c:pt idx="20">
                  <c:v>-3.002041400862774</c:v>
                </c:pt>
                <c:pt idx="21">
                  <c:v>-2.180928580402721</c:v>
                </c:pt>
                <c:pt idx="22">
                  <c:v>-1.293437494370247</c:v>
                </c:pt>
                <c:pt idx="23">
                  <c:v>-0.903337197632113</c:v>
                </c:pt>
                <c:pt idx="24">
                  <c:v>0.213556531796139</c:v>
                </c:pt>
                <c:pt idx="25">
                  <c:v>1.127436360125268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4431624"/>
        <c:axId val="-2125438552"/>
      </c:scatterChart>
      <c:valAx>
        <c:axId val="-2124431624"/>
        <c:scaling>
          <c:logBase val="10.0"/>
          <c:orientation val="minMax"/>
          <c:min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Frequency (Hz)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-2125438552"/>
        <c:crosses val="autoZero"/>
        <c:crossBetween val="midCat"/>
      </c:valAx>
      <c:valAx>
        <c:axId val="-2125438552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20log│H(j</a:t>
                </a:r>
                <a:r>
                  <a:rPr lang="el-GR" sz="1000" b="1" i="0" u="none" strike="noStrike" baseline="0">
                    <a:effectLst/>
                  </a:rPr>
                  <a:t>ω)│ (</a:t>
                </a:r>
                <a:r>
                  <a:rPr lang="en-US" sz="1000" b="1" i="0" u="none" strike="noStrike" baseline="0">
                    <a:effectLst/>
                  </a:rPr>
                  <a:t>dB)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4431624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1" i="0" u="none" strike="noStrike" baseline="0">
                <a:effectLst/>
              </a:rPr>
              <a:t>Combination of Pre-emphasis and De-emphasis filter </a:t>
            </a:r>
            <a:endParaRPr lang="en-US" sz="1600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Sheet2!$B$3:$B$27</c:f>
              <c:numCache>
                <c:formatCode>General</c:formatCode>
                <c:ptCount val="25"/>
                <c:pt idx="0">
                  <c:v>100.0</c:v>
                </c:pt>
                <c:pt idx="1">
                  <c:v>120.0</c:v>
                </c:pt>
                <c:pt idx="2">
                  <c:v>150.0</c:v>
                </c:pt>
                <c:pt idx="3">
                  <c:v>200.0</c:v>
                </c:pt>
                <c:pt idx="4">
                  <c:v>300.0</c:v>
                </c:pt>
                <c:pt idx="5">
                  <c:v>400.0</c:v>
                </c:pt>
                <c:pt idx="6">
                  <c:v>500.0</c:v>
                </c:pt>
                <c:pt idx="7">
                  <c:v>600.0</c:v>
                </c:pt>
                <c:pt idx="8">
                  <c:v>700.0</c:v>
                </c:pt>
                <c:pt idx="9">
                  <c:v>800.0</c:v>
                </c:pt>
                <c:pt idx="10">
                  <c:v>900.0</c:v>
                </c:pt>
                <c:pt idx="11">
                  <c:v>1000.0</c:v>
                </c:pt>
                <c:pt idx="12">
                  <c:v>1300.0</c:v>
                </c:pt>
                <c:pt idx="13">
                  <c:v>1500.0</c:v>
                </c:pt>
                <c:pt idx="14">
                  <c:v>1800.0</c:v>
                </c:pt>
                <c:pt idx="15">
                  <c:v>2000.0</c:v>
                </c:pt>
                <c:pt idx="16">
                  <c:v>2500.0</c:v>
                </c:pt>
                <c:pt idx="17">
                  <c:v>3000.0</c:v>
                </c:pt>
                <c:pt idx="18">
                  <c:v>4000.0</c:v>
                </c:pt>
                <c:pt idx="19">
                  <c:v>5000.0</c:v>
                </c:pt>
                <c:pt idx="20">
                  <c:v>6000.0</c:v>
                </c:pt>
                <c:pt idx="21">
                  <c:v>7000.0</c:v>
                </c:pt>
                <c:pt idx="22">
                  <c:v>8000.0</c:v>
                </c:pt>
                <c:pt idx="23">
                  <c:v>9000.0</c:v>
                </c:pt>
                <c:pt idx="24">
                  <c:v>10000.0</c:v>
                </c:pt>
              </c:numCache>
            </c:numRef>
          </c:xVal>
          <c:yVal>
            <c:numRef>
              <c:f>Sheet2!$F$3</c:f>
              <c:numCache>
                <c:formatCode>General</c:formatCode>
                <c:ptCount val="1"/>
                <c:pt idx="0">
                  <c:v>-0.574361224003346</c:v>
                </c:pt>
              </c:numCache>
            </c:numRef>
          </c:yVal>
          <c:smooth val="1"/>
        </c:ser>
        <c:ser>
          <c:idx val="1"/>
          <c:order val="1"/>
          <c:spPr>
            <a:ln>
              <a:solidFill>
                <a:schemeClr val="tx1"/>
              </a:solidFill>
            </a:ln>
          </c:spPr>
          <c:marker>
            <c:spPr>
              <a:noFill/>
              <a:ln>
                <a:solidFill>
                  <a:schemeClr val="tx1"/>
                </a:solidFill>
              </a:ln>
            </c:spPr>
          </c:marker>
          <c:dLbls>
            <c:dLbl>
              <c:idx val="0"/>
              <c:layout>
                <c:manualLayout>
                  <c:x val="0.0"/>
                  <c:y val="0.043200778789128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100, -0.574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3"/>
              <c:layout>
                <c:manualLayout>
                  <c:x val="-0.0566893525254615"/>
                  <c:y val="0.15316639752509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10000, -0.825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Sheet2!$B$3:$B$27</c:f>
              <c:numCache>
                <c:formatCode>General</c:formatCode>
                <c:ptCount val="25"/>
                <c:pt idx="0">
                  <c:v>100.0</c:v>
                </c:pt>
                <c:pt idx="1">
                  <c:v>120.0</c:v>
                </c:pt>
                <c:pt idx="2">
                  <c:v>150.0</c:v>
                </c:pt>
                <c:pt idx="3">
                  <c:v>200.0</c:v>
                </c:pt>
                <c:pt idx="4">
                  <c:v>300.0</c:v>
                </c:pt>
                <c:pt idx="5">
                  <c:v>400.0</c:v>
                </c:pt>
                <c:pt idx="6">
                  <c:v>500.0</c:v>
                </c:pt>
                <c:pt idx="7">
                  <c:v>600.0</c:v>
                </c:pt>
                <c:pt idx="8">
                  <c:v>700.0</c:v>
                </c:pt>
                <c:pt idx="9">
                  <c:v>800.0</c:v>
                </c:pt>
                <c:pt idx="10">
                  <c:v>900.0</c:v>
                </c:pt>
                <c:pt idx="11">
                  <c:v>1000.0</c:v>
                </c:pt>
                <c:pt idx="12">
                  <c:v>1300.0</c:v>
                </c:pt>
                <c:pt idx="13">
                  <c:v>1500.0</c:v>
                </c:pt>
                <c:pt idx="14">
                  <c:v>1800.0</c:v>
                </c:pt>
                <c:pt idx="15">
                  <c:v>2000.0</c:v>
                </c:pt>
                <c:pt idx="16">
                  <c:v>2500.0</c:v>
                </c:pt>
                <c:pt idx="17">
                  <c:v>3000.0</c:v>
                </c:pt>
                <c:pt idx="18">
                  <c:v>4000.0</c:v>
                </c:pt>
                <c:pt idx="19">
                  <c:v>5000.0</c:v>
                </c:pt>
                <c:pt idx="20">
                  <c:v>6000.0</c:v>
                </c:pt>
                <c:pt idx="21">
                  <c:v>7000.0</c:v>
                </c:pt>
                <c:pt idx="22">
                  <c:v>8000.0</c:v>
                </c:pt>
                <c:pt idx="23">
                  <c:v>9000.0</c:v>
                </c:pt>
                <c:pt idx="24">
                  <c:v>10000.0</c:v>
                </c:pt>
              </c:numCache>
            </c:numRef>
          </c:xVal>
          <c:yVal>
            <c:numRef>
              <c:f>Sheet2!$F$3:$F$27</c:f>
              <c:numCache>
                <c:formatCode>General</c:formatCode>
                <c:ptCount val="25"/>
                <c:pt idx="0">
                  <c:v>-0.574361224003346</c:v>
                </c:pt>
                <c:pt idx="1">
                  <c:v>0.0</c:v>
                </c:pt>
                <c:pt idx="2">
                  <c:v>0.212782334732597</c:v>
                </c:pt>
                <c:pt idx="3">
                  <c:v>0.106229081576819</c:v>
                </c:pt>
                <c:pt idx="4">
                  <c:v>-0.223745299464145</c:v>
                </c:pt>
                <c:pt idx="5">
                  <c:v>-1.197583777458633</c:v>
                </c:pt>
                <c:pt idx="6">
                  <c:v>-2.137304721431442</c:v>
                </c:pt>
                <c:pt idx="7">
                  <c:v>-3.195283691450395</c:v>
                </c:pt>
                <c:pt idx="8">
                  <c:v>-3.84123993955176</c:v>
                </c:pt>
                <c:pt idx="9">
                  <c:v>-3.840004481241157</c:v>
                </c:pt>
                <c:pt idx="10">
                  <c:v>-3.27912117211424</c:v>
                </c:pt>
                <c:pt idx="11">
                  <c:v>-1.979983339794975</c:v>
                </c:pt>
                <c:pt idx="12">
                  <c:v>-1.197583777458633</c:v>
                </c:pt>
                <c:pt idx="13">
                  <c:v>0.0</c:v>
                </c:pt>
                <c:pt idx="14">
                  <c:v>1.435103608569636</c:v>
                </c:pt>
                <c:pt idx="15">
                  <c:v>2.482881059592127</c:v>
                </c:pt>
                <c:pt idx="16">
                  <c:v>3.443089754448247</c:v>
                </c:pt>
                <c:pt idx="17">
                  <c:v>4.572827453012823</c:v>
                </c:pt>
                <c:pt idx="18">
                  <c:v>4.534871894403971</c:v>
                </c:pt>
                <c:pt idx="19">
                  <c:v>4.434124355728496</c:v>
                </c:pt>
                <c:pt idx="20">
                  <c:v>3.739951328907114</c:v>
                </c:pt>
                <c:pt idx="21">
                  <c:v>2.77589410218033</c:v>
                </c:pt>
                <c:pt idx="22">
                  <c:v>1.735123369008235</c:v>
                </c:pt>
                <c:pt idx="23">
                  <c:v>0.545670048096831</c:v>
                </c:pt>
                <c:pt idx="24">
                  <c:v>-0.824966106848655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5422408"/>
        <c:axId val="2112631880"/>
      </c:scatterChart>
      <c:valAx>
        <c:axId val="-2125422408"/>
        <c:scaling>
          <c:logBase val="10.0"/>
          <c:orientation val="minMax"/>
          <c:min val="100.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Frequency (Hz)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2631880"/>
        <c:crosses val="autoZero"/>
        <c:crossBetween val="midCat"/>
      </c:valAx>
      <c:valAx>
        <c:axId val="2112631880"/>
        <c:scaling>
          <c:orientation val="minMax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20log│H(j</a:t>
                </a:r>
                <a:r>
                  <a:rPr lang="el-GR" sz="1000" b="1" i="0" u="none" strike="noStrike" baseline="0">
                    <a:effectLst/>
                  </a:rPr>
                  <a:t>ω)│ (</a:t>
                </a:r>
                <a:r>
                  <a:rPr lang="en-US" sz="1000" b="1" i="0" u="none" strike="noStrike" baseline="0">
                    <a:effectLst/>
                  </a:rPr>
                  <a:t>dB)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5422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Jun Ouyang</cp:lastModifiedBy>
  <cp:revision>2</cp:revision>
  <cp:lastPrinted>2013-12-06T19:12:00Z</cp:lastPrinted>
  <dcterms:created xsi:type="dcterms:W3CDTF">2013-12-06T11:16:00Z</dcterms:created>
  <dcterms:modified xsi:type="dcterms:W3CDTF">2013-12-06T19:13:00Z</dcterms:modified>
</cp:coreProperties>
</file>