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BIERZO PUBLICIDAD,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Isaac Ronaldo García Villalobos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