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Proyectos Target Media, S de RL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Carlos Ramírez González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12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