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Projetar Gestão Artística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Mario Juliano Menegon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13 de março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