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VIVEENERGIASOLAR,SOCIEDADANONIMAPROMOTORADEINVERSIONDECAPITAL VARIABLE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Rodrigo Sánchez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