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A20 TALENT MANAGEMENT SL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A20 TALENT MANAGEMENT SL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05 de marzo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