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Razon social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Representante legal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