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F61A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第一章 绪论</w:t>
      </w:r>
      <w:r>
        <w:rPr>
          <w:rFonts w:ascii="Arial" w:eastAsia="PingFang SC" w:hAnsi="Arial" w:cs="Arial"/>
          <w:color w:val="333333"/>
        </w:rPr>
        <w:t>‌</w:t>
      </w:r>
    </w:p>
    <w:p w14:paraId="161D0B01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1.1 研究背景与意义</w:t>
      </w:r>
      <w:r>
        <w:rPr>
          <w:rFonts w:ascii="PingFang SC" w:eastAsia="PingFang SC" w:hAnsi="PingFang SC" w:hint="eastAsia"/>
          <w:color w:val="333333"/>
        </w:rPr>
        <w:br/>
        <w:t>1.1.1 金融科技行业工程管理的核心挑战</w:t>
      </w:r>
      <w:r>
        <w:rPr>
          <w:rFonts w:ascii="PingFang SC" w:eastAsia="PingFang SC" w:hAnsi="PingFang SC" w:hint="eastAsia"/>
          <w:color w:val="333333"/>
        </w:rPr>
        <w:br/>
        <w:t>1.1.2 规模化企业敏捷转型实践需求</w:t>
      </w:r>
      <w:r>
        <w:rPr>
          <w:rFonts w:ascii="PingFang SC" w:eastAsia="PingFang SC" w:hAnsi="PingFang SC" w:hint="eastAsia"/>
          <w:color w:val="333333"/>
        </w:rPr>
        <w:br/>
        <w:t>1.1.3 过程改进对金融系统可靠性的战略价值</w:t>
      </w:r>
    </w:p>
    <w:p w14:paraId="733BEABE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1.2 国内外研究现状</w:t>
      </w:r>
      <w:r>
        <w:rPr>
          <w:rFonts w:ascii="PingFang SC" w:eastAsia="PingFang SC" w:hAnsi="PingFang SC" w:hint="eastAsia"/>
          <w:color w:val="333333"/>
        </w:rPr>
        <w:br/>
        <w:t>1.2.1 经典过程改进模型（CMMI/ISO）的理论演进与局限</w:t>
      </w:r>
      <w:r>
        <w:rPr>
          <w:rFonts w:ascii="PingFang SC" w:eastAsia="PingFang SC" w:hAnsi="PingFang SC" w:hint="eastAsia"/>
          <w:color w:val="333333"/>
        </w:rPr>
        <w:br/>
        <w:t>1.2.2 金融领域DevOps适配性研究</w:t>
      </w:r>
      <w:r>
        <w:rPr>
          <w:rFonts w:ascii="PingFang SC" w:eastAsia="PingFang SC" w:hAnsi="PingFang SC" w:hint="eastAsia"/>
          <w:color w:val="333333"/>
        </w:rPr>
        <w:br/>
        <w:t>1.2.3 安全工程与敏捷开发融合实践进展</w:t>
      </w:r>
    </w:p>
    <w:p w14:paraId="5CA982DE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1.3 研究内容与方法</w:t>
      </w:r>
      <w:r>
        <w:rPr>
          <w:rFonts w:ascii="PingFang SC" w:eastAsia="PingFang SC" w:hAnsi="PingFang SC" w:hint="eastAsia"/>
          <w:color w:val="333333"/>
        </w:rPr>
        <w:br/>
        <w:t>1.3.1 研究框架与逻辑架构</w:t>
      </w:r>
      <w:r>
        <w:rPr>
          <w:rFonts w:ascii="PingFang SC" w:eastAsia="PingFang SC" w:hAnsi="PingFang SC" w:hint="eastAsia"/>
          <w:color w:val="333333"/>
        </w:rPr>
        <w:br/>
        <w:t>1.3.2 混合研究方法设计</w:t>
      </w:r>
      <w:r>
        <w:rPr>
          <w:rFonts w:ascii="PingFang SC" w:eastAsia="PingFang SC" w:hAnsi="PingFang SC" w:hint="eastAsia"/>
          <w:color w:val="333333"/>
        </w:rPr>
        <w:br/>
        <w:t>1.3.3 技术路线图</w:t>
      </w:r>
      <w:r>
        <w:rPr>
          <w:rFonts w:ascii="PingFang SC" w:eastAsia="PingFang SC" w:hAnsi="PingFang SC" w:hint="eastAsia"/>
          <w:color w:val="333333"/>
        </w:rPr>
        <w:br/>
        <w:t>1.3.4 研究创新性说明</w:t>
      </w:r>
    </w:p>
    <w:p w14:paraId="6E0E64A0" w14:textId="77777777" w:rsidR="007A4EC1" w:rsidRDefault="000111BC" w:rsidP="007A4EC1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6A01DDC5">
          <v:rect id="_x0000_i1029" alt="" style="width:4.15pt;height:.75pt;mso-width-percent:0;mso-height-percent:0;mso-width-percent:0;mso-height-percent:0" o:hrpct="0" o:hrstd="t" o:hrnoshade="t" o:hr="t" fillcolor="#333" stroked="f"/>
        </w:pict>
      </w:r>
    </w:p>
    <w:p w14:paraId="39373022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第二章 基础理论与文献综述</w:t>
      </w:r>
      <w:r>
        <w:rPr>
          <w:rFonts w:ascii="Arial" w:eastAsia="PingFang SC" w:hAnsi="Arial" w:cs="Arial"/>
          <w:color w:val="333333"/>
        </w:rPr>
        <w:t>‌</w:t>
      </w:r>
    </w:p>
    <w:p w14:paraId="153E524F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2.1 工程管理理论基础</w:t>
      </w:r>
      <w:r>
        <w:rPr>
          <w:rFonts w:ascii="PingFang SC" w:eastAsia="PingFang SC" w:hAnsi="PingFang SC" w:hint="eastAsia"/>
          <w:color w:val="333333"/>
        </w:rPr>
        <w:br/>
        <w:t>2.1.1 能力成熟度模型（CMMI）理论架构</w:t>
      </w:r>
      <w:r>
        <w:rPr>
          <w:rFonts w:ascii="PingFang SC" w:eastAsia="PingFang SC" w:hAnsi="PingFang SC" w:hint="eastAsia"/>
          <w:color w:val="333333"/>
        </w:rPr>
        <w:br/>
        <w:t>2.1.2 敏捷开发方法论与价值流映射</w:t>
      </w:r>
      <w:r>
        <w:rPr>
          <w:rFonts w:ascii="PingFang SC" w:eastAsia="PingFang SC" w:hAnsi="PingFang SC" w:hint="eastAsia"/>
          <w:color w:val="333333"/>
        </w:rPr>
        <w:br/>
        <w:t>2.1.3 持续交付理论体系演进</w:t>
      </w:r>
    </w:p>
    <w:p w14:paraId="12E85EE5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2.2 安全工程理论发展</w:t>
      </w:r>
      <w:r>
        <w:rPr>
          <w:rFonts w:ascii="PingFang SC" w:eastAsia="PingFang SC" w:hAnsi="PingFang SC" w:hint="eastAsia"/>
          <w:color w:val="333333"/>
        </w:rPr>
        <w:br/>
        <w:t>2.2.1 安全左移范式与</w:t>
      </w:r>
      <w:proofErr w:type="spellStart"/>
      <w:r>
        <w:rPr>
          <w:rFonts w:ascii="PingFang SC" w:eastAsia="PingFang SC" w:hAnsi="PingFang SC" w:hint="eastAsia"/>
          <w:color w:val="333333"/>
        </w:rPr>
        <w:t>DevSecOps</w:t>
      </w:r>
      <w:proofErr w:type="spellEnd"/>
      <w:r>
        <w:rPr>
          <w:rFonts w:ascii="PingFang SC" w:eastAsia="PingFang SC" w:hAnsi="PingFang SC" w:hint="eastAsia"/>
          <w:color w:val="333333"/>
        </w:rPr>
        <w:t>理论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lastRenderedPageBreak/>
        <w:t>2.2.2 智能运维（</w:t>
      </w:r>
      <w:proofErr w:type="spellStart"/>
      <w:r>
        <w:rPr>
          <w:rFonts w:ascii="PingFang SC" w:eastAsia="PingFang SC" w:hAnsi="PingFang SC" w:hint="eastAsia"/>
          <w:color w:val="333333"/>
        </w:rPr>
        <w:t>AIOps</w:t>
      </w:r>
      <w:proofErr w:type="spellEnd"/>
      <w:r>
        <w:rPr>
          <w:rFonts w:ascii="PingFang SC" w:eastAsia="PingFang SC" w:hAnsi="PingFang SC" w:hint="eastAsia"/>
          <w:color w:val="333333"/>
        </w:rPr>
        <w:t>）技术实现路径</w:t>
      </w:r>
      <w:r>
        <w:rPr>
          <w:rFonts w:ascii="PingFang SC" w:eastAsia="PingFang SC" w:hAnsi="PingFang SC" w:hint="eastAsia"/>
          <w:color w:val="333333"/>
        </w:rPr>
        <w:br/>
        <w:t>2.2.3 金融科技合规性管理框架</w:t>
      </w:r>
    </w:p>
    <w:p w14:paraId="778D2186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2.3 文献述评与研究空白</w:t>
      </w:r>
      <w:r>
        <w:rPr>
          <w:rFonts w:ascii="PingFang SC" w:eastAsia="PingFang SC" w:hAnsi="PingFang SC" w:hint="eastAsia"/>
          <w:color w:val="333333"/>
        </w:rPr>
        <w:br/>
        <w:t>2.3.1 过程改进模型的跨行业应用研究</w:t>
      </w:r>
      <w:r>
        <w:rPr>
          <w:rFonts w:ascii="PingFang SC" w:eastAsia="PingFang SC" w:hAnsi="PingFang SC" w:hint="eastAsia"/>
          <w:color w:val="333333"/>
        </w:rPr>
        <w:br/>
        <w:t>2.3.2 敏捷与合规协同机制研究前沿</w:t>
      </w:r>
      <w:r>
        <w:rPr>
          <w:rFonts w:ascii="PingFang SC" w:eastAsia="PingFang SC" w:hAnsi="PingFang SC" w:hint="eastAsia"/>
          <w:color w:val="333333"/>
        </w:rPr>
        <w:br/>
        <w:t>2.3.3 现有理论对金融科技场景的适配局限</w:t>
      </w:r>
    </w:p>
    <w:p w14:paraId="7C4C0391" w14:textId="77777777" w:rsidR="007A4EC1" w:rsidRDefault="000111BC" w:rsidP="007A4EC1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64A5BFDB">
          <v:rect id="_x0000_i1028" alt="" style="width:4.15pt;height:.75pt;mso-width-percent:0;mso-height-percent:0;mso-width-percent:0;mso-height-percent:0" o:hrpct="0" o:hrstd="t" o:hrnoshade="t" o:hr="t" fillcolor="#333" stroked="f"/>
        </w:pict>
      </w:r>
    </w:p>
    <w:p w14:paraId="0B31D57A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第三章 H公司软件开发过程诊断</w:t>
      </w:r>
      <w:r>
        <w:rPr>
          <w:rFonts w:ascii="Arial" w:eastAsia="PingFang SC" w:hAnsi="Arial" w:cs="Arial"/>
          <w:color w:val="333333"/>
        </w:rPr>
        <w:t>‌</w:t>
      </w:r>
    </w:p>
    <w:p w14:paraId="11D77048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3.1 企业背景与行业特征</w:t>
      </w:r>
      <w:r>
        <w:rPr>
          <w:rFonts w:ascii="PingFang SC" w:eastAsia="PingFang SC" w:hAnsi="PingFang SC" w:hint="eastAsia"/>
          <w:color w:val="333333"/>
        </w:rPr>
        <w:br/>
        <w:t>3.1.1 H公司业务定位与技术生态</w:t>
      </w:r>
      <w:r>
        <w:rPr>
          <w:rFonts w:ascii="PingFang SC" w:eastAsia="PingFang SC" w:hAnsi="PingFang SC" w:hint="eastAsia"/>
          <w:color w:val="333333"/>
        </w:rPr>
        <w:br/>
        <w:t>3.1.2 金融科技产品线布局特征</w:t>
      </w:r>
      <w:r>
        <w:rPr>
          <w:rFonts w:ascii="PingFang SC" w:eastAsia="PingFang SC" w:hAnsi="PingFang SC" w:hint="eastAsia"/>
          <w:color w:val="333333"/>
        </w:rPr>
        <w:br/>
        <w:t>3.1.3 工程管理体系演进历程</w:t>
      </w:r>
    </w:p>
    <w:p w14:paraId="10FB2E29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3.2 过程能力评估分析</w:t>
      </w:r>
      <w:r>
        <w:rPr>
          <w:rFonts w:ascii="PingFang SC" w:eastAsia="PingFang SC" w:hAnsi="PingFang SC" w:hint="eastAsia"/>
          <w:color w:val="333333"/>
        </w:rPr>
        <w:br/>
        <w:t>3.2.1 需求管理效能缺口量化分析</w:t>
      </w:r>
      <w:r>
        <w:rPr>
          <w:rFonts w:ascii="PingFang SC" w:eastAsia="PingFang SC" w:hAnsi="PingFang SC" w:hint="eastAsia"/>
          <w:color w:val="333333"/>
        </w:rPr>
        <w:br/>
        <w:t>3.2.2 质量保障体系缺陷识别</w:t>
      </w:r>
      <w:r>
        <w:rPr>
          <w:rFonts w:ascii="PingFang SC" w:eastAsia="PingFang SC" w:hAnsi="PingFang SC" w:hint="eastAsia"/>
          <w:color w:val="333333"/>
        </w:rPr>
        <w:br/>
        <w:t>3.2.3 安全检测滞后性实证研究</w:t>
      </w:r>
    </w:p>
    <w:p w14:paraId="0F26909F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3.3 关键问题诊断结论</w:t>
      </w:r>
      <w:r>
        <w:rPr>
          <w:rFonts w:ascii="PingFang SC" w:eastAsia="PingFang SC" w:hAnsi="PingFang SC" w:hint="eastAsia"/>
          <w:color w:val="333333"/>
        </w:rPr>
        <w:br/>
        <w:t>3.3.1 敏捷开发与监管合规冲突机制</w:t>
      </w:r>
      <w:r>
        <w:rPr>
          <w:rFonts w:ascii="PingFang SC" w:eastAsia="PingFang SC" w:hAnsi="PingFang SC" w:hint="eastAsia"/>
          <w:color w:val="333333"/>
        </w:rPr>
        <w:br/>
        <w:t>3.3.2 传统安全模式与DevOps适配矛盾</w:t>
      </w:r>
      <w:r>
        <w:rPr>
          <w:rFonts w:ascii="PingFang SC" w:eastAsia="PingFang SC" w:hAnsi="PingFang SC" w:hint="eastAsia"/>
          <w:color w:val="333333"/>
        </w:rPr>
        <w:br/>
        <w:t>3.3.3 技术债务对自动化进程的阻滞效应</w:t>
      </w:r>
    </w:p>
    <w:p w14:paraId="5586E04E" w14:textId="77777777" w:rsidR="007A4EC1" w:rsidRDefault="000111BC" w:rsidP="007A4EC1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45BE26F9">
          <v:rect id="_x0000_i1027" alt="" style="width:4.15pt;height:.75pt;mso-width-percent:0;mso-height-percent:0;mso-width-percent:0;mso-height-percent:0" o:hrpct="0" o:hrstd="t" o:hrnoshade="t" o:hr="t" fillcolor="#333" stroked="f"/>
        </w:pict>
      </w:r>
    </w:p>
    <w:p w14:paraId="3257E12F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第四章 面向H公司的过程改进方案设计</w:t>
      </w:r>
      <w:r>
        <w:rPr>
          <w:rFonts w:ascii="Arial" w:eastAsia="PingFang SC" w:hAnsi="Arial" w:cs="Arial"/>
          <w:color w:val="333333"/>
        </w:rPr>
        <w:t>‌</w:t>
      </w:r>
    </w:p>
    <w:p w14:paraId="7066A189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lastRenderedPageBreak/>
        <w:t>4.1 混合流程优化策略</w:t>
      </w:r>
      <w:r>
        <w:rPr>
          <w:rFonts w:ascii="PingFang SC" w:eastAsia="PingFang SC" w:hAnsi="PingFang SC" w:hint="eastAsia"/>
          <w:color w:val="333333"/>
        </w:rPr>
        <w:br/>
        <w:t>4.1.1 敏捷与</w:t>
      </w:r>
      <w:proofErr w:type="spellStart"/>
      <w:r>
        <w:rPr>
          <w:rFonts w:ascii="PingFang SC" w:eastAsia="PingFang SC" w:hAnsi="PingFang SC" w:hint="eastAsia"/>
          <w:color w:val="333333"/>
        </w:rPr>
        <w:t>DevSecOps</w:t>
      </w:r>
      <w:proofErr w:type="spellEnd"/>
      <w:r>
        <w:rPr>
          <w:rFonts w:ascii="PingFang SC" w:eastAsia="PingFang SC" w:hAnsi="PingFang SC" w:hint="eastAsia"/>
          <w:color w:val="333333"/>
        </w:rPr>
        <w:t>协同机制构建</w:t>
      </w:r>
      <w:r>
        <w:rPr>
          <w:rFonts w:ascii="PingFang SC" w:eastAsia="PingFang SC" w:hAnsi="PingFang SC" w:hint="eastAsia"/>
          <w:color w:val="333333"/>
        </w:rPr>
        <w:br/>
        <w:t>4.1.2 安全即代码自动化实现路径</w:t>
      </w:r>
    </w:p>
    <w:p w14:paraId="2C500054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4.2 关键技术改进方案</w:t>
      </w:r>
      <w:r>
        <w:rPr>
          <w:rFonts w:ascii="PingFang SC" w:eastAsia="PingFang SC" w:hAnsi="PingFang SC" w:hint="eastAsia"/>
          <w:color w:val="333333"/>
        </w:rPr>
        <w:br/>
        <w:t>4.2.1 需求优先级动态调整模型</w:t>
      </w:r>
      <w:r>
        <w:rPr>
          <w:rFonts w:ascii="PingFang SC" w:eastAsia="PingFang SC" w:hAnsi="PingFang SC" w:hint="eastAsia"/>
          <w:color w:val="333333"/>
        </w:rPr>
        <w:br/>
        <w:t>4.2.2 容器化部署工具链集成方案</w:t>
      </w:r>
      <w:r>
        <w:rPr>
          <w:rFonts w:ascii="PingFang SC" w:eastAsia="PingFang SC" w:hAnsi="PingFang SC" w:hint="eastAsia"/>
          <w:color w:val="333333"/>
        </w:rPr>
        <w:br/>
        <w:t>4.2.3 智能运维预测系统架构设计</w:t>
      </w:r>
    </w:p>
    <w:p w14:paraId="14295E3A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4.3 组织变革管理实践</w:t>
      </w:r>
      <w:r>
        <w:rPr>
          <w:rFonts w:ascii="PingFang SC" w:eastAsia="PingFang SC" w:hAnsi="PingFang SC" w:hint="eastAsia"/>
          <w:color w:val="333333"/>
        </w:rPr>
        <w:br/>
        <w:t>4.3.1 跨职能复合型团队能力矩阵</w:t>
      </w:r>
      <w:r>
        <w:rPr>
          <w:rFonts w:ascii="PingFang SC" w:eastAsia="PingFang SC" w:hAnsi="PingFang SC" w:hint="eastAsia"/>
          <w:color w:val="333333"/>
        </w:rPr>
        <w:br/>
        <w:t>4.3.2 实时协作工具链效能优化</w:t>
      </w:r>
    </w:p>
    <w:p w14:paraId="12108408" w14:textId="77777777" w:rsidR="007A4EC1" w:rsidRDefault="000111BC" w:rsidP="007A4EC1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2AEA064F">
          <v:rect id="_x0000_i1026" alt="" style="width:4.15pt;height:.75pt;mso-width-percent:0;mso-height-percent:0;mso-width-percent:0;mso-height-percent:0" o:hrpct="0" o:hrstd="t" o:hrnoshade="t" o:hr="t" fillcolor="#333" stroked="f"/>
        </w:pict>
      </w:r>
    </w:p>
    <w:p w14:paraId="1EA5D9C9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第五章 实施保障机制与效果论证</w:t>
      </w:r>
      <w:r>
        <w:rPr>
          <w:rFonts w:ascii="Arial" w:eastAsia="PingFang SC" w:hAnsi="Arial" w:cs="Arial"/>
          <w:color w:val="333333"/>
        </w:rPr>
        <w:t>‌</w:t>
      </w:r>
    </w:p>
    <w:p w14:paraId="5BA0B44F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5.1 过程改进实施保障体系</w:t>
      </w:r>
      <w:r>
        <w:rPr>
          <w:rFonts w:ascii="PingFang SC" w:eastAsia="PingFang SC" w:hAnsi="PingFang SC" w:hint="eastAsia"/>
          <w:color w:val="333333"/>
        </w:rPr>
        <w:br/>
        <w:t>5.1.1 闭环过程控制机制设计</w:t>
      </w:r>
      <w:r>
        <w:rPr>
          <w:rFonts w:ascii="PingFang SC" w:eastAsia="PingFang SC" w:hAnsi="PingFang SC" w:hint="eastAsia"/>
          <w:color w:val="333333"/>
        </w:rPr>
        <w:br/>
        <w:t>5.1.2 技术兼容性验证方案</w:t>
      </w:r>
      <w:r>
        <w:rPr>
          <w:rFonts w:ascii="PingFang SC" w:eastAsia="PingFang SC" w:hAnsi="PingFang SC" w:hint="eastAsia"/>
          <w:color w:val="333333"/>
        </w:rPr>
        <w:br/>
        <w:t>5.1.3 组织变革阻力管理策略</w:t>
      </w:r>
    </w:p>
    <w:p w14:paraId="3F320EB2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5.2 方案效果预测与验证</w:t>
      </w:r>
      <w:r>
        <w:rPr>
          <w:rFonts w:ascii="PingFang SC" w:eastAsia="PingFang SC" w:hAnsi="PingFang SC" w:hint="eastAsia"/>
          <w:color w:val="333333"/>
        </w:rPr>
        <w:br/>
        <w:t>5.2.1 过程效能提升预测</w:t>
      </w:r>
      <w:r>
        <w:rPr>
          <w:rFonts w:ascii="PingFang SC" w:eastAsia="PingFang SC" w:hAnsi="PingFang SC" w:hint="eastAsia"/>
          <w:color w:val="333333"/>
        </w:rPr>
        <w:br/>
        <w:t>5.2.2 安全合规可行性验证</w:t>
      </w:r>
      <w:r>
        <w:rPr>
          <w:rFonts w:ascii="PingFang SC" w:eastAsia="PingFang SC" w:hAnsi="PingFang SC" w:hint="eastAsia"/>
          <w:color w:val="333333"/>
        </w:rPr>
        <w:br/>
        <w:t>5.2.3 经济效益量化估算模型</w:t>
      </w:r>
    </w:p>
    <w:p w14:paraId="7E6A8DE3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lastRenderedPageBreak/>
        <w:t>5.3 行业应用前景分析</w:t>
      </w:r>
      <w:r>
        <w:rPr>
          <w:rFonts w:ascii="PingFang SC" w:eastAsia="PingFang SC" w:hAnsi="PingFang SC" w:hint="eastAsia"/>
          <w:color w:val="333333"/>
        </w:rPr>
        <w:br/>
        <w:t>5.3.1 金融科技企业的适配路径</w:t>
      </w:r>
      <w:r>
        <w:rPr>
          <w:rFonts w:ascii="PingFang SC" w:eastAsia="PingFang SC" w:hAnsi="PingFang SC" w:hint="eastAsia"/>
          <w:color w:val="333333"/>
        </w:rPr>
        <w:br/>
        <w:t>5.3.2 新兴技术场景的推广价值</w:t>
      </w:r>
    </w:p>
    <w:p w14:paraId="58D24BC1" w14:textId="77777777" w:rsidR="007A4EC1" w:rsidRDefault="000111BC" w:rsidP="007A4EC1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6F00D518">
          <v:rect id="_x0000_i1025" alt="" style="width:4.15pt;height:.75pt;mso-width-percent:0;mso-height-percent:0;mso-width-percent:0;mso-height-percent:0" o:hrpct="0" o:hrstd="t" o:hrnoshade="t" o:hr="t" fillcolor="#333" stroked="f"/>
        </w:pict>
      </w:r>
    </w:p>
    <w:p w14:paraId="16B1028F" w14:textId="77777777" w:rsidR="007A4EC1" w:rsidRDefault="007A4EC1" w:rsidP="007A4EC1">
      <w:pPr>
        <w:pStyle w:val="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33333"/>
        </w:rPr>
      </w:pPr>
      <w:r>
        <w:rPr>
          <w:rFonts w:ascii="Arial" w:eastAsia="PingFang SC" w:hAnsi="Arial" w:cs="Arial"/>
          <w:color w:val="333333"/>
        </w:rPr>
        <w:t>‌</w:t>
      </w:r>
      <w:r>
        <w:rPr>
          <w:rStyle w:val="a3"/>
          <w:rFonts w:ascii="PingFang SC" w:eastAsia="PingFang SC" w:hAnsi="PingFang SC" w:hint="eastAsia"/>
          <w:b/>
          <w:bCs/>
          <w:color w:val="333333"/>
        </w:rPr>
        <w:t>第六章 研究结论与展望</w:t>
      </w:r>
      <w:r>
        <w:rPr>
          <w:rFonts w:ascii="Arial" w:eastAsia="PingFang SC" w:hAnsi="Arial" w:cs="Arial"/>
          <w:color w:val="333333"/>
        </w:rPr>
        <w:t>‌</w:t>
      </w:r>
    </w:p>
    <w:p w14:paraId="1FBBDA74" w14:textId="77777777" w:rsidR="007A4EC1" w:rsidRDefault="007A4EC1" w:rsidP="007A4EC1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6.1 研究结论</w:t>
      </w:r>
      <w:r>
        <w:rPr>
          <w:rFonts w:ascii="PingFang SC" w:eastAsia="PingFang SC" w:hAnsi="PingFang SC" w:hint="eastAsia"/>
          <w:color w:val="333333"/>
        </w:rPr>
        <w:br/>
        <w:t>6.2 未来展望</w:t>
      </w:r>
    </w:p>
    <w:p w14:paraId="2A8538D2" w14:textId="77777777" w:rsidR="00317302" w:rsidRPr="00EF005E" w:rsidRDefault="00317302">
      <w:bookmarkStart w:id="0" w:name="_GoBack"/>
      <w:bookmarkEnd w:id="0"/>
    </w:p>
    <w:sectPr w:rsidR="00317302" w:rsidRPr="00EF005E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0111BC"/>
    <w:rsid w:val="00317302"/>
    <w:rsid w:val="00636171"/>
    <w:rsid w:val="007A4EC1"/>
    <w:rsid w:val="00C51C41"/>
    <w:rsid w:val="00E11393"/>
    <w:rsid w:val="00E33709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636171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cosd-citation-citationid">
    <w:name w:val="cosd-citation-citationid"/>
    <w:basedOn w:val="a0"/>
    <w:rsid w:val="0063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2025-03-08T08:36:00Z</dcterms:created>
  <dcterms:modified xsi:type="dcterms:W3CDTF">2025-03-12T16:31:00Z</dcterms:modified>
</cp:coreProperties>
</file>